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2015.03.01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object w:dxaOrig="3255" w:dyaOrig="4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235.5pt" o:ole="">
                  <v:imagedata r:id="rId9" o:title=""/>
                </v:shape>
                <o:OLEObject Type="Embed" ProgID="PBrush" ShapeID="_x0000_i1025" DrawAspect="Content" ObjectID="_1516533898" r:id="rId10"/>
              </w:object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Sistema Studio 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2015.03.01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09.02.2016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numPr>
                <w:ilvl w:val="0"/>
                <w:numId w:val="24"/>
              </w:numPr>
              <w:spacing w:before="60"/>
              <w:ind w:right="170"/>
            </w:pPr>
            <w:r>
              <w:t>PRACOLL – Gestione pratiche: Corretta anomalia ACLAPG attive;</w:t>
            </w: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numPr>
                <w:ilvl w:val="0"/>
                <w:numId w:val="24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t xml:space="preserve">Errore </w:t>
            </w:r>
            <w:r>
              <w:t>segnalato in pratiche Tirocinio SARE per sede di lavoro diversa da Emilia Romagna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corpoAltF"/>
              <w:spacing w:before="180"/>
              <w:ind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Lettera modificata</w:t>
            </w:r>
          </w:p>
          <w:p>
            <w:pPr>
              <w:pStyle w:val="corpoAltF"/>
              <w:numPr>
                <w:ilvl w:val="0"/>
                <w:numId w:val="22"/>
              </w:numPr>
              <w:spacing w:before="60"/>
              <w:ind w:left="738" w:right="170" w:hanging="284"/>
            </w:pPr>
            <w:r>
              <w:t xml:space="preserve">Nella lettera </w:t>
            </w:r>
            <w:r>
              <w:t>“Richiesta delle detrazioni di imposta” è stata aggiunta la nota “’L’indicazione del codice fiscale del coniuge è obbligatoria anche s</w:t>
            </w:r>
            <w:r>
              <w:t>e non si richiede la detrazione</w:t>
            </w:r>
            <w:r>
              <w:t>” a piè pagina.</w:t>
            </w: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spacing w:before="60"/>
              <w:ind w:right="170"/>
            </w:pPr>
            <w:bookmarkStart w:id="0" w:name="_GoBack"/>
            <w:bookmarkEnd w:id="0"/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spacing w:before="60"/>
              <w:ind w:right="170"/>
            </w:pPr>
          </w:p>
          <w:p>
            <w:pPr>
              <w:pStyle w:val="corpoAltF"/>
              <w:spacing w:before="60"/>
              <w:ind w:left="454" w:right="170"/>
            </w:pPr>
          </w:p>
        </w:tc>
      </w:tr>
    </w:tbl>
    <w:p>
      <w:pPr>
        <w:pStyle w:val="corpoAltF"/>
      </w:pPr>
      <w:bookmarkStart w:id="1" w:name="_Toc33011301"/>
    </w:p>
    <w:p>
      <w:pPr>
        <w:pStyle w:val="corpoAltF"/>
      </w:pPr>
    </w:p>
    <w:p>
      <w:pPr>
        <w:pStyle w:val="corpoAltF"/>
      </w:pPr>
    </w:p>
    <w:p>
      <w:pPr>
        <w:pStyle w:val="corpoAltF"/>
      </w:pPr>
    </w:p>
    <w:p>
      <w:pPr>
        <w:pStyle w:val="corpoAltF"/>
      </w:pPr>
    </w:p>
    <w:p>
      <w:pPr>
        <w:pStyle w:val="CorpoAltF0"/>
        <w:rPr>
          <w:sz w:val="10"/>
          <w:szCs w:val="1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1"/>
    </w:tbl>
    <w:p>
      <w:pPr>
        <w:pStyle w:val="CorpoAltF0"/>
        <w:rPr>
          <w:sz w:val="10"/>
          <w:szCs w:val="10"/>
        </w:rPr>
      </w:pPr>
    </w:p>
    <w:tbl>
      <w:tblPr>
        <w:tblW w:w="9122" w:type="dxa"/>
        <w:jc w:val="center"/>
        <w:tblInd w:w="709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2231"/>
        <w:gridCol w:w="2708"/>
        <w:gridCol w:w="2324"/>
      </w:tblGrid>
      <w:tr>
        <w:trPr>
          <w:trHeight w:val="205"/>
          <w:jc w:val="center"/>
        </w:trPr>
        <w:tc>
          <w:tcPr>
            <w:tcW w:w="9122" w:type="dxa"/>
            <w:gridSpan w:val="4"/>
            <w:shd w:val="clear" w:color="auto" w:fill="DBDBDB"/>
          </w:tcPr>
          <w:p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07/10/2015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  <w:jc w:val="center"/>
        </w:trPr>
        <w:tc>
          <w:tcPr>
            <w:tcW w:w="185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2231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  <w:tc>
          <w:tcPr>
            <w:tcW w:w="2708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Gecom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Gamma Plus</w:t>
            </w:r>
          </w:p>
        </w:tc>
        <w:tc>
          <w:tcPr>
            <w:tcW w:w="2324" w:type="dxa"/>
            <w:shd w:val="clear" w:color="auto" w:fill="F2F2F2"/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Lynfa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Studio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Lynfa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Azienda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Windows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en-GB"/>
              </w:rPr>
            </w:pP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  <w:tc>
          <w:tcPr>
            <w:tcW w:w="2708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/W 20140100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</w:tc>
        <w:tc>
          <w:tcPr>
            <w:tcW w:w="2324" w:type="dxa"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  <w:tc>
          <w:tcPr>
            <w:tcW w:w="2708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/U 4.4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e 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20150400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 xml:space="preserve"> (5)(8)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812-20140200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rFonts w:cs="Arial"/>
                <w:sz w:val="16"/>
                <w:szCs w:val="16"/>
                <w:lang w:val="de-DE"/>
              </w:rPr>
              <w:t xml:space="preserve"> 722-20090100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(5)(7)</w:t>
            </w:r>
          </w:p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SLES 11.3</w:t>
            </w:r>
          </w:p>
        </w:tc>
        <w:tc>
          <w:tcPr>
            <w:tcW w:w="2708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324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>
      <w:pPr>
        <w:jc w:val="both"/>
        <w:rPr>
          <w:rFonts w:cs="Arial"/>
          <w:i/>
          <w:sz w:val="16"/>
          <w:szCs w:val="16"/>
        </w:rPr>
      </w:pP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improrogabile: Giugno 2016)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previsto: Giugno 2016)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720"/>
        <w:rPr>
          <w:rFonts w:cs="Arial"/>
          <w:i/>
          <w:sz w:val="14"/>
          <w:szCs w:val="16"/>
          <w:lang w:val="en-US"/>
        </w:rPr>
      </w:pPr>
      <w:r>
        <w:rPr>
          <w:rFonts w:cs="Arial"/>
          <w:i/>
          <w:sz w:val="14"/>
          <w:szCs w:val="16"/>
        </w:rPr>
        <w:t xml:space="preserve">  </w:t>
      </w:r>
      <w:r>
        <w:rPr>
          <w:rFonts w:cs="Arial"/>
          <w:i/>
          <w:sz w:val="14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15"/>
        </w:numPr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Moduli di software di base non più necessari per </w:t>
      </w:r>
      <w:r>
        <w:rPr>
          <w:rFonts w:cs="Arial"/>
          <w:bCs/>
          <w:sz w:val="16"/>
          <w:szCs w:val="16"/>
        </w:rPr>
        <w:t xml:space="preserve">ambienti </w:t>
      </w:r>
      <w:r>
        <w:rPr>
          <w:rFonts w:cs="Arial"/>
          <w:bCs/>
          <w:i/>
          <w:sz w:val="16"/>
          <w:szCs w:val="16"/>
        </w:rPr>
        <w:t>Nativi</w:t>
      </w:r>
      <w:r>
        <w:rPr>
          <w:rFonts w:cs="Arial"/>
          <w:bCs/>
          <w:sz w:val="16"/>
          <w:szCs w:val="16"/>
        </w:rPr>
        <w:t xml:space="preserve"> Procedure Gestionali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fino ad Aprile 2017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Runtime 722-20090100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(termine previsto: Giugno 2016) </w:t>
      </w:r>
    </w:p>
    <w:p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Questa Runtime non è certificata per sistemi operativi successivi a Windows Server 2003</w:t>
      </w:r>
    </w:p>
    <w:p>
      <w:pPr>
        <w:numPr>
          <w:ilvl w:val="0"/>
          <w:numId w:val="15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Supporto </w:t>
      </w:r>
      <w:proofErr w:type="spellStart"/>
      <w:r>
        <w:rPr>
          <w:rFonts w:cs="Arial"/>
          <w:sz w:val="16"/>
          <w:szCs w:val="16"/>
        </w:rPr>
        <w:t>SysintGateway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Daemon</w:t>
      </w:r>
      <w:proofErr w:type="spellEnd"/>
      <w:r>
        <w:rPr>
          <w:rFonts w:cs="Arial"/>
          <w:sz w:val="16"/>
          <w:szCs w:val="16"/>
        </w:rPr>
        <w:t xml:space="preserve"> dismesso</w:t>
      </w:r>
    </w:p>
    <w:p>
      <w:pPr>
        <w:ind w:left="720"/>
        <w:rPr>
          <w:rFonts w:cs="Arial"/>
          <w:sz w:val="16"/>
          <w:szCs w:val="16"/>
        </w:rPr>
      </w:pPr>
    </w:p>
    <w:p>
      <w:pPr>
        <w:ind w:left="720"/>
        <w:rPr>
          <w:rFonts w:cs="Arial"/>
          <w:sz w:val="16"/>
          <w:szCs w:val="16"/>
        </w:rPr>
      </w:pPr>
    </w:p>
    <w:p>
      <w:pPr>
        <w:jc w:val="both"/>
        <w:rPr>
          <w:rFonts w:cs="Arial"/>
          <w:sz w:val="16"/>
          <w:szCs w:val="16"/>
        </w:rPr>
      </w:pPr>
    </w:p>
    <w:p>
      <w:pPr>
        <w:ind w:left="720"/>
        <w:rPr>
          <w:rFonts w:cs="Arial"/>
          <w:bCs/>
          <w:sz w:val="16"/>
          <w:szCs w:val="16"/>
        </w:rPr>
      </w:pPr>
    </w:p>
    <w:p>
      <w:pPr>
        <w:pStyle w:val="Corpotesto"/>
        <w:rPr>
          <w:sz w:val="16"/>
          <w:szCs w:val="18"/>
        </w:rPr>
      </w:pPr>
      <w:r>
        <w:rPr>
          <w:b/>
          <w:bCs/>
          <w:sz w:val="16"/>
          <w:szCs w:val="18"/>
        </w:rPr>
        <w:t>Note :</w:t>
      </w:r>
      <w:r>
        <w:rPr>
          <w:sz w:val="16"/>
          <w:szCs w:val="18"/>
        </w:rPr>
        <w:t xml:space="preserve"> 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Sono escluse tutte le versioni dei sistemi operativi destinate ad un’utenza ‘Home’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8.1.2-20130300: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è inclusa a partire da </w:t>
      </w:r>
      <w:proofErr w:type="spellStart"/>
      <w:r>
        <w:rPr>
          <w:sz w:val="16"/>
          <w:szCs w:val="18"/>
        </w:rPr>
        <w:t>TeamPortal</w:t>
      </w:r>
      <w:proofErr w:type="spellEnd"/>
      <w:r>
        <w:rPr>
          <w:sz w:val="16"/>
          <w:szCs w:val="18"/>
        </w:rPr>
        <w:t xml:space="preserve"> 20130100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>introduce il supporto ufficiale a Windows 8 Pro e Windows Server 2012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include il servizio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in ambiente </w:t>
      </w:r>
      <w:proofErr w:type="spellStart"/>
      <w:r>
        <w:rPr>
          <w:sz w:val="16"/>
          <w:szCs w:val="18"/>
        </w:rPr>
        <w:t>TeamPortal</w:t>
      </w:r>
      <w:proofErr w:type="spellEnd"/>
    </w:p>
    <w:p>
      <w:pPr>
        <w:pStyle w:val="Corpotesto"/>
        <w:ind w:left="1416"/>
        <w:rPr>
          <w:sz w:val="16"/>
          <w:szCs w:val="18"/>
        </w:rPr>
      </w:pPr>
      <w:r>
        <w:rPr>
          <w:sz w:val="16"/>
          <w:szCs w:val="18"/>
        </w:rPr>
        <w:t xml:space="preserve">N.B.: Il modulo client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è 32bit. Si ricorda che alcune applicazioni 64bit potrebbero non riuscire ad accedere al DSN driver 32bit (es.: Office 2010 64bit)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non supporta l’ambiente </w:t>
      </w:r>
      <w:proofErr w:type="spellStart"/>
      <w:r>
        <w:rPr>
          <w:sz w:val="16"/>
          <w:szCs w:val="18"/>
        </w:rPr>
        <w:t>AcuServer</w:t>
      </w:r>
      <w:proofErr w:type="spellEnd"/>
      <w:r>
        <w:rPr>
          <w:sz w:val="16"/>
          <w:szCs w:val="18"/>
        </w:rPr>
        <w:t xml:space="preserve"> (come da Circolare 2010.02.32 Software Partner TeamSystem Pesaro, 15 Novembre 2010)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lastRenderedPageBreak/>
        <w:t>non supporta l’ambiente a carattere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8.1.2LF-20140100: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è inclusa a partire da </w:t>
      </w:r>
      <w:proofErr w:type="spellStart"/>
      <w:r>
        <w:rPr>
          <w:sz w:val="16"/>
          <w:szCs w:val="18"/>
        </w:rPr>
        <w:t>Polyedro</w:t>
      </w:r>
      <w:proofErr w:type="spellEnd"/>
      <w:r>
        <w:rPr>
          <w:sz w:val="16"/>
          <w:szCs w:val="18"/>
        </w:rPr>
        <w:t xml:space="preserve"> 20140100</w:t>
      </w:r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introduce il supporto ufficiale al nuovo Look &amp; </w:t>
      </w:r>
      <w:proofErr w:type="spellStart"/>
      <w:r>
        <w:rPr>
          <w:sz w:val="16"/>
          <w:szCs w:val="18"/>
        </w:rPr>
        <w:t>Feel</w:t>
      </w:r>
      <w:proofErr w:type="spellEnd"/>
      <w:r>
        <w:rPr>
          <w:sz w:val="16"/>
          <w:szCs w:val="18"/>
        </w:rPr>
        <w:t xml:space="preserve"> prodotti linea </w:t>
      </w:r>
      <w:proofErr w:type="spellStart"/>
      <w:r>
        <w:rPr>
          <w:sz w:val="16"/>
          <w:szCs w:val="18"/>
        </w:rPr>
        <w:t>Lynfa</w:t>
      </w:r>
      <w:proofErr w:type="spellEnd"/>
    </w:p>
    <w:p>
      <w:pPr>
        <w:pStyle w:val="Corpotesto"/>
        <w:numPr>
          <w:ilvl w:val="1"/>
          <w:numId w:val="13"/>
        </w:numPr>
        <w:jc w:val="left"/>
        <w:rPr>
          <w:sz w:val="16"/>
          <w:szCs w:val="18"/>
        </w:rPr>
      </w:pPr>
      <w:r>
        <w:rPr>
          <w:sz w:val="16"/>
          <w:szCs w:val="18"/>
        </w:rPr>
        <w:t xml:space="preserve">supporta il servizio </w:t>
      </w:r>
      <w:proofErr w:type="spellStart"/>
      <w:r>
        <w:rPr>
          <w:sz w:val="16"/>
          <w:szCs w:val="18"/>
        </w:rPr>
        <w:t>TS_Sql</w:t>
      </w:r>
      <w:proofErr w:type="spellEnd"/>
      <w:r>
        <w:rPr>
          <w:sz w:val="16"/>
          <w:szCs w:val="18"/>
        </w:rPr>
        <w:t xml:space="preserve"> ( basato su tecnologia C-</w:t>
      </w:r>
      <w:proofErr w:type="spellStart"/>
      <w:r>
        <w:rPr>
          <w:sz w:val="16"/>
          <w:szCs w:val="18"/>
        </w:rPr>
        <w:t>tree</w:t>
      </w:r>
      <w:proofErr w:type="spellEnd"/>
      <w:r>
        <w:rPr>
          <w:sz w:val="16"/>
          <w:szCs w:val="18"/>
        </w:rPr>
        <w:t xml:space="preserve"> ACE by </w:t>
      </w:r>
      <w:proofErr w:type="spellStart"/>
      <w:r>
        <w:rPr>
          <w:sz w:val="16"/>
          <w:szCs w:val="18"/>
        </w:rPr>
        <w:t>Faircom</w:t>
      </w:r>
      <w:proofErr w:type="spellEnd"/>
      <w:r>
        <w:rPr>
          <w:sz w:val="16"/>
          <w:szCs w:val="18"/>
        </w:rPr>
        <w:t xml:space="preserve"> ) </w:t>
      </w:r>
      <w:proofErr w:type="spellStart"/>
      <w:r>
        <w:rPr>
          <w:sz w:val="16"/>
          <w:szCs w:val="18"/>
        </w:rPr>
        <w:t>compresivo</w:t>
      </w:r>
      <w:proofErr w:type="spellEnd"/>
      <w:r>
        <w:rPr>
          <w:sz w:val="16"/>
          <w:szCs w:val="18"/>
        </w:rPr>
        <w:t xml:space="preserve"> di client </w:t>
      </w:r>
      <w:proofErr w:type="spellStart"/>
      <w:r>
        <w:rPr>
          <w:sz w:val="16"/>
          <w:szCs w:val="18"/>
        </w:rPr>
        <w:t>odbc</w:t>
      </w:r>
      <w:proofErr w:type="spellEnd"/>
      <w:r>
        <w:rPr>
          <w:sz w:val="16"/>
          <w:szCs w:val="18"/>
        </w:rPr>
        <w:t xml:space="preserve"> 32/64bit. Richiede specifica licenza.</w:t>
      </w:r>
    </w:p>
    <w:p>
      <w:pPr>
        <w:pStyle w:val="Corpotesto"/>
        <w:numPr>
          <w:ilvl w:val="0"/>
          <w:numId w:val="13"/>
        </w:numPr>
        <w:tabs>
          <w:tab w:val="clear" w:pos="720"/>
        </w:tabs>
        <w:ind w:left="567" w:hanging="207"/>
        <w:jc w:val="left"/>
        <w:rPr>
          <w:sz w:val="16"/>
          <w:szCs w:val="18"/>
        </w:rPr>
      </w:pPr>
      <w:r>
        <w:rPr>
          <w:sz w:val="16"/>
          <w:szCs w:val="18"/>
        </w:rPr>
        <w:t>L’installazione degli applicativi può essere eseguita anche su sistemi e/o versioni diverse da quelle specificate ma in questo caso non viene data nessuna garanzia di funzionamento e relativo supporto.</w:t>
      </w:r>
    </w:p>
    <w:p>
      <w:pPr>
        <w:pStyle w:val="CorpoAltF0"/>
        <w:rPr>
          <w:sz w:val="10"/>
          <w:szCs w:val="10"/>
        </w:rPr>
      </w:pPr>
    </w:p>
    <w:sectPr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2015.03.01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A1"/>
    <w:multiLevelType w:val="hybridMultilevel"/>
    <w:tmpl w:val="6956A7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0E050A27"/>
    <w:multiLevelType w:val="hybridMultilevel"/>
    <w:tmpl w:val="6C2C74D2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82C70"/>
    <w:multiLevelType w:val="hybridMultilevel"/>
    <w:tmpl w:val="39EA2C0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9"/>
  </w:num>
  <w:num w:numId="5">
    <w:abstractNumId w:val="6"/>
  </w:num>
  <w:num w:numId="6">
    <w:abstractNumId w:val="15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11"/>
  </w:num>
  <w:num w:numId="12">
    <w:abstractNumId w:val="9"/>
  </w:num>
  <w:num w:numId="13">
    <w:abstractNumId w:val="20"/>
  </w:num>
  <w:num w:numId="14">
    <w:abstractNumId w:val="3"/>
  </w:num>
  <w:num w:numId="15">
    <w:abstractNumId w:val="17"/>
  </w:num>
  <w:num w:numId="16">
    <w:abstractNumId w:val="18"/>
  </w:num>
  <w:num w:numId="17">
    <w:abstractNumId w:val="13"/>
  </w:num>
  <w:num w:numId="18">
    <w:abstractNumId w:val="21"/>
  </w:num>
  <w:num w:numId="19">
    <w:abstractNumId w:val="12"/>
  </w:num>
  <w:num w:numId="20">
    <w:abstractNumId w:val="16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link w:val="Corpotesto"/>
    <w:rPr>
      <w:rFonts w:ascii="Verdana" w:hAnsi="Verdana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link w:val="Corpotesto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SistemaStudioPaghe\MODELLI%20PER%20NOTE%20STUDIO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6E90-26E8-4F94-B09A-EE4B528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19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Laura Manotta</cp:lastModifiedBy>
  <cp:revision>10</cp:revision>
  <cp:lastPrinted>2015-07-20T15:55:00Z</cp:lastPrinted>
  <dcterms:created xsi:type="dcterms:W3CDTF">2016-02-05T09:49:00Z</dcterms:created>
  <dcterms:modified xsi:type="dcterms:W3CDTF">2016-02-09T13:39:00Z</dcterms:modified>
</cp:coreProperties>
</file>