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2016.03.01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object w:dxaOrig="3255" w:dyaOrig="4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235.5pt" o:ole="">
                  <v:imagedata r:id="rId9" o:title=""/>
                </v:shape>
                <o:OLEObject Type="Embed" ProgID="PBrush" ShapeID="_x0000_i1025" DrawAspect="Content" ObjectID="_1536567177" r:id="rId10"/>
              </w:object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Sistema Studio 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2016.03.01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29.09.2016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Nuovo modello attivato</w:t>
            </w:r>
          </w:p>
          <w:p>
            <w:pPr>
              <w:pStyle w:val="corpoAltF"/>
              <w:spacing w:before="60"/>
              <w:ind w:left="720" w:right="170"/>
            </w:pPr>
            <w:r>
              <w:t>Aggiornati gli standard del sistema informativo delle CO, che coinvolge tutti i modelli in uso del sistema nazionale per la domanda/offerta di lavoro e il programma Garanzia Giovani.</w:t>
            </w:r>
          </w:p>
          <w:p>
            <w:pPr>
              <w:pStyle w:val="corpoAltF"/>
              <w:spacing w:before="60"/>
              <w:ind w:left="738" w:right="170"/>
            </w:pPr>
            <w:r>
              <w:t>Entrata in vigore delle modifiche: 30 settembre 2016.</w:t>
            </w:r>
          </w:p>
          <w:p>
            <w:pPr>
              <w:pStyle w:val="corpoAltF"/>
              <w:spacing w:before="60"/>
              <w:ind w:left="738" w:right="170"/>
            </w:pP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Contratti di lavoro</w:t>
            </w:r>
          </w:p>
          <w:p>
            <w:pPr>
              <w:pStyle w:val="corpoAltF"/>
              <w:spacing w:before="60"/>
              <w:ind w:left="720" w:right="170"/>
            </w:pPr>
            <w:r>
              <w:t>Aggiornati i periodi di prova/preavviso dei contratti interessati</w:t>
            </w:r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</w:t>
            </w:r>
          </w:p>
          <w:p>
            <w:pPr>
              <w:pStyle w:val="corpoAltF"/>
              <w:spacing w:before="60"/>
              <w:ind w:left="720" w:right="170"/>
            </w:pPr>
            <w:r>
              <w:t>Risoluzione di anomalie funzionali.</w:t>
            </w:r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spacing w:before="60"/>
              <w:ind w:right="170"/>
            </w:pPr>
            <w:bookmarkStart w:id="0" w:name="_GoBack"/>
            <w:bookmarkEnd w:id="0"/>
          </w:p>
          <w:p>
            <w:pPr>
              <w:pStyle w:val="corpoAltF"/>
              <w:spacing w:before="60"/>
              <w:ind w:left="454" w:right="170"/>
            </w:pPr>
          </w:p>
        </w:tc>
      </w:tr>
    </w:tbl>
    <w:p>
      <w:pPr>
        <w:pStyle w:val="corpoAltF"/>
      </w:pPr>
      <w:bookmarkStart w:id="1" w:name="_Toc33011301"/>
    </w:p>
    <w:p>
      <w:pPr>
        <w:pStyle w:val="CorpoAltF0"/>
        <w:rPr>
          <w:sz w:val="10"/>
          <w:szCs w:val="1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lastRenderedPageBreak/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9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"/>
        <w:gridCol w:w="2587"/>
        <w:gridCol w:w="1711"/>
        <w:gridCol w:w="4824"/>
      </w:tblGrid>
      <w:tr>
        <w:trPr>
          <w:jc w:val="center"/>
        </w:trPr>
        <w:tc>
          <w:tcPr>
            <w:tcW w:w="4825" w:type="dxa"/>
            <w:gridSpan w:val="3"/>
            <w:shd w:val="clear" w:color="auto" w:fill="BFBFBF"/>
          </w:tcPr>
          <w:p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4" w:type="dxa"/>
            <w:shd w:val="clear" w:color="auto" w:fill="BFBFBF"/>
          </w:tcPr>
          <w:p>
            <w:pPr>
              <w:pStyle w:val="corpoAltF"/>
              <w:jc w:val="center"/>
            </w:pPr>
            <w:r>
              <w:t>Ambiente LINUX</w:t>
            </w:r>
          </w:p>
        </w:tc>
      </w:tr>
      <w:tr>
        <w:trPr>
          <w:jc w:val="center"/>
        </w:trPr>
        <w:tc>
          <w:tcPr>
            <w:tcW w:w="4825" w:type="dxa"/>
            <w:gridSpan w:val="3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4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1"/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Before w:val="1"/>
          <w:wBefore w:w="527" w:type="dxa"/>
          <w:trHeight w:val="205"/>
        </w:trPr>
        <w:tc>
          <w:tcPr>
            <w:tcW w:w="9122" w:type="dxa"/>
            <w:gridSpan w:val="3"/>
            <w:shd w:val="clear" w:color="auto" w:fill="DBDBDB"/>
          </w:tcPr>
          <w:p>
            <w:pPr>
              <w:pStyle w:val="Intestazione"/>
              <w:tabs>
                <w:tab w:val="clear" w:pos="9638"/>
              </w:tabs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Tabella riepilogativa Sistemi Operativi supportati al 29/02/2016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  <w:trHeight w:val="459"/>
        </w:trPr>
        <w:tc>
          <w:tcPr>
            <w:tcW w:w="2587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6535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  <w:trHeight w:val="1964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Titolo2"/>
              <w:rPr>
                <w:sz w:val="16"/>
                <w:szCs w:val="16"/>
              </w:rPr>
            </w:pPr>
          </w:p>
          <w:p>
            <w:pPr>
              <w:pStyle w:val="Titolo2"/>
              <w:rPr>
                <w:b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b w:val="0"/>
                <w:i/>
                <w:sz w:val="14"/>
                <w:szCs w:val="16"/>
                <w:lang w:val="de-DE"/>
              </w:rPr>
              <w:t>(1)</w:t>
            </w: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  <w:trHeight w:val="20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10.3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SLES 11.3, 11.4</w:t>
            </w:r>
          </w:p>
        </w:tc>
      </w:tr>
    </w:tbl>
    <w:p>
      <w:pPr>
        <w:numPr>
          <w:ilvl w:val="0"/>
          <w:numId w:val="15"/>
        </w:num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15"/>
        </w:num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Supporto al Sistema Operativo in fase di dismissione</w:t>
      </w:r>
      <w:r>
        <w:rPr>
          <w:rFonts w:ascii="Arial" w:eastAsia="Times" w:hAnsi="Arial" w:cs="Arial"/>
          <w:i/>
          <w:sz w:val="16"/>
          <w:szCs w:val="16"/>
        </w:rPr>
        <w:t xml:space="preserve"> </w:t>
      </w:r>
      <w:r>
        <w:rPr>
          <w:rFonts w:ascii="Arial" w:eastAsia="Times" w:hAnsi="Arial" w:cs="Arial"/>
          <w:sz w:val="16"/>
          <w:szCs w:val="16"/>
        </w:rPr>
        <w:t>(termine improrogabile: Giugno 2016)</w:t>
      </w:r>
    </w:p>
    <w:p>
      <w:p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Supporto al Sistema Operativo in fase di dismissione</w:t>
      </w:r>
      <w:r>
        <w:rPr>
          <w:rFonts w:ascii="Arial" w:eastAsia="Times" w:hAnsi="Arial" w:cs="Arial"/>
          <w:i/>
          <w:sz w:val="16"/>
          <w:szCs w:val="16"/>
        </w:rPr>
        <w:t xml:space="preserve"> </w:t>
      </w:r>
      <w:r>
        <w:rPr>
          <w:rFonts w:ascii="Arial" w:eastAsia="Times" w:hAnsi="Arial" w:cs="Arial"/>
          <w:sz w:val="16"/>
          <w:szCs w:val="16"/>
        </w:rPr>
        <w:t>(termine previsto: Giugno 2016)</w:t>
      </w:r>
    </w:p>
    <w:p>
      <w:p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 xml:space="preserve">A parità di hardware, impianto e operatività utente, il problema non si riscontra con S.O. Windows 2012R2  </w:t>
      </w:r>
    </w:p>
    <w:p>
      <w:pPr>
        <w:ind w:left="1068"/>
        <w:rPr>
          <w:rFonts w:ascii="Arial" w:eastAsia="Times" w:hAnsi="Arial" w:cs="Arial"/>
          <w:i/>
          <w:sz w:val="14"/>
          <w:szCs w:val="16"/>
          <w:lang w:val="en-US"/>
        </w:rPr>
      </w:pPr>
      <w:r>
        <w:rPr>
          <w:rFonts w:ascii="Arial" w:eastAsia="Times" w:hAnsi="Arial" w:cs="Arial"/>
          <w:i/>
          <w:sz w:val="14"/>
          <w:szCs w:val="16"/>
        </w:rPr>
        <w:t xml:space="preserve">  </w:t>
      </w:r>
      <w:r>
        <w:rPr>
          <w:rFonts w:ascii="Arial" w:eastAsia="Times" w:hAnsi="Arial" w:cs="Arial"/>
          <w:i/>
          <w:sz w:val="14"/>
          <w:szCs w:val="16"/>
          <w:lang w:val="en-US"/>
        </w:rPr>
        <w:t>(Windows 2012R2, Remote Desktop Services Overview: https://technet.microsoft.com/en-us/library/hh831447.aspx)</w:t>
      </w:r>
    </w:p>
    <w:p>
      <w:pPr>
        <w:numPr>
          <w:ilvl w:val="0"/>
          <w:numId w:val="15"/>
        </w:num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Supporto al Sistema Operativo in fase di dismissione (termine previsto: Ottobre 2016)</w:t>
      </w:r>
    </w:p>
    <w:p>
      <w:pPr>
        <w:numPr>
          <w:ilvl w:val="0"/>
          <w:numId w:val="15"/>
        </w:numPr>
        <w:ind w:left="1068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Supporto al Sistema Operativo fino ad Aprile 2017</w:t>
      </w:r>
    </w:p>
    <w:p>
      <w:pPr>
        <w:ind w:left="567"/>
        <w:jc w:val="both"/>
        <w:rPr>
          <w:rFonts w:ascii="Arial" w:eastAsia="Times" w:hAnsi="Arial" w:cs="Arial"/>
          <w:i/>
          <w:sz w:val="16"/>
          <w:szCs w:val="16"/>
        </w:rPr>
      </w:pPr>
      <w:r>
        <w:rPr>
          <w:rFonts w:ascii="Arial" w:eastAsia="Times" w:hAnsi="Arial" w:cs="Arial"/>
          <w:b/>
          <w:sz w:val="16"/>
          <w:szCs w:val="16"/>
        </w:rPr>
        <w:t>Release Software di base richieste da linea LYNFA Studio e LYNFA Azienda</w:t>
      </w:r>
    </w:p>
    <w:p>
      <w:pPr>
        <w:numPr>
          <w:ilvl w:val="0"/>
          <w:numId w:val="21"/>
        </w:numPr>
        <w:ind w:left="851" w:hanging="214"/>
        <w:rPr>
          <w:rFonts w:ascii="Arial" w:eastAsia="Times" w:hAnsi="Arial" w:cs="Arial"/>
          <w:sz w:val="16"/>
          <w:szCs w:val="16"/>
          <w:lang w:val="de-DE"/>
        </w:rPr>
      </w:pPr>
      <w:r>
        <w:rPr>
          <w:rFonts w:ascii="Arial" w:eastAsia="Times" w:hAnsi="Arial" w:cs="Arial"/>
          <w:sz w:val="16"/>
          <w:szCs w:val="16"/>
          <w:lang w:val="de-DE"/>
        </w:rPr>
        <w:t xml:space="preserve">POLYEDRO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ultima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versione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rilasciata</w:t>
      </w:r>
      <w:proofErr w:type="spellEnd"/>
    </w:p>
    <w:p>
      <w:pPr>
        <w:ind w:left="567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b/>
          <w:sz w:val="16"/>
          <w:szCs w:val="16"/>
        </w:rPr>
        <w:t xml:space="preserve">Release Software di base richieste da linea </w:t>
      </w:r>
      <w:proofErr w:type="spellStart"/>
      <w:r>
        <w:rPr>
          <w:rFonts w:ascii="Arial" w:eastAsia="Times" w:hAnsi="Arial" w:cs="Arial"/>
          <w:b/>
          <w:sz w:val="16"/>
          <w:szCs w:val="16"/>
        </w:rPr>
        <w:t>Gecom</w:t>
      </w:r>
      <w:proofErr w:type="spellEnd"/>
      <w:r>
        <w:rPr>
          <w:rFonts w:ascii="Arial" w:eastAsia="Times" w:hAnsi="Arial" w:cs="Arial"/>
          <w:b/>
          <w:sz w:val="16"/>
          <w:szCs w:val="16"/>
        </w:rPr>
        <w:t xml:space="preserve"> e Gamma Plus</w:t>
      </w:r>
    </w:p>
    <w:p>
      <w:pPr>
        <w:numPr>
          <w:ilvl w:val="0"/>
          <w:numId w:val="21"/>
        </w:numPr>
        <w:ind w:left="851" w:hanging="214"/>
        <w:rPr>
          <w:rFonts w:ascii="Arial" w:eastAsia="Times" w:hAnsi="Arial" w:cs="Arial"/>
          <w:sz w:val="16"/>
          <w:szCs w:val="16"/>
          <w:lang w:val="de-DE"/>
        </w:rPr>
      </w:pP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TeamPortal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ultima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versione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rilasciata</w:t>
      </w:r>
      <w:proofErr w:type="spellEnd"/>
    </w:p>
    <w:p>
      <w:pPr>
        <w:numPr>
          <w:ilvl w:val="0"/>
          <w:numId w:val="21"/>
        </w:numPr>
        <w:ind w:left="851" w:hanging="214"/>
        <w:rPr>
          <w:rFonts w:ascii="Arial" w:eastAsia="Times" w:hAnsi="Arial" w:cs="Arial"/>
          <w:sz w:val="16"/>
          <w:szCs w:val="16"/>
          <w:lang w:val="de-DE"/>
        </w:rPr>
      </w:pP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Moduli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di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software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di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base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ambienti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Integrazione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non più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necessari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ambienti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i/>
          <w:sz w:val="16"/>
          <w:szCs w:val="16"/>
          <w:lang w:val="de-DE"/>
        </w:rPr>
        <w:t>Nativi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Procedure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Gestionali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>:</w:t>
      </w:r>
    </w:p>
    <w:p>
      <w:pPr>
        <w:ind w:left="567"/>
        <w:rPr>
          <w:rFonts w:ascii="Arial" w:eastAsia="Times" w:hAnsi="Arial" w:cs="Arial"/>
          <w:sz w:val="16"/>
          <w:szCs w:val="16"/>
          <w:lang w:val="de-DE"/>
        </w:rPr>
      </w:pPr>
      <w:r>
        <w:rPr>
          <w:rFonts w:ascii="Arial" w:eastAsia="Times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Sysint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/W 20140100 (Windows) o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SysInt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>/U 4.4 (Linux)</w:t>
      </w:r>
    </w:p>
    <w:p>
      <w:pPr>
        <w:ind w:left="567"/>
        <w:rPr>
          <w:rFonts w:ascii="Arial" w:eastAsia="Times" w:hAnsi="Arial" w:cs="Arial"/>
          <w:sz w:val="16"/>
          <w:szCs w:val="16"/>
          <w:lang w:val="de-DE"/>
        </w:rPr>
      </w:pPr>
      <w:r>
        <w:rPr>
          <w:rFonts w:ascii="Arial" w:eastAsia="Times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SysIntGateway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20150400</w:t>
      </w:r>
      <w:r>
        <w:rPr>
          <w:rFonts w:ascii="Arial" w:eastAsia="Times" w:hAnsi="Arial" w:cs="Arial"/>
          <w:color w:val="FF0000"/>
          <w:sz w:val="16"/>
          <w:szCs w:val="16"/>
          <w:lang w:val="en-US"/>
        </w:rPr>
        <w:t xml:space="preserve"> </w:t>
      </w:r>
      <w:r>
        <w:rPr>
          <w:rFonts w:ascii="Arial" w:eastAsia="Times" w:hAnsi="Arial" w:cs="Arial"/>
          <w:sz w:val="16"/>
          <w:szCs w:val="16"/>
          <w:lang w:val="de-DE"/>
        </w:rPr>
        <w:t>(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Supporto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SysintGateway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Daemon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dismesso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>)</w:t>
      </w:r>
    </w:p>
    <w:p>
      <w:pPr>
        <w:ind w:left="567"/>
        <w:rPr>
          <w:rFonts w:ascii="Arial" w:eastAsia="Times" w:hAnsi="Arial" w:cs="Arial"/>
          <w:sz w:val="16"/>
          <w:szCs w:val="16"/>
          <w:lang w:val="de-DE"/>
        </w:rPr>
      </w:pPr>
      <w:r>
        <w:rPr>
          <w:rFonts w:ascii="Arial" w:eastAsia="Times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812-20140200 </w:t>
      </w:r>
      <w:r>
        <w:rPr>
          <w:rFonts w:ascii="Arial" w:eastAsia="Times" w:hAnsi="Arial" w:cs="Arial"/>
          <w:i/>
          <w:sz w:val="14"/>
          <w:szCs w:val="16"/>
          <w:lang w:val="de-DE"/>
        </w:rPr>
        <w:t xml:space="preserve">o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722-20090100</w:t>
      </w:r>
    </w:p>
    <w:p>
      <w:pPr>
        <w:ind w:left="567"/>
        <w:rPr>
          <w:rFonts w:ascii="Arial" w:eastAsia="Times" w:hAnsi="Arial" w:cs="Arial"/>
          <w:sz w:val="16"/>
          <w:szCs w:val="16"/>
          <w:lang w:val="de-DE"/>
        </w:rPr>
      </w:pPr>
      <w:r>
        <w:rPr>
          <w:rFonts w:ascii="Arial" w:eastAsia="Times" w:hAnsi="Arial" w:cs="Arial"/>
          <w:sz w:val="16"/>
          <w:szCs w:val="16"/>
          <w:lang w:val="de-DE"/>
        </w:rPr>
        <w:t xml:space="preserve">        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Supporto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al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722-20090100 in fase di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dismissione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(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termine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previsto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: -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Giugno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2016) </w:t>
      </w:r>
    </w:p>
    <w:p>
      <w:pPr>
        <w:ind w:left="567"/>
        <w:rPr>
          <w:rFonts w:ascii="Arial" w:eastAsia="Times" w:hAnsi="Arial" w:cs="Arial"/>
          <w:sz w:val="16"/>
          <w:szCs w:val="16"/>
          <w:lang w:val="de-DE"/>
        </w:rPr>
      </w:pPr>
      <w:r>
        <w:rPr>
          <w:rFonts w:ascii="Arial" w:eastAsia="Times" w:hAnsi="Arial" w:cs="Arial"/>
          <w:sz w:val="16"/>
          <w:szCs w:val="16"/>
          <w:lang w:val="de-DE"/>
        </w:rPr>
        <w:t xml:space="preserve">         ATTENZIONE: Questa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non è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certificata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sistemi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operativi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eastAsia="Times" w:hAnsi="Arial" w:cs="Arial"/>
          <w:sz w:val="16"/>
          <w:szCs w:val="16"/>
          <w:lang w:val="de-DE"/>
        </w:rPr>
        <w:t>successivi</w:t>
      </w:r>
      <w:proofErr w:type="spellEnd"/>
      <w:r>
        <w:rPr>
          <w:rFonts w:ascii="Arial" w:eastAsia="Times" w:hAnsi="Arial" w:cs="Arial"/>
          <w:sz w:val="16"/>
          <w:szCs w:val="16"/>
          <w:lang w:val="de-DE"/>
        </w:rPr>
        <w:t xml:space="preserve"> a Windows Server 2003</w:t>
      </w:r>
    </w:p>
    <w:p>
      <w:pPr>
        <w:ind w:firstLine="567"/>
        <w:jc w:val="both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b/>
          <w:bCs/>
          <w:sz w:val="16"/>
          <w:szCs w:val="18"/>
        </w:rPr>
        <w:t>Note :</w:t>
      </w:r>
      <w:r>
        <w:rPr>
          <w:rFonts w:ascii="Arial" w:eastAsia="Times" w:hAnsi="Arial" w:cs="Arial"/>
          <w:sz w:val="16"/>
          <w:szCs w:val="18"/>
        </w:rPr>
        <w:t xml:space="preserve"> </w:t>
      </w:r>
    </w:p>
    <w:p>
      <w:pPr>
        <w:numPr>
          <w:ilvl w:val="0"/>
          <w:numId w:val="22"/>
        </w:numPr>
        <w:ind w:left="851" w:hanging="207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La release dei moduli </w:t>
      </w:r>
      <w:proofErr w:type="spellStart"/>
      <w:r>
        <w:rPr>
          <w:rFonts w:ascii="Arial" w:eastAsia="Times" w:hAnsi="Arial" w:cs="Arial"/>
          <w:sz w:val="16"/>
          <w:szCs w:val="18"/>
        </w:rPr>
        <w:t>Acucobol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8.1.2, a partire dalla versione 8.1.2-20130300:</w:t>
      </w:r>
    </w:p>
    <w:p>
      <w:pPr>
        <w:ind w:left="208" w:firstLine="643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>- introduce il supporto ufficiale a Windows 8 Pro e Windows Server 2012</w:t>
      </w:r>
    </w:p>
    <w:p>
      <w:pPr>
        <w:ind w:left="143" w:firstLine="708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- include il servizio </w:t>
      </w:r>
      <w:proofErr w:type="spellStart"/>
      <w:r>
        <w:rPr>
          <w:rFonts w:ascii="Arial" w:eastAsia="Times" w:hAnsi="Arial" w:cs="Arial"/>
          <w:sz w:val="16"/>
          <w:szCs w:val="18"/>
        </w:rPr>
        <w:t>AcuXDBC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in ambiente </w:t>
      </w:r>
      <w:proofErr w:type="spellStart"/>
      <w:r>
        <w:rPr>
          <w:rFonts w:ascii="Arial" w:eastAsia="Times" w:hAnsi="Arial" w:cs="Arial"/>
          <w:sz w:val="16"/>
          <w:szCs w:val="18"/>
        </w:rPr>
        <w:t>TeamPortal</w:t>
      </w:r>
      <w:proofErr w:type="spellEnd"/>
    </w:p>
    <w:p>
      <w:pPr>
        <w:ind w:left="916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 N.B.: Il modulo client </w:t>
      </w:r>
      <w:proofErr w:type="spellStart"/>
      <w:r>
        <w:rPr>
          <w:rFonts w:ascii="Arial" w:eastAsia="Times" w:hAnsi="Arial" w:cs="Arial"/>
          <w:sz w:val="16"/>
          <w:szCs w:val="18"/>
        </w:rPr>
        <w:t>AcuXDBC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è 32bit. Si ricorda che alcune applicazioni 64bit </w:t>
      </w:r>
    </w:p>
    <w:p>
      <w:pPr>
        <w:tabs>
          <w:tab w:val="num" w:pos="1985"/>
        </w:tabs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                      potrebbero non riuscire ad accedere al DSN driver 32bit (es.: Office 2010 64bit)</w:t>
      </w:r>
    </w:p>
    <w:p>
      <w:pPr>
        <w:ind w:left="208" w:firstLine="500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   - non supporta l’ambiente </w:t>
      </w:r>
      <w:proofErr w:type="spellStart"/>
      <w:r>
        <w:rPr>
          <w:rFonts w:ascii="Arial" w:eastAsia="Times" w:hAnsi="Arial" w:cs="Arial"/>
          <w:sz w:val="16"/>
          <w:szCs w:val="18"/>
        </w:rPr>
        <w:t>AcuServer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</w:t>
      </w:r>
    </w:p>
    <w:p>
      <w:pPr>
        <w:ind w:left="916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 (come da Circolare 2010.02.32 Software Partner TeamSystem Pesaro, 15 Novembre 2010)</w:t>
      </w:r>
    </w:p>
    <w:p>
      <w:pPr>
        <w:ind w:left="208" w:firstLine="500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   - non supporta l’ambiente a carattere</w:t>
      </w:r>
    </w:p>
    <w:p>
      <w:pPr>
        <w:numPr>
          <w:ilvl w:val="0"/>
          <w:numId w:val="22"/>
        </w:numPr>
        <w:ind w:left="851" w:hanging="207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La release dei moduli </w:t>
      </w:r>
      <w:proofErr w:type="spellStart"/>
      <w:r>
        <w:rPr>
          <w:rFonts w:ascii="Arial" w:eastAsia="Times" w:hAnsi="Arial" w:cs="Arial"/>
          <w:sz w:val="16"/>
          <w:szCs w:val="18"/>
        </w:rPr>
        <w:t>Acucobol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8.1.2LF, a partire dalla versione 8.1.2-20140100:</w:t>
      </w:r>
    </w:p>
    <w:p>
      <w:pPr>
        <w:ind w:left="143" w:firstLine="708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- introduce il supporto ufficiale al nuovo Look &amp; </w:t>
      </w:r>
      <w:proofErr w:type="spellStart"/>
      <w:r>
        <w:rPr>
          <w:rFonts w:ascii="Arial" w:eastAsia="Times" w:hAnsi="Arial" w:cs="Arial"/>
          <w:sz w:val="16"/>
          <w:szCs w:val="18"/>
        </w:rPr>
        <w:t>Feel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prodotti linea </w:t>
      </w:r>
      <w:proofErr w:type="spellStart"/>
      <w:r>
        <w:rPr>
          <w:rFonts w:ascii="Arial" w:eastAsia="Times" w:hAnsi="Arial" w:cs="Arial"/>
          <w:sz w:val="16"/>
          <w:szCs w:val="18"/>
        </w:rPr>
        <w:t>Lynfa</w:t>
      </w:r>
      <w:proofErr w:type="spellEnd"/>
    </w:p>
    <w:p>
      <w:pPr>
        <w:ind w:left="143" w:firstLine="708"/>
        <w:rPr>
          <w:rFonts w:ascii="Arial" w:eastAsia="Times" w:hAnsi="Arial" w:cs="Arial"/>
          <w:sz w:val="16"/>
          <w:szCs w:val="18"/>
        </w:rPr>
      </w:pPr>
      <w:r>
        <w:rPr>
          <w:rFonts w:ascii="Arial" w:eastAsia="Times" w:hAnsi="Arial" w:cs="Arial"/>
          <w:sz w:val="16"/>
          <w:szCs w:val="18"/>
        </w:rPr>
        <w:t xml:space="preserve">- supporta il servizio </w:t>
      </w:r>
      <w:proofErr w:type="spellStart"/>
      <w:r>
        <w:rPr>
          <w:rFonts w:ascii="Arial" w:eastAsia="Times" w:hAnsi="Arial" w:cs="Arial"/>
          <w:sz w:val="16"/>
          <w:szCs w:val="18"/>
        </w:rPr>
        <w:t>TS_Sql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( basato su tecnologia C-</w:t>
      </w:r>
      <w:proofErr w:type="spellStart"/>
      <w:r>
        <w:rPr>
          <w:rFonts w:ascii="Arial" w:eastAsia="Times" w:hAnsi="Arial" w:cs="Arial"/>
          <w:sz w:val="16"/>
          <w:szCs w:val="18"/>
        </w:rPr>
        <w:t>tree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ACE by </w:t>
      </w:r>
      <w:proofErr w:type="spellStart"/>
      <w:r>
        <w:rPr>
          <w:rFonts w:ascii="Arial" w:eastAsia="Times" w:hAnsi="Arial" w:cs="Arial"/>
          <w:sz w:val="16"/>
          <w:szCs w:val="18"/>
        </w:rPr>
        <w:t>Faircom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) </w:t>
      </w:r>
      <w:proofErr w:type="spellStart"/>
      <w:r>
        <w:rPr>
          <w:rFonts w:ascii="Arial" w:eastAsia="Times" w:hAnsi="Arial" w:cs="Arial"/>
          <w:sz w:val="16"/>
          <w:szCs w:val="18"/>
        </w:rPr>
        <w:t>compresivo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di client </w:t>
      </w:r>
      <w:proofErr w:type="spellStart"/>
      <w:r>
        <w:rPr>
          <w:rFonts w:ascii="Arial" w:eastAsia="Times" w:hAnsi="Arial" w:cs="Arial"/>
          <w:sz w:val="16"/>
          <w:szCs w:val="18"/>
        </w:rPr>
        <w:t>odbc</w:t>
      </w:r>
      <w:proofErr w:type="spellEnd"/>
      <w:r>
        <w:rPr>
          <w:rFonts w:ascii="Arial" w:eastAsia="Times" w:hAnsi="Arial" w:cs="Arial"/>
          <w:sz w:val="16"/>
          <w:szCs w:val="18"/>
        </w:rPr>
        <w:t xml:space="preserve"> 32/64bit. </w:t>
      </w:r>
    </w:p>
    <w:p>
      <w:pPr>
        <w:ind w:left="143" w:firstLine="708"/>
        <w:rPr>
          <w:rFonts w:cs="Arial"/>
          <w:i/>
          <w:sz w:val="16"/>
          <w:szCs w:val="16"/>
        </w:rPr>
      </w:pPr>
      <w:r>
        <w:rPr>
          <w:rFonts w:ascii="Arial" w:eastAsia="Times" w:hAnsi="Arial" w:cs="Arial"/>
          <w:sz w:val="16"/>
          <w:szCs w:val="18"/>
        </w:rPr>
        <w:t xml:space="preserve">  Richiede specifica licenza.</w:t>
      </w:r>
    </w:p>
    <w:sectPr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2016.00.00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B6713"/>
    <w:multiLevelType w:val="hybridMultilevel"/>
    <w:tmpl w:val="3C7815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43D46"/>
    <w:multiLevelType w:val="hybridMultilevel"/>
    <w:tmpl w:val="D230F8C0"/>
    <w:lvl w:ilvl="0" w:tplc="0410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6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9"/>
  </w:num>
  <w:num w:numId="5">
    <w:abstractNumId w:val="4"/>
  </w:num>
  <w:num w:numId="6">
    <w:abstractNumId w:val="14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20"/>
  </w:num>
  <w:num w:numId="14">
    <w:abstractNumId w:val="1"/>
  </w:num>
  <w:num w:numId="15">
    <w:abstractNumId w:val="17"/>
  </w:num>
  <w:num w:numId="16">
    <w:abstractNumId w:val="18"/>
  </w:num>
  <w:num w:numId="17">
    <w:abstractNumId w:val="11"/>
  </w:num>
  <w:num w:numId="18">
    <w:abstractNumId w:val="21"/>
  </w:num>
  <w:num w:numId="19">
    <w:abstractNumId w:val="10"/>
  </w:num>
  <w:num w:numId="20">
    <w:abstractNumId w:val="16"/>
  </w:num>
  <w:num w:numId="21">
    <w:abstractNumId w:val="15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link w:val="Corpotesto"/>
    <w:rPr>
      <w:rFonts w:ascii="Verdana" w:hAnsi="Verdana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link w:val="Corpotesto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B135-FDDA-4BA6-ACCA-8257D197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Trombin</dc:creator>
  <cp:lastModifiedBy>Laura Manotta</cp:lastModifiedBy>
  <cp:revision>4</cp:revision>
  <cp:lastPrinted>2016-09-28T09:26:00Z</cp:lastPrinted>
  <dcterms:created xsi:type="dcterms:W3CDTF">2016-09-28T09:16:00Z</dcterms:created>
  <dcterms:modified xsi:type="dcterms:W3CDTF">2016-09-28T09:27:00Z</dcterms:modified>
</cp:coreProperties>
</file>