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</w:pPr>
            <w:r>
              <w:t>RELEASE Versione 2016.0.1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</w:p>
          <w:p>
            <w:pPr>
              <w:pStyle w:val="CorpoAltF0"/>
              <w:rPr>
                <w:color w:val="000000"/>
              </w:rPr>
            </w:pP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96573" cy="2376000"/>
                  <wp:effectExtent l="0" t="0" r="0" b="0"/>
                  <wp:docPr id="1" name="Immagine 1" descr="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573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GECOM UNICA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2016.0.1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15.02.2016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2016.0.2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2016.0.2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2016.0.1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STUDIO 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2015.3.1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GEST770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2016.0.0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Ind w:w="1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Attivazione dei programmi utili all’esecuzione della trasmissione telematica del file e dell’elaborazione delle ricevute rilasciate dal servizio telematico, attestanti l’avvenuta presentazione delle Comunicazioni/Certificazioni.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GENSOST</w:t>
            </w:r>
          </w:p>
          <w:p>
            <w:pPr>
              <w:pStyle w:val="corpoAltF"/>
              <w:ind w:left="454" w:right="170"/>
            </w:pPr>
            <w:r>
              <w:t xml:space="preserve">Predisposto il nuovo programma </w:t>
            </w:r>
            <w:r>
              <w:rPr>
                <w:b/>
                <w:sz w:val="22"/>
                <w:szCs w:val="22"/>
              </w:rPr>
              <w:t>GENSOST</w:t>
            </w:r>
            <w:r>
              <w:rPr>
                <w:sz w:val="22"/>
                <w:szCs w:val="22"/>
              </w:rPr>
              <w:t>,</w:t>
            </w:r>
            <w:r>
              <w:t xml:space="preserve"> che consente di generare il file telematico per sostituire o annullare certificazioni precedentemente inviate e validamente accolte.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CERSCA</w:t>
            </w:r>
          </w:p>
          <w:p>
            <w:pPr>
              <w:pStyle w:val="corpoAltF"/>
              <w:ind w:left="454" w:right="170"/>
            </w:pPr>
            <w:r>
              <w:t xml:space="preserve">Predisposto il nuovo programma </w:t>
            </w:r>
            <w:r>
              <w:rPr>
                <w:b/>
                <w:sz w:val="22"/>
                <w:szCs w:val="22"/>
              </w:rPr>
              <w:t>CERSCA</w:t>
            </w:r>
            <w:r>
              <w:rPr>
                <w:sz w:val="22"/>
                <w:szCs w:val="22"/>
              </w:rPr>
              <w:t>,</w:t>
            </w:r>
            <w:r>
              <w:t xml:space="preserve"> che consente di generare una stampa con l’elenco delle certificazioni scartate dopo l’invio.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ELEFIR</w:t>
            </w:r>
          </w:p>
          <w:p>
            <w:pPr>
              <w:pStyle w:val="corpoAltF"/>
              <w:ind w:left="454" w:right="170"/>
            </w:pPr>
            <w:r>
              <w:t xml:space="preserve">Predisposto il nuovo programma </w:t>
            </w:r>
            <w:r>
              <w:rPr>
                <w:b/>
                <w:sz w:val="22"/>
                <w:szCs w:val="22"/>
              </w:rPr>
              <w:t>ELEFIR</w:t>
            </w:r>
            <w:r>
              <w:rPr>
                <w:sz w:val="22"/>
                <w:szCs w:val="22"/>
              </w:rPr>
              <w:t>,</w:t>
            </w:r>
            <w:r>
              <w:t xml:space="preserve"> che consente di generare una stampa utile, al momento della consegna ai percipienti delle certificazioni cartacee, al fine dell’apposizione della firma per ricevuta.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QUACER</w:t>
            </w:r>
          </w:p>
          <w:p>
            <w:pPr>
              <w:pStyle w:val="corpoAltF"/>
              <w:numPr>
                <w:ilvl w:val="0"/>
                <w:numId w:val="29"/>
              </w:numPr>
              <w:ind w:left="725" w:right="170" w:hanging="271"/>
            </w:pPr>
            <w:r>
              <w:t>Modificata la funzione “</w:t>
            </w:r>
            <w:r>
              <w:rPr>
                <w:i/>
              </w:rPr>
              <w:t>F3 Totali</w:t>
            </w:r>
            <w:r>
              <w:t>”, attiva in corrispondenza del campo “</w:t>
            </w:r>
            <w:r>
              <w:rPr>
                <w:i/>
              </w:rPr>
              <w:t>Percipiente</w:t>
            </w:r>
            <w:r>
              <w:t>” dei quadri “</w:t>
            </w:r>
            <w:r>
              <w:rPr>
                <w:i/>
              </w:rPr>
              <w:t>Lavoro dipendente</w:t>
            </w:r>
            <w:r>
              <w:t>” e “</w:t>
            </w:r>
            <w:r>
              <w:rPr>
                <w:i/>
              </w:rPr>
              <w:t>Lavoro autonomo</w:t>
            </w:r>
            <w:r>
              <w:t>”, al fine di esporre una segnalazione a video nel caso di selezione dell’anteprima di stampa del modello sintetico.</w:t>
            </w:r>
          </w:p>
          <w:p>
            <w:pPr>
              <w:pStyle w:val="corpoAltF"/>
              <w:numPr>
                <w:ilvl w:val="0"/>
                <w:numId w:val="29"/>
              </w:numPr>
              <w:ind w:left="725" w:right="170" w:hanging="271"/>
            </w:pPr>
            <w:r>
              <w:t>Implementata la scelta “</w:t>
            </w:r>
            <w:r>
              <w:rPr>
                <w:i/>
              </w:rPr>
              <w:t>Completamento dati</w:t>
            </w:r>
            <w:r>
              <w:t>” con l’inserimento del nuovo campo “</w:t>
            </w:r>
            <w:r>
              <w:rPr>
                <w:i/>
              </w:rPr>
              <w:t>Blocca data</w:t>
            </w:r>
            <w:r>
              <w:t>”, utile per nel caso di ristampa della Comunicazione o delle singole certificazioni, al fine di riportare come data di stampa da parte del sostituto, la data precedentemente memorizzata al campo “</w:t>
            </w:r>
            <w:r>
              <w:rPr>
                <w:i/>
              </w:rPr>
              <w:t>Data firma CU da parte del sostituto</w:t>
            </w:r>
            <w:r>
              <w:t>”.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MODCER</w:t>
            </w:r>
          </w:p>
          <w:p>
            <w:pPr>
              <w:pStyle w:val="corpoAltF"/>
              <w:ind w:left="454" w:right="170"/>
            </w:pPr>
            <w:r>
              <w:t xml:space="preserve">Inserito un controllo all’interno del programma </w:t>
            </w:r>
            <w:r>
              <w:rPr>
                <w:b/>
              </w:rPr>
              <w:t>MODCER</w:t>
            </w:r>
            <w:r>
              <w:t xml:space="preserve"> nel caso di stampa effettuata nel mese di marzo, al fine di riportare comunque nella Comunicazione e singole certificazioni come data di stampa il 29/02/2016.</w:t>
            </w:r>
          </w:p>
          <w:p>
            <w:pPr>
              <w:pStyle w:val="corpoAltF"/>
              <w:ind w:right="170"/>
            </w:pPr>
          </w:p>
        </w:tc>
      </w:tr>
    </w:tbl>
    <w:p>
      <w:pPr>
        <w:pStyle w:val="CorpoAltF0"/>
      </w:pPr>
      <w:r>
        <w:br w:type="page"/>
      </w:r>
    </w:p>
    <w:p>
      <w:pPr>
        <w:pStyle w:val="CorpoAltF0"/>
      </w:pPr>
    </w:p>
    <w:tbl>
      <w:tblPr>
        <w:tblW w:w="0" w:type="auto"/>
        <w:jc w:val="center"/>
        <w:tblInd w:w="1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PARPDF</w:t>
            </w:r>
          </w:p>
          <w:p>
            <w:pPr>
              <w:pStyle w:val="corpoAltF"/>
              <w:ind w:left="454" w:right="170"/>
            </w:pPr>
            <w:r>
              <w:t xml:space="preserve">Implementato il programma con l’inserimento di una nuova funzione, utile nel caso d’invio delle certificazioni ai percipienti tramite e-mail, per poter indicare un oggetto e un testo diversi da quelli proposti in automatico dal comando </w:t>
            </w:r>
            <w:r>
              <w:rPr>
                <w:b/>
              </w:rPr>
              <w:t>EMAILPER</w:t>
            </w:r>
            <w:r>
              <w:t>.</w:t>
            </w:r>
          </w:p>
          <w:p>
            <w:pPr>
              <w:pStyle w:val="corpoAltF"/>
              <w:ind w:left="454" w:right="170"/>
            </w:pPr>
            <w:r>
              <w:t xml:space="preserve">Si precisa che tale implementazione era già presente nella versione </w:t>
            </w:r>
            <w:r>
              <w:rPr>
                <w:b/>
              </w:rPr>
              <w:t>UNICA 2016.0.0</w:t>
            </w:r>
            <w:r>
              <w:t>, ma non era stata documentata.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EMAILPER</w:t>
            </w:r>
          </w:p>
          <w:p>
            <w:pPr>
              <w:pStyle w:val="corpoAltF"/>
              <w:ind w:left="454" w:right="170"/>
            </w:pPr>
            <w:r>
              <w:t xml:space="preserve">Nel caso di collegamento con la procedura </w:t>
            </w:r>
            <w:r>
              <w:rPr>
                <w:b/>
              </w:rPr>
              <w:t>PAGHE</w:t>
            </w:r>
            <w:r>
              <w:t xml:space="preserve"> ed utilizzo del comando </w:t>
            </w:r>
            <w:r>
              <w:rPr>
                <w:b/>
              </w:rPr>
              <w:t>EMAILPER</w:t>
            </w:r>
            <w:r>
              <w:t xml:space="preserve"> per memorizzare le certificazioni in formato </w:t>
            </w:r>
            <w:r>
              <w:rPr>
                <w:i/>
              </w:rPr>
              <w:t>.pdf</w:t>
            </w:r>
            <w:r>
              <w:t>, implementato il programma per poter effettuare la memorizzazione, suddividendo i percipienti in base all’azienda/filiale di appartenenza.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Istruzioni on-line</w:t>
            </w:r>
          </w:p>
          <w:p>
            <w:pPr>
              <w:pStyle w:val="corpoAltF"/>
              <w:ind w:left="454" w:right="170"/>
            </w:pPr>
            <w:r>
              <w:t xml:space="preserve">Implementato il programma per poter visualizzare, in formato </w:t>
            </w:r>
            <w:r>
              <w:rPr>
                <w:i/>
              </w:rPr>
              <w:t>.pdf</w:t>
            </w:r>
            <w:r>
              <w:t>, i modelli e le istruzioni operative della Certificazione Unica 2016.</w:t>
            </w:r>
          </w:p>
          <w:p>
            <w:pPr>
              <w:pStyle w:val="corpoAltF"/>
              <w:ind w:left="454" w:right="170"/>
            </w:pP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ind w:left="454" w:right="170"/>
            </w:pPr>
            <w:r>
              <w:t>Correzione prelievo dati da procedura PAGHE.</w:t>
            </w:r>
          </w:p>
          <w:p>
            <w:pPr>
              <w:pStyle w:val="corpoAltF"/>
              <w:ind w:left="454" w:right="170"/>
            </w:pPr>
          </w:p>
          <w:p>
            <w:pPr>
              <w:pStyle w:val="corpoAltF"/>
              <w:ind w:left="454" w:right="170"/>
            </w:pPr>
          </w:p>
          <w:p>
            <w:pPr>
              <w:pStyle w:val="corpoAltF"/>
              <w:spacing w:before="180"/>
              <w:ind w:left="454" w:right="170"/>
              <w:rPr>
                <w:i/>
              </w:rPr>
            </w:pPr>
            <w:r>
              <w:rPr>
                <w:b/>
                <w:u w:val="single"/>
              </w:rPr>
              <w:t>Allegato</w:t>
            </w:r>
            <w:r>
              <w:t>: “</w:t>
            </w:r>
            <w:r>
              <w:rPr>
                <w:i/>
              </w:rPr>
              <w:t>Manuale UNICA 2016”</w:t>
            </w:r>
          </w:p>
          <w:p>
            <w:pPr>
              <w:pStyle w:val="corpoAltF"/>
              <w:spacing w:before="180"/>
              <w:ind w:right="170"/>
              <w:rPr>
                <w:b/>
                <w:sz w:val="22"/>
                <w:szCs w:val="22"/>
              </w:rPr>
            </w:pPr>
          </w:p>
        </w:tc>
      </w:tr>
    </w:tbl>
    <w:p>
      <w:pPr>
        <w:pStyle w:val="CorpoAltF0"/>
        <w:jc w:val="left"/>
      </w:pPr>
    </w:p>
    <w:p>
      <w:pPr>
        <w:pStyle w:val="CorpoAltF0"/>
        <w:jc w:val="left"/>
      </w:pPr>
    </w:p>
    <w:p>
      <w:pPr>
        <w:pStyle w:val="CorpoAltF0"/>
      </w:pPr>
      <w:bookmarkStart w:id="0" w:name="_Toc33011301"/>
    </w:p>
    <w:p>
      <w:pPr>
        <w:pStyle w:val="CorpoAltF0"/>
      </w:pPr>
      <w:r>
        <w:br w:type="page"/>
      </w:r>
    </w:p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Ind w:w="1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  <w:bookmarkEnd w:id="0"/>
    </w:tbl>
    <w:p>
      <w:pPr>
        <w:pStyle w:val="CorpoAltF0"/>
        <w:rPr>
          <w:sz w:val="10"/>
          <w:szCs w:val="10"/>
        </w:rPr>
      </w:pPr>
    </w:p>
    <w:tbl>
      <w:tblPr>
        <w:tblW w:w="9615" w:type="dxa"/>
        <w:jc w:val="center"/>
        <w:tblInd w:w="640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859"/>
        <w:gridCol w:w="2231"/>
        <w:gridCol w:w="3182"/>
        <w:gridCol w:w="2343"/>
      </w:tblGrid>
      <w:tr>
        <w:trPr>
          <w:trHeight w:val="205"/>
          <w:jc w:val="center"/>
        </w:trPr>
        <w:tc>
          <w:tcPr>
            <w:tcW w:w="9615" w:type="dxa"/>
            <w:gridSpan w:val="4"/>
            <w:shd w:val="clear" w:color="auto" w:fill="DBDBDB"/>
          </w:tcPr>
          <w:p>
            <w:pPr>
              <w:pStyle w:val="CorpoAltF0"/>
              <w:spacing w:before="60" w:after="60"/>
              <w:rPr>
                <w:b/>
              </w:rPr>
            </w:pPr>
            <w:r>
              <w:rPr>
                <w:b/>
              </w:rPr>
              <w:t>Tabella riepilogativa Sistemi Operativi supportati al 07/10/2015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1859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Sistema Operativo</w:t>
            </w:r>
          </w:p>
        </w:tc>
        <w:tc>
          <w:tcPr>
            <w:tcW w:w="2231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Versione</w:t>
            </w:r>
          </w:p>
        </w:tc>
        <w:tc>
          <w:tcPr>
            <w:tcW w:w="3182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Release minime Software di base richieste da linea </w:t>
            </w:r>
            <w:proofErr w:type="spellStart"/>
            <w:r>
              <w:rPr>
                <w:b/>
                <w:sz w:val="16"/>
                <w:szCs w:val="16"/>
              </w:rPr>
              <w:t>Gecom</w:t>
            </w:r>
            <w:proofErr w:type="spellEnd"/>
            <w:r>
              <w:rPr>
                <w:b/>
                <w:sz w:val="16"/>
                <w:szCs w:val="16"/>
              </w:rPr>
              <w:t xml:space="preserve"> e Gamma Plus</w:t>
            </w:r>
          </w:p>
        </w:tc>
        <w:tc>
          <w:tcPr>
            <w:tcW w:w="2343" w:type="dxa"/>
            <w:shd w:val="clear" w:color="auto" w:fill="F2F2F2"/>
            <w:vAlign w:val="center"/>
          </w:tcPr>
          <w:p>
            <w:pPr>
              <w:pStyle w:val="CorpoAltF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Release minime Software di base richieste da linea </w:t>
            </w:r>
            <w:proofErr w:type="spellStart"/>
            <w:r>
              <w:rPr>
                <w:b/>
                <w:sz w:val="16"/>
                <w:szCs w:val="16"/>
              </w:rPr>
              <w:t>Lynfa</w:t>
            </w:r>
            <w:proofErr w:type="spellEnd"/>
            <w:r>
              <w:rPr>
                <w:b/>
                <w:sz w:val="16"/>
                <w:szCs w:val="16"/>
              </w:rPr>
              <w:t xml:space="preserve"> Studio e </w:t>
            </w:r>
            <w:proofErr w:type="spellStart"/>
            <w:r>
              <w:rPr>
                <w:b/>
                <w:sz w:val="16"/>
                <w:szCs w:val="16"/>
              </w:rPr>
              <w:t>Lynfa</w:t>
            </w:r>
            <w:proofErr w:type="spellEnd"/>
            <w:r>
              <w:rPr>
                <w:b/>
                <w:sz w:val="16"/>
                <w:szCs w:val="16"/>
              </w:rPr>
              <w:t xml:space="preserve"> Azienda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4"/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b/>
                <w:sz w:val="16"/>
                <w:szCs w:val="16"/>
              </w:rPr>
            </w:pPr>
          </w:p>
          <w:p>
            <w:pPr>
              <w:pStyle w:val="CorpoAltF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Windows</w:t>
            </w:r>
          </w:p>
          <w:p>
            <w:pPr>
              <w:pStyle w:val="CorpoAltF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XP Professional SP3 </w:t>
            </w:r>
            <w:r>
              <w:rPr>
                <w:i/>
                <w:sz w:val="14"/>
                <w:szCs w:val="16"/>
                <w:lang w:val="de-DE"/>
              </w:rPr>
              <w:t>(1)</w:t>
            </w:r>
          </w:p>
          <w:p>
            <w:pPr>
              <w:pStyle w:val="CorpoAltF0"/>
              <w:rPr>
                <w:i/>
                <w:sz w:val="14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2003 Server SP2 </w:t>
            </w:r>
            <w:r>
              <w:rPr>
                <w:i/>
                <w:sz w:val="14"/>
                <w:szCs w:val="16"/>
                <w:lang w:val="de-DE"/>
              </w:rPr>
              <w:t>(2)</w:t>
            </w:r>
          </w:p>
          <w:p>
            <w:pPr>
              <w:pStyle w:val="CorpoAltF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SBS 2003 Server SP2 </w:t>
            </w:r>
            <w:r>
              <w:rPr>
                <w:i/>
                <w:sz w:val="14"/>
                <w:szCs w:val="16"/>
                <w:lang w:val="de-DE"/>
              </w:rPr>
              <w:t>(2)</w:t>
            </w:r>
          </w:p>
          <w:p>
            <w:pPr>
              <w:pStyle w:val="CorpoAltF0"/>
              <w:rPr>
                <w:i/>
                <w:sz w:val="14"/>
                <w:szCs w:val="16"/>
                <w:lang w:val="de-DE"/>
              </w:rPr>
            </w:pPr>
            <w:r>
              <w:rPr>
                <w:sz w:val="16"/>
                <w:szCs w:val="16"/>
                <w:lang w:val="en-GB"/>
              </w:rPr>
              <w:t xml:space="preserve">2008 Server SP2 </w:t>
            </w:r>
            <w:r>
              <w:rPr>
                <w:i/>
                <w:sz w:val="14"/>
                <w:szCs w:val="16"/>
                <w:lang w:val="de-DE"/>
              </w:rPr>
              <w:t>(3)</w:t>
            </w:r>
          </w:p>
          <w:p>
            <w:pPr>
              <w:pStyle w:val="CorpoAltF0"/>
              <w:rPr>
                <w:i/>
                <w:sz w:val="14"/>
                <w:szCs w:val="16"/>
                <w:lang w:val="de-DE"/>
              </w:rPr>
            </w:pPr>
            <w:r>
              <w:rPr>
                <w:sz w:val="16"/>
                <w:szCs w:val="16"/>
                <w:lang w:val="en-GB"/>
              </w:rPr>
              <w:t xml:space="preserve">2008 R2 SP1 </w:t>
            </w:r>
            <w:r>
              <w:rPr>
                <w:i/>
                <w:sz w:val="14"/>
                <w:szCs w:val="16"/>
                <w:lang w:val="de-DE"/>
              </w:rPr>
              <w:t>(3)</w:t>
            </w:r>
          </w:p>
          <w:p>
            <w:pPr>
              <w:pStyle w:val="CorpoAltF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SBS 2008 Server SP2</w:t>
            </w:r>
          </w:p>
          <w:p>
            <w:pPr>
              <w:pStyle w:val="CorpoAltF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Windows 7 Professional</w:t>
            </w:r>
          </w:p>
          <w:p>
            <w:pPr>
              <w:pStyle w:val="CorpoAltF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SBS 2011 Server</w:t>
            </w:r>
          </w:p>
          <w:p>
            <w:pPr>
              <w:pStyle w:val="CorpoAltF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Server 2012, 2012 R2</w:t>
            </w:r>
          </w:p>
          <w:p>
            <w:pPr>
              <w:pStyle w:val="CorpoAltF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8.1 Pro 64bit</w:t>
            </w:r>
          </w:p>
          <w:p>
            <w:pPr>
              <w:pStyle w:val="CorpoAltF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en-GB"/>
              </w:rPr>
              <w:t>10 Pro 64bit e 32bit</w:t>
            </w:r>
          </w:p>
        </w:tc>
        <w:tc>
          <w:tcPr>
            <w:tcW w:w="318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TeamPortal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20150400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Sysint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/W 20140100 </w:t>
            </w:r>
            <w:r>
              <w:rPr>
                <w:i/>
                <w:sz w:val="14"/>
                <w:szCs w:val="16"/>
                <w:lang w:val="de-DE"/>
              </w:rPr>
              <w:t>(5)</w:t>
            </w:r>
            <w:r>
              <w:rPr>
                <w:sz w:val="16"/>
                <w:szCs w:val="16"/>
                <w:lang w:val="de-DE"/>
              </w:rPr>
              <w:t xml:space="preserve"> e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SysIntGateway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20150400 </w:t>
            </w:r>
            <w:r>
              <w:rPr>
                <w:i/>
                <w:sz w:val="14"/>
                <w:szCs w:val="16"/>
                <w:lang w:val="de-DE"/>
              </w:rPr>
              <w:t>(5)</w:t>
            </w:r>
            <w:r>
              <w:rPr>
                <w:sz w:val="16"/>
                <w:szCs w:val="16"/>
                <w:lang w:val="de-DE"/>
              </w:rPr>
              <w:t xml:space="preserve"> e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812-20140200 </w:t>
            </w:r>
            <w:r>
              <w:rPr>
                <w:i/>
                <w:sz w:val="14"/>
                <w:szCs w:val="16"/>
                <w:lang w:val="de-DE"/>
              </w:rPr>
              <w:t>(5)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722-20090100 </w:t>
            </w:r>
            <w:r>
              <w:rPr>
                <w:i/>
                <w:sz w:val="14"/>
                <w:szCs w:val="16"/>
                <w:lang w:val="de-DE"/>
              </w:rPr>
              <w:t>(5)(7)</w:t>
            </w:r>
          </w:p>
        </w:tc>
        <w:tc>
          <w:tcPr>
            <w:tcW w:w="2343" w:type="dxa"/>
            <w:shd w:val="clear" w:color="auto" w:fill="FFFFFF"/>
            <w:vAlign w:val="center"/>
          </w:tcPr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POLYEDRO 20150400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de-DE"/>
              </w:rPr>
              <w:t>TeamLinux</w:t>
            </w:r>
            <w:proofErr w:type="spellEnd"/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2.10 </w:t>
            </w:r>
            <w:r>
              <w:rPr>
                <w:i/>
                <w:sz w:val="14"/>
                <w:szCs w:val="16"/>
                <w:lang w:val="de-DE"/>
              </w:rPr>
              <w:t>(4)</w:t>
            </w:r>
            <w:r>
              <w:rPr>
                <w:sz w:val="16"/>
                <w:szCs w:val="16"/>
                <w:lang w:val="de-DE"/>
              </w:rPr>
              <w:t>, 3.2, 4.2</w:t>
            </w:r>
          </w:p>
        </w:tc>
        <w:tc>
          <w:tcPr>
            <w:tcW w:w="3182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TeamPortal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20150400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Sysint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/U 4.4 </w:t>
            </w:r>
            <w:r>
              <w:rPr>
                <w:i/>
                <w:sz w:val="14"/>
                <w:szCs w:val="16"/>
                <w:lang w:val="de-DE"/>
              </w:rPr>
              <w:t>(5)</w:t>
            </w:r>
            <w:r>
              <w:rPr>
                <w:sz w:val="16"/>
                <w:szCs w:val="16"/>
                <w:lang w:val="de-DE"/>
              </w:rPr>
              <w:t xml:space="preserve"> e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SysIntGateway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20150400</w:t>
            </w:r>
            <w:r>
              <w:rPr>
                <w:i/>
                <w:sz w:val="14"/>
                <w:szCs w:val="16"/>
                <w:lang w:val="de-DE"/>
              </w:rPr>
              <w:t xml:space="preserve"> (5)(8)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812-20140200 </w:t>
            </w:r>
            <w:r>
              <w:rPr>
                <w:i/>
                <w:sz w:val="14"/>
                <w:szCs w:val="16"/>
                <w:lang w:val="de-DE"/>
              </w:rPr>
              <w:t>(5)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Runtime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722-20090100 </w:t>
            </w:r>
            <w:r>
              <w:rPr>
                <w:i/>
                <w:sz w:val="14"/>
                <w:szCs w:val="16"/>
                <w:lang w:val="de-DE"/>
              </w:rPr>
              <w:t>(5)(7)</w:t>
            </w:r>
          </w:p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343" w:type="dxa"/>
            <w:vMerge w:val="restart"/>
            <w:shd w:val="clear" w:color="auto" w:fill="FFFFFF"/>
            <w:vAlign w:val="center"/>
          </w:tcPr>
          <w:p>
            <w:pPr>
              <w:pStyle w:val="CorpoAltF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POLYEDRO 20150400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Suse Linux Enterprise Server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11-SP1, 11-SP3</w:t>
            </w:r>
          </w:p>
        </w:tc>
        <w:tc>
          <w:tcPr>
            <w:tcW w:w="3182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</w:p>
        </w:tc>
        <w:tc>
          <w:tcPr>
            <w:tcW w:w="2343" w:type="dxa"/>
            <w:vMerge/>
            <w:shd w:val="clear" w:color="auto" w:fill="FFFFFF"/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Ubuntu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12.4 LTS </w:t>
            </w:r>
            <w:r>
              <w:rPr>
                <w:i/>
                <w:sz w:val="14"/>
                <w:szCs w:val="16"/>
                <w:lang w:val="de-DE"/>
              </w:rPr>
              <w:t>(6)</w:t>
            </w:r>
            <w:r>
              <w:rPr>
                <w:sz w:val="16"/>
                <w:szCs w:val="16"/>
                <w:lang w:val="de-DE"/>
              </w:rPr>
              <w:t>, 14.4 64bit LTS, 14.10 64bit, 15.04 64bit</w:t>
            </w:r>
          </w:p>
        </w:tc>
        <w:tc>
          <w:tcPr>
            <w:tcW w:w="3182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</w:p>
        </w:tc>
        <w:tc>
          <w:tcPr>
            <w:tcW w:w="2343" w:type="dxa"/>
            <w:vMerge/>
            <w:shd w:val="clear" w:color="auto" w:fill="FFFFFF"/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Fedora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 64bit, 22 64bit</w:t>
            </w:r>
          </w:p>
        </w:tc>
        <w:tc>
          <w:tcPr>
            <w:tcW w:w="3182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</w:p>
        </w:tc>
        <w:tc>
          <w:tcPr>
            <w:tcW w:w="2343" w:type="dxa"/>
            <w:vMerge/>
            <w:shd w:val="clear" w:color="auto" w:fill="FFFFFF"/>
            <w:vAlign w:val="center"/>
          </w:tcPr>
          <w:p>
            <w:pPr>
              <w:pStyle w:val="CorpoAltF0"/>
              <w:rPr>
                <w:sz w:val="16"/>
                <w:szCs w:val="16"/>
                <w:lang w:val="de-DE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fr-FR"/>
              </w:rPr>
              <w:t>CentOS</w:t>
            </w:r>
            <w:proofErr w:type="spellEnd"/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6.2</w:t>
            </w:r>
            <w:r>
              <w:rPr>
                <w:i/>
                <w:sz w:val="14"/>
                <w:szCs w:val="16"/>
                <w:lang w:val="de-DE"/>
              </w:rPr>
              <w:t>(4</w:t>
            </w:r>
            <w:r>
              <w:rPr>
                <w:sz w:val="16"/>
                <w:szCs w:val="16"/>
                <w:lang w:val="fr-FR"/>
              </w:rPr>
              <w:t>), 6.4, 6.5, 6.6 64bit, 7 64bit</w:t>
            </w:r>
          </w:p>
        </w:tc>
        <w:tc>
          <w:tcPr>
            <w:tcW w:w="3182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fr-FR"/>
              </w:rPr>
            </w:pPr>
          </w:p>
        </w:tc>
        <w:tc>
          <w:tcPr>
            <w:tcW w:w="2343" w:type="dxa"/>
            <w:vMerge/>
            <w:shd w:val="clear" w:color="auto" w:fill="FFFFFF"/>
            <w:vAlign w:val="center"/>
          </w:tcPr>
          <w:p>
            <w:pPr>
              <w:pStyle w:val="CorpoAltF0"/>
              <w:rPr>
                <w:sz w:val="16"/>
                <w:szCs w:val="16"/>
                <w:lang w:val="fr-FR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859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Linux PowerPC</w:t>
            </w:r>
          </w:p>
        </w:tc>
        <w:tc>
          <w:tcPr>
            <w:tcW w:w="2231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OpenSuse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10.3</w:t>
            </w:r>
          </w:p>
          <w:p>
            <w:pPr>
              <w:pStyle w:val="CorpoAltF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de-DE"/>
              </w:rPr>
              <w:t>SLES 11.3</w:t>
            </w:r>
          </w:p>
        </w:tc>
        <w:tc>
          <w:tcPr>
            <w:tcW w:w="3182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sz w:val="16"/>
                <w:szCs w:val="16"/>
                <w:lang w:val="fr-FR"/>
              </w:rPr>
            </w:pPr>
          </w:p>
        </w:tc>
        <w:tc>
          <w:tcPr>
            <w:tcW w:w="2343" w:type="dxa"/>
            <w:vMerge/>
            <w:shd w:val="clear" w:color="auto" w:fill="FFFFFF"/>
            <w:vAlign w:val="center"/>
          </w:tcPr>
          <w:p>
            <w:pPr>
              <w:pStyle w:val="CorpoAltF0"/>
              <w:rPr>
                <w:sz w:val="16"/>
                <w:szCs w:val="16"/>
                <w:lang w:val="fr-FR"/>
              </w:rPr>
            </w:pPr>
          </w:p>
        </w:tc>
      </w:tr>
    </w:tbl>
    <w:p>
      <w:pPr>
        <w:pStyle w:val="CorpoAltF0"/>
        <w:rPr>
          <w:sz w:val="10"/>
          <w:szCs w:val="10"/>
        </w:rPr>
      </w:pPr>
    </w:p>
    <w:p>
      <w:pPr>
        <w:pStyle w:val="CorpoAltF0"/>
        <w:numPr>
          <w:ilvl w:val="0"/>
          <w:numId w:val="21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>Supporto al Sistema Operativo in fase di dismissione</w:t>
      </w:r>
      <w:r>
        <w:rPr>
          <w:i/>
          <w:sz w:val="14"/>
          <w:szCs w:val="14"/>
        </w:rPr>
        <w:t xml:space="preserve"> </w:t>
      </w:r>
      <w:r>
        <w:rPr>
          <w:sz w:val="14"/>
          <w:szCs w:val="14"/>
        </w:rPr>
        <w:t>(termine improrogabile: Giugno 2016)</w:t>
      </w:r>
    </w:p>
    <w:p>
      <w:pPr>
        <w:pStyle w:val="CorpoAltF0"/>
        <w:ind w:left="851" w:right="284"/>
        <w:rPr>
          <w:sz w:val="14"/>
          <w:szCs w:val="14"/>
        </w:rPr>
      </w:pPr>
      <w:r>
        <w:rPr>
          <w:sz w:val="14"/>
          <w:szCs w:val="14"/>
        </w:rPr>
        <w:t>ATTENZIONE: Sistema già dismesso da Microsoft</w:t>
      </w:r>
    </w:p>
    <w:p>
      <w:pPr>
        <w:pStyle w:val="CorpoAltF0"/>
        <w:numPr>
          <w:ilvl w:val="0"/>
          <w:numId w:val="21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>Supporto al Sistema Operativo in fase di dismissione</w:t>
      </w:r>
      <w:r>
        <w:rPr>
          <w:i/>
          <w:sz w:val="14"/>
          <w:szCs w:val="14"/>
        </w:rPr>
        <w:t xml:space="preserve"> </w:t>
      </w:r>
      <w:r>
        <w:rPr>
          <w:sz w:val="14"/>
          <w:szCs w:val="14"/>
        </w:rPr>
        <w:t>(termine previsto: Giugno 2016)</w:t>
      </w:r>
    </w:p>
    <w:p>
      <w:pPr>
        <w:pStyle w:val="CorpoAltF0"/>
        <w:ind w:left="851" w:right="284"/>
        <w:rPr>
          <w:sz w:val="14"/>
          <w:szCs w:val="14"/>
        </w:rPr>
      </w:pPr>
      <w:r>
        <w:rPr>
          <w:sz w:val="14"/>
          <w:szCs w:val="14"/>
        </w:rPr>
        <w:t>ATTENZIONE: Sistema già dismesso da Microsoft</w:t>
      </w:r>
    </w:p>
    <w:p>
      <w:pPr>
        <w:pStyle w:val="CorpoAltF0"/>
        <w:numPr>
          <w:ilvl w:val="0"/>
          <w:numId w:val="21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 xml:space="preserve">ATTENZIONE: Le esperienze d’uso presso nostri Clienti e Partner ci danno indicazioni che in Terminal Server si possono presentare casuali rallentamenti nella visualizzazione/interazione di alcuni componenti grafici nelle maschere. </w:t>
      </w:r>
    </w:p>
    <w:p>
      <w:pPr>
        <w:pStyle w:val="CorpoAltF0"/>
        <w:ind w:left="851" w:right="284"/>
        <w:rPr>
          <w:sz w:val="14"/>
          <w:szCs w:val="14"/>
        </w:rPr>
      </w:pPr>
      <w:r>
        <w:rPr>
          <w:sz w:val="14"/>
          <w:szCs w:val="14"/>
        </w:rPr>
        <w:t xml:space="preserve">A parità di hardware, impianto e operatività utente, il problema non si riscontra con S.O. Windows 2012R2  </w:t>
      </w:r>
    </w:p>
    <w:p>
      <w:pPr>
        <w:pStyle w:val="CorpoAltF0"/>
        <w:ind w:left="851" w:right="284"/>
        <w:rPr>
          <w:i/>
          <w:sz w:val="14"/>
          <w:szCs w:val="14"/>
          <w:lang w:val="en-US"/>
        </w:rPr>
      </w:pPr>
      <w:r>
        <w:rPr>
          <w:i/>
          <w:sz w:val="14"/>
          <w:szCs w:val="14"/>
          <w:lang w:val="en-US"/>
        </w:rPr>
        <w:t>(Windows 2012R2, Remote Desktop Services Overview: https://technet.microsoft.com/en-us/library/hh831447.aspx)</w:t>
      </w:r>
    </w:p>
    <w:p>
      <w:pPr>
        <w:pStyle w:val="CorpoAltF0"/>
        <w:numPr>
          <w:ilvl w:val="0"/>
          <w:numId w:val="21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>Supporto al Sistema Operativo in fase di dismissione (termine previsto: Ottobre 2016)</w:t>
      </w:r>
    </w:p>
    <w:p>
      <w:pPr>
        <w:pStyle w:val="CorpoAltF0"/>
        <w:numPr>
          <w:ilvl w:val="0"/>
          <w:numId w:val="21"/>
        </w:numPr>
        <w:ind w:left="851" w:right="284" w:hanging="284"/>
        <w:rPr>
          <w:bCs/>
          <w:sz w:val="14"/>
          <w:szCs w:val="14"/>
        </w:rPr>
      </w:pPr>
      <w:r>
        <w:rPr>
          <w:sz w:val="14"/>
          <w:szCs w:val="14"/>
        </w:rPr>
        <w:t xml:space="preserve">Moduli di software di base non più necessari per </w:t>
      </w:r>
      <w:r>
        <w:rPr>
          <w:bCs/>
          <w:sz w:val="14"/>
          <w:szCs w:val="14"/>
        </w:rPr>
        <w:t xml:space="preserve">ambienti </w:t>
      </w:r>
      <w:r>
        <w:rPr>
          <w:bCs/>
          <w:i/>
          <w:sz w:val="14"/>
          <w:szCs w:val="14"/>
        </w:rPr>
        <w:t>Nativi</w:t>
      </w:r>
      <w:r>
        <w:rPr>
          <w:bCs/>
          <w:sz w:val="14"/>
          <w:szCs w:val="14"/>
        </w:rPr>
        <w:t xml:space="preserve"> Procedure Gestionali</w:t>
      </w:r>
    </w:p>
    <w:p>
      <w:pPr>
        <w:pStyle w:val="CorpoAltF0"/>
        <w:numPr>
          <w:ilvl w:val="0"/>
          <w:numId w:val="21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>Supporto al Sistema Operativo fino ad Aprile 2017</w:t>
      </w:r>
    </w:p>
    <w:p>
      <w:pPr>
        <w:pStyle w:val="CorpoAltF0"/>
        <w:numPr>
          <w:ilvl w:val="0"/>
          <w:numId w:val="21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>Supporto al Runtime 722-20090100 in fase di dismissione</w:t>
      </w:r>
      <w:r>
        <w:rPr>
          <w:i/>
          <w:sz w:val="14"/>
          <w:szCs w:val="14"/>
        </w:rPr>
        <w:t xml:space="preserve"> </w:t>
      </w:r>
      <w:r>
        <w:rPr>
          <w:sz w:val="14"/>
          <w:szCs w:val="14"/>
        </w:rPr>
        <w:t xml:space="preserve">(termine previsto: Giugno 2016) </w:t>
      </w:r>
    </w:p>
    <w:p>
      <w:pPr>
        <w:pStyle w:val="CorpoAltF0"/>
        <w:ind w:left="851" w:right="284"/>
        <w:rPr>
          <w:sz w:val="14"/>
          <w:szCs w:val="14"/>
        </w:rPr>
      </w:pPr>
      <w:r>
        <w:rPr>
          <w:sz w:val="14"/>
          <w:szCs w:val="14"/>
        </w:rPr>
        <w:t>ATTENZIONE: Questa Runtime non è certificata per sistemi operativi successivi a Windows Server 2003</w:t>
      </w:r>
    </w:p>
    <w:p>
      <w:pPr>
        <w:pStyle w:val="CorpoAltF0"/>
        <w:numPr>
          <w:ilvl w:val="0"/>
          <w:numId w:val="21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 xml:space="preserve">Supporto </w:t>
      </w:r>
      <w:proofErr w:type="spellStart"/>
      <w:r>
        <w:rPr>
          <w:sz w:val="14"/>
          <w:szCs w:val="14"/>
        </w:rPr>
        <w:t>SysintGateway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Daemon</w:t>
      </w:r>
      <w:proofErr w:type="spellEnd"/>
      <w:r>
        <w:rPr>
          <w:sz w:val="14"/>
          <w:szCs w:val="14"/>
        </w:rPr>
        <w:t xml:space="preserve"> dismesso</w:t>
      </w:r>
    </w:p>
    <w:p>
      <w:pPr>
        <w:pStyle w:val="CorpoAltF0"/>
        <w:rPr>
          <w:sz w:val="10"/>
          <w:szCs w:val="10"/>
        </w:rPr>
      </w:pPr>
    </w:p>
    <w:p>
      <w:pPr>
        <w:pStyle w:val="CorpoAltF0"/>
        <w:ind w:left="284" w:right="284"/>
        <w:rPr>
          <w:b/>
          <w:sz w:val="14"/>
          <w:szCs w:val="14"/>
        </w:rPr>
      </w:pPr>
      <w:r>
        <w:rPr>
          <w:b/>
          <w:bCs/>
          <w:sz w:val="14"/>
          <w:szCs w:val="14"/>
        </w:rPr>
        <w:t>Note :</w:t>
      </w:r>
      <w:r>
        <w:rPr>
          <w:b/>
          <w:sz w:val="14"/>
          <w:szCs w:val="14"/>
        </w:rPr>
        <w:t xml:space="preserve"> </w:t>
      </w:r>
    </w:p>
    <w:p>
      <w:pPr>
        <w:pStyle w:val="CorpoAltF0"/>
        <w:numPr>
          <w:ilvl w:val="0"/>
          <w:numId w:val="22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>Sono escluse tutte le versioni dei sistemi operativi destinate ad un’utenza ‘Home’</w:t>
      </w:r>
    </w:p>
    <w:p>
      <w:pPr>
        <w:pStyle w:val="CorpoAltF0"/>
        <w:numPr>
          <w:ilvl w:val="0"/>
          <w:numId w:val="22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 xml:space="preserve">La release dei moduli </w:t>
      </w:r>
      <w:proofErr w:type="spellStart"/>
      <w:r>
        <w:rPr>
          <w:sz w:val="14"/>
          <w:szCs w:val="14"/>
        </w:rPr>
        <w:t>Acucobol</w:t>
      </w:r>
      <w:proofErr w:type="spellEnd"/>
      <w:r>
        <w:rPr>
          <w:sz w:val="14"/>
          <w:szCs w:val="14"/>
        </w:rPr>
        <w:t xml:space="preserve"> 8.1.2-20130300:</w:t>
      </w:r>
    </w:p>
    <w:p>
      <w:pPr>
        <w:pStyle w:val="CorpoAltF0"/>
        <w:numPr>
          <w:ilvl w:val="0"/>
          <w:numId w:val="23"/>
        </w:numPr>
        <w:ind w:left="1276" w:right="284" w:hanging="218"/>
        <w:rPr>
          <w:sz w:val="14"/>
          <w:szCs w:val="14"/>
        </w:rPr>
      </w:pPr>
      <w:r>
        <w:rPr>
          <w:sz w:val="14"/>
          <w:szCs w:val="14"/>
        </w:rPr>
        <w:t xml:space="preserve">è inclusa a partire da </w:t>
      </w:r>
      <w:proofErr w:type="spellStart"/>
      <w:r>
        <w:rPr>
          <w:sz w:val="14"/>
          <w:szCs w:val="14"/>
        </w:rPr>
        <w:t>TeamPortal</w:t>
      </w:r>
      <w:proofErr w:type="spellEnd"/>
      <w:r>
        <w:rPr>
          <w:sz w:val="14"/>
          <w:szCs w:val="14"/>
        </w:rPr>
        <w:t xml:space="preserve"> 20130100</w:t>
      </w:r>
    </w:p>
    <w:p>
      <w:pPr>
        <w:pStyle w:val="CorpoAltF0"/>
        <w:numPr>
          <w:ilvl w:val="0"/>
          <w:numId w:val="23"/>
        </w:numPr>
        <w:ind w:left="1276" w:right="284" w:hanging="218"/>
        <w:rPr>
          <w:sz w:val="14"/>
          <w:szCs w:val="14"/>
        </w:rPr>
      </w:pPr>
      <w:r>
        <w:rPr>
          <w:sz w:val="14"/>
          <w:szCs w:val="14"/>
        </w:rPr>
        <w:t>introduce il supporto ufficiale a Windows 8 Pro e Windows Server 2012</w:t>
      </w:r>
    </w:p>
    <w:p>
      <w:pPr>
        <w:pStyle w:val="CorpoAltF0"/>
        <w:numPr>
          <w:ilvl w:val="0"/>
          <w:numId w:val="23"/>
        </w:numPr>
        <w:ind w:left="1276" w:right="284" w:hanging="218"/>
        <w:rPr>
          <w:sz w:val="14"/>
          <w:szCs w:val="14"/>
        </w:rPr>
      </w:pPr>
      <w:r>
        <w:rPr>
          <w:sz w:val="14"/>
          <w:szCs w:val="14"/>
        </w:rPr>
        <w:t xml:space="preserve">include il servizio </w:t>
      </w:r>
      <w:proofErr w:type="spellStart"/>
      <w:r>
        <w:rPr>
          <w:sz w:val="14"/>
          <w:szCs w:val="14"/>
        </w:rPr>
        <w:t>AcuXDBC</w:t>
      </w:r>
      <w:proofErr w:type="spellEnd"/>
      <w:r>
        <w:rPr>
          <w:sz w:val="14"/>
          <w:szCs w:val="14"/>
        </w:rPr>
        <w:t xml:space="preserve"> in ambiente </w:t>
      </w:r>
      <w:proofErr w:type="spellStart"/>
      <w:r>
        <w:rPr>
          <w:sz w:val="14"/>
          <w:szCs w:val="14"/>
        </w:rPr>
        <w:t>TeamPortal</w:t>
      </w:r>
      <w:proofErr w:type="spellEnd"/>
    </w:p>
    <w:p>
      <w:pPr>
        <w:pStyle w:val="CorpoAltF0"/>
        <w:ind w:left="1276" w:right="284"/>
        <w:rPr>
          <w:sz w:val="14"/>
          <w:szCs w:val="14"/>
        </w:rPr>
      </w:pPr>
      <w:r>
        <w:rPr>
          <w:sz w:val="14"/>
          <w:szCs w:val="14"/>
        </w:rPr>
        <w:t xml:space="preserve">N.B.: Il modulo client </w:t>
      </w:r>
      <w:proofErr w:type="spellStart"/>
      <w:r>
        <w:rPr>
          <w:sz w:val="14"/>
          <w:szCs w:val="14"/>
        </w:rPr>
        <w:t>AcuXDBC</w:t>
      </w:r>
      <w:proofErr w:type="spellEnd"/>
      <w:r>
        <w:rPr>
          <w:sz w:val="14"/>
          <w:szCs w:val="14"/>
        </w:rPr>
        <w:t xml:space="preserve"> è 32bit. Si ricorda che alcune applicazioni 64bit potrebbero non riuscire ad accedere al DSN driver 32bit (es.: Office 2010 64bit)</w:t>
      </w:r>
    </w:p>
    <w:p>
      <w:pPr>
        <w:pStyle w:val="CorpoAltF0"/>
        <w:numPr>
          <w:ilvl w:val="0"/>
          <w:numId w:val="23"/>
        </w:numPr>
        <w:ind w:left="1276" w:right="284" w:hanging="218"/>
        <w:rPr>
          <w:sz w:val="14"/>
          <w:szCs w:val="14"/>
        </w:rPr>
      </w:pPr>
      <w:r>
        <w:rPr>
          <w:sz w:val="14"/>
          <w:szCs w:val="14"/>
        </w:rPr>
        <w:t xml:space="preserve">non supporta l’ambiente </w:t>
      </w:r>
      <w:proofErr w:type="spellStart"/>
      <w:r>
        <w:rPr>
          <w:sz w:val="14"/>
          <w:szCs w:val="14"/>
        </w:rPr>
        <w:t>AcuServer</w:t>
      </w:r>
      <w:proofErr w:type="spellEnd"/>
      <w:r>
        <w:rPr>
          <w:sz w:val="14"/>
          <w:szCs w:val="14"/>
        </w:rPr>
        <w:t xml:space="preserve"> (come da Circolare 2010.02.32 Software Partner </w:t>
      </w:r>
      <w:proofErr w:type="spellStart"/>
      <w:r>
        <w:rPr>
          <w:sz w:val="14"/>
          <w:szCs w:val="14"/>
        </w:rPr>
        <w:t>TeamSystem</w:t>
      </w:r>
      <w:proofErr w:type="spellEnd"/>
      <w:r>
        <w:rPr>
          <w:sz w:val="14"/>
          <w:szCs w:val="14"/>
        </w:rPr>
        <w:t xml:space="preserve"> Pesaro, 15 Novembre 2010)</w:t>
      </w:r>
    </w:p>
    <w:p>
      <w:pPr>
        <w:pStyle w:val="CorpoAltF0"/>
        <w:numPr>
          <w:ilvl w:val="0"/>
          <w:numId w:val="23"/>
        </w:numPr>
        <w:ind w:left="1276" w:right="284" w:hanging="218"/>
        <w:rPr>
          <w:sz w:val="14"/>
          <w:szCs w:val="14"/>
        </w:rPr>
      </w:pPr>
      <w:r>
        <w:rPr>
          <w:sz w:val="14"/>
          <w:szCs w:val="14"/>
        </w:rPr>
        <w:t>non supporta l’ambiente a carattere</w:t>
      </w:r>
    </w:p>
    <w:p>
      <w:pPr>
        <w:pStyle w:val="CorpoAltF0"/>
        <w:numPr>
          <w:ilvl w:val="0"/>
          <w:numId w:val="22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 xml:space="preserve">La release dei moduli </w:t>
      </w:r>
      <w:proofErr w:type="spellStart"/>
      <w:r>
        <w:rPr>
          <w:sz w:val="14"/>
          <w:szCs w:val="14"/>
        </w:rPr>
        <w:t>Acucobol</w:t>
      </w:r>
      <w:proofErr w:type="spellEnd"/>
      <w:r>
        <w:rPr>
          <w:sz w:val="14"/>
          <w:szCs w:val="14"/>
        </w:rPr>
        <w:t xml:space="preserve"> 8.1.2LF-20140100:</w:t>
      </w:r>
    </w:p>
    <w:p>
      <w:pPr>
        <w:pStyle w:val="CorpoAltF0"/>
        <w:numPr>
          <w:ilvl w:val="0"/>
          <w:numId w:val="23"/>
        </w:numPr>
        <w:ind w:left="1276" w:right="284" w:hanging="218"/>
        <w:rPr>
          <w:sz w:val="14"/>
          <w:szCs w:val="14"/>
        </w:rPr>
      </w:pPr>
      <w:r>
        <w:rPr>
          <w:sz w:val="14"/>
          <w:szCs w:val="14"/>
        </w:rPr>
        <w:t xml:space="preserve">è inclusa a partire da </w:t>
      </w:r>
      <w:proofErr w:type="spellStart"/>
      <w:r>
        <w:rPr>
          <w:sz w:val="14"/>
          <w:szCs w:val="14"/>
        </w:rPr>
        <w:t>Polyedro</w:t>
      </w:r>
      <w:proofErr w:type="spellEnd"/>
      <w:r>
        <w:rPr>
          <w:sz w:val="14"/>
          <w:szCs w:val="14"/>
        </w:rPr>
        <w:t xml:space="preserve"> 20140100</w:t>
      </w:r>
    </w:p>
    <w:p>
      <w:pPr>
        <w:pStyle w:val="CorpoAltF0"/>
        <w:numPr>
          <w:ilvl w:val="0"/>
          <w:numId w:val="23"/>
        </w:numPr>
        <w:ind w:left="1276" w:right="284" w:hanging="218"/>
        <w:rPr>
          <w:sz w:val="14"/>
          <w:szCs w:val="14"/>
        </w:rPr>
      </w:pPr>
      <w:r>
        <w:rPr>
          <w:sz w:val="14"/>
          <w:szCs w:val="14"/>
        </w:rPr>
        <w:t xml:space="preserve">introduce il supporto ufficiale al nuovo Look &amp; </w:t>
      </w:r>
      <w:proofErr w:type="spellStart"/>
      <w:r>
        <w:rPr>
          <w:sz w:val="14"/>
          <w:szCs w:val="14"/>
        </w:rPr>
        <w:t>Feel</w:t>
      </w:r>
      <w:proofErr w:type="spellEnd"/>
      <w:r>
        <w:rPr>
          <w:sz w:val="14"/>
          <w:szCs w:val="14"/>
        </w:rPr>
        <w:t xml:space="preserve"> prodotti linea </w:t>
      </w:r>
      <w:proofErr w:type="spellStart"/>
      <w:r>
        <w:rPr>
          <w:sz w:val="14"/>
          <w:szCs w:val="14"/>
        </w:rPr>
        <w:t>Lynfa</w:t>
      </w:r>
      <w:proofErr w:type="spellEnd"/>
    </w:p>
    <w:p>
      <w:pPr>
        <w:pStyle w:val="CorpoAltF0"/>
        <w:numPr>
          <w:ilvl w:val="0"/>
          <w:numId w:val="23"/>
        </w:numPr>
        <w:ind w:left="1276" w:right="284" w:hanging="218"/>
        <w:rPr>
          <w:sz w:val="14"/>
          <w:szCs w:val="14"/>
        </w:rPr>
      </w:pPr>
      <w:r>
        <w:rPr>
          <w:sz w:val="14"/>
          <w:szCs w:val="14"/>
        </w:rPr>
        <w:t xml:space="preserve">supporta il servizio </w:t>
      </w:r>
      <w:proofErr w:type="spellStart"/>
      <w:r>
        <w:rPr>
          <w:sz w:val="14"/>
          <w:szCs w:val="14"/>
        </w:rPr>
        <w:t>TS_Sql</w:t>
      </w:r>
      <w:proofErr w:type="spellEnd"/>
      <w:r>
        <w:rPr>
          <w:sz w:val="14"/>
          <w:szCs w:val="14"/>
        </w:rPr>
        <w:t xml:space="preserve"> ( basato su tecnologia C-</w:t>
      </w:r>
      <w:proofErr w:type="spellStart"/>
      <w:r>
        <w:rPr>
          <w:sz w:val="14"/>
          <w:szCs w:val="14"/>
        </w:rPr>
        <w:t>tree</w:t>
      </w:r>
      <w:proofErr w:type="spellEnd"/>
      <w:r>
        <w:rPr>
          <w:sz w:val="14"/>
          <w:szCs w:val="14"/>
        </w:rPr>
        <w:t xml:space="preserve"> ACE by </w:t>
      </w:r>
      <w:proofErr w:type="spellStart"/>
      <w:r>
        <w:rPr>
          <w:sz w:val="14"/>
          <w:szCs w:val="14"/>
        </w:rPr>
        <w:t>Faircom</w:t>
      </w:r>
      <w:proofErr w:type="spellEnd"/>
      <w:r>
        <w:rPr>
          <w:sz w:val="14"/>
          <w:szCs w:val="14"/>
        </w:rPr>
        <w:t xml:space="preserve"> ) comprensivo di client </w:t>
      </w:r>
      <w:proofErr w:type="spellStart"/>
      <w:r>
        <w:rPr>
          <w:sz w:val="14"/>
          <w:szCs w:val="14"/>
        </w:rPr>
        <w:t>odbc</w:t>
      </w:r>
      <w:proofErr w:type="spellEnd"/>
      <w:r>
        <w:rPr>
          <w:sz w:val="14"/>
          <w:szCs w:val="14"/>
        </w:rPr>
        <w:t xml:space="preserve"> 32/64bit. Richiede specifica licenza.</w:t>
      </w:r>
    </w:p>
    <w:p>
      <w:pPr>
        <w:pStyle w:val="CorpoAltF0"/>
        <w:numPr>
          <w:ilvl w:val="0"/>
          <w:numId w:val="22"/>
        </w:numPr>
        <w:ind w:left="851" w:right="284" w:hanging="284"/>
        <w:rPr>
          <w:sz w:val="14"/>
          <w:szCs w:val="14"/>
        </w:rPr>
      </w:pPr>
      <w:r>
        <w:rPr>
          <w:sz w:val="14"/>
          <w:szCs w:val="14"/>
        </w:rPr>
        <w:t>L’installazione degli applicativi può essere eseguita anche su sistemi e/o versioni diverse da quelle specificate ma in questo caso non viene data nessuna garanzia di funzionamento e relativo supporto.</w:t>
      </w:r>
    </w:p>
    <w:p>
      <w:pPr>
        <w:pStyle w:val="CorpoAltF0"/>
        <w:rPr>
          <w:sz w:val="10"/>
          <w:szCs w:val="10"/>
        </w:rPr>
      </w:pPr>
      <w:bookmarkStart w:id="1" w:name="_GoBack"/>
      <w:bookmarkEnd w:id="1"/>
    </w:p>
    <w:sectPr>
      <w:headerReference w:type="default" r:id="rId10"/>
      <w:footerReference w:type="default" r:id="rId11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UNICA 2016.0.1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BEF"/>
    <w:multiLevelType w:val="hybridMultilevel"/>
    <w:tmpl w:val="EF505B40"/>
    <w:lvl w:ilvl="0" w:tplc="105AB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27333A6"/>
    <w:multiLevelType w:val="hybridMultilevel"/>
    <w:tmpl w:val="C3564F1A"/>
    <w:lvl w:ilvl="0" w:tplc="6EB20F28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2">
    <w:nsid w:val="361E6446"/>
    <w:multiLevelType w:val="hybridMultilevel"/>
    <w:tmpl w:val="0616C97E"/>
    <w:lvl w:ilvl="0" w:tplc="105AB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FB00697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25F8F"/>
    <w:multiLevelType w:val="hybridMultilevel"/>
    <w:tmpl w:val="543860DE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4DD116CF"/>
    <w:multiLevelType w:val="hybridMultilevel"/>
    <w:tmpl w:val="89C60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5"/>
  </w:num>
  <w:num w:numId="5">
    <w:abstractNumId w:val="6"/>
  </w:num>
  <w:num w:numId="6">
    <w:abstractNumId w:val="21"/>
  </w:num>
  <w:num w:numId="7">
    <w:abstractNumId w:val="8"/>
  </w:num>
  <w:num w:numId="8">
    <w:abstractNumId w:val="11"/>
  </w:num>
  <w:num w:numId="9">
    <w:abstractNumId w:val="20"/>
  </w:num>
  <w:num w:numId="10">
    <w:abstractNumId w:val="7"/>
  </w:num>
  <w:num w:numId="11">
    <w:abstractNumId w:val="13"/>
  </w:num>
  <w:num w:numId="12">
    <w:abstractNumId w:val="9"/>
  </w:num>
  <w:num w:numId="13">
    <w:abstractNumId w:val="26"/>
  </w:num>
  <w:num w:numId="14">
    <w:abstractNumId w:val="2"/>
  </w:num>
  <w:num w:numId="15">
    <w:abstractNumId w:val="23"/>
  </w:num>
  <w:num w:numId="16">
    <w:abstractNumId w:val="24"/>
  </w:num>
  <w:num w:numId="17">
    <w:abstractNumId w:val="17"/>
  </w:num>
  <w:num w:numId="18">
    <w:abstractNumId w:val="28"/>
  </w:num>
  <w:num w:numId="19">
    <w:abstractNumId w:val="14"/>
  </w:num>
  <w:num w:numId="20">
    <w:abstractNumId w:val="22"/>
  </w:num>
  <w:num w:numId="21">
    <w:abstractNumId w:val="15"/>
  </w:num>
  <w:num w:numId="22">
    <w:abstractNumId w:val="27"/>
  </w:num>
  <w:num w:numId="23">
    <w:abstractNumId w:val="5"/>
  </w:num>
  <w:num w:numId="24">
    <w:abstractNumId w:val="18"/>
  </w:num>
  <w:num w:numId="25">
    <w:abstractNumId w:val="16"/>
  </w:num>
  <w:num w:numId="26">
    <w:abstractNumId w:val="0"/>
  </w:num>
  <w:num w:numId="27">
    <w:abstractNumId w:val="19"/>
  </w:num>
  <w:num w:numId="28">
    <w:abstractNumId w:val="12"/>
  </w:num>
  <w:num w:numId="2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6860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4" w:uiPriority="39"/>
    <w:lsdException w:name="toc 5" w:uiPriority="3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4" w:uiPriority="39"/>
    <w:lsdException w:name="toc 5" w:uiPriority="3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ContenutoRilascio"/>
    <w:basedOn w:val="CorpoAltF0"/>
    <w:link w:val="WWTipoDocumentoCarattere"/>
    <w:qFormat/>
    <w:pPr>
      <w:spacing w:before="40" w:after="40"/>
      <w:ind w:left="142"/>
    </w:pPr>
    <w:rPr>
      <w:b/>
      <w:sz w:val="22"/>
      <w:szCs w:val="22"/>
    </w:rPr>
  </w:style>
  <w:style w:type="paragraph" w:customStyle="1" w:styleId="WWContenutoRilascio">
    <w:name w:val="WW_Contenuto_2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ContenutoRilascio Carattere"/>
    <w:link w:val="WWTipoDocumento"/>
    <w:rPr>
      <w:rFonts w:ascii="Arial" w:hAnsi="Arial" w:cs="Arial"/>
      <w:b/>
      <w:sz w:val="22"/>
      <w:szCs w:val="22"/>
    </w:rPr>
  </w:style>
  <w:style w:type="character" w:customStyle="1" w:styleId="WWContenutoRilascioCarattere">
    <w:name w:val="WW_Contenuto_2 Carattere"/>
    <w:link w:val="WWContenutoRilascio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2261-8596-4687-A679-0F7573DF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PAGHE.dot</Template>
  <TotalTime>80</TotalTime>
  <Pages>3</Pages>
  <Words>1000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21</cp:revision>
  <cp:lastPrinted>2016-02-15T15:59:00Z</cp:lastPrinted>
  <dcterms:created xsi:type="dcterms:W3CDTF">2016-01-29T08:20:00Z</dcterms:created>
  <dcterms:modified xsi:type="dcterms:W3CDTF">2016-02-15T19:41:00Z</dcterms:modified>
</cp:coreProperties>
</file>