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9888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88"/>
      </w:tblGrid>
      <w:tr w:rsidR="00825AF3" w14:paraId="0D1B5DE6" w14:textId="77777777" w:rsidTr="0058596D">
        <w:trPr>
          <w:jc w:val="center"/>
        </w:trPr>
        <w:tc>
          <w:tcPr>
            <w:tcW w:w="9888" w:type="dxa"/>
            <w:shd w:val="clear" w:color="auto" w:fill="D9D9D9" w:themeFill="background1" w:themeFillShade="D9"/>
            <w:vAlign w:val="center"/>
          </w:tcPr>
          <w:p w14:paraId="67644797" w14:textId="715F0085" w:rsidR="00825AF3" w:rsidRDefault="00000000">
            <w:pPr>
              <w:pStyle w:val="WWRelease"/>
              <w:jc w:val="center"/>
            </w:pPr>
            <w:r>
              <w:t>RELEASE Versione 202</w:t>
            </w:r>
            <w:r w:rsidR="00EE25E6">
              <w:t>5</w:t>
            </w:r>
            <w:r>
              <w:t>.0</w:t>
            </w:r>
            <w:r w:rsidR="001C218F">
              <w:t>1</w:t>
            </w:r>
            <w:r>
              <w:t>.0</w:t>
            </w:r>
            <w:r w:rsidR="001C218F">
              <w:t>0</w:t>
            </w:r>
          </w:p>
        </w:tc>
      </w:tr>
    </w:tbl>
    <w:p w14:paraId="6DEE0590" w14:textId="77777777" w:rsidR="00825AF3" w:rsidRPr="00C14D15" w:rsidRDefault="00825AF3">
      <w:pPr>
        <w:pStyle w:val="CorpoAltF0"/>
        <w:rPr>
          <w:sz w:val="10"/>
          <w:szCs w:val="10"/>
        </w:rPr>
      </w:pPr>
      <w:bookmarkStart w:id="0" w:name="_Toc33011301"/>
    </w:p>
    <w:tbl>
      <w:tblPr>
        <w:tblW w:w="9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3"/>
        <w:gridCol w:w="1974"/>
        <w:gridCol w:w="4148"/>
      </w:tblGrid>
      <w:tr w:rsidR="00825AF3" w14:paraId="74C5E884" w14:textId="77777777" w:rsidTr="0058596D">
        <w:trPr>
          <w:cantSplit/>
          <w:trHeight w:val="340"/>
          <w:jc w:val="center"/>
        </w:trPr>
        <w:tc>
          <w:tcPr>
            <w:tcW w:w="3703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5F584A50" w14:textId="65C226F9" w:rsidR="00825AF3" w:rsidRDefault="00517C9D">
            <w:pPr>
              <w:pStyle w:val="WWTipoDocumento"/>
            </w:pPr>
            <w:r>
              <w:t>REDDITICONTENUTO DEL RILASCIO</w:t>
            </w:r>
          </w:p>
          <w:p w14:paraId="5927D992" w14:textId="77777777" w:rsidR="00825AF3" w:rsidRDefault="00000000">
            <w:pPr>
              <w:jc w:val="both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882BB71" wp14:editId="5A5DB557">
                  <wp:extent cx="2154555" cy="2504440"/>
                  <wp:effectExtent l="0" t="0" r="0" b="0"/>
                  <wp:docPr id="2" name="Immagine 2" descr="DIRED_splash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IRED_splash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555" cy="2504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8D28F34" w14:textId="77777777" w:rsidR="00825AF3" w:rsidRDefault="00000000">
            <w:pPr>
              <w:ind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Applicativo:</w:t>
            </w:r>
          </w:p>
        </w:tc>
        <w:tc>
          <w:tcPr>
            <w:tcW w:w="414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0CC9D92" w14:textId="77777777" w:rsidR="00825AF3" w:rsidRDefault="00000000">
            <w:pPr>
              <w:ind w:left="113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REDDITI</w:t>
            </w:r>
          </w:p>
        </w:tc>
      </w:tr>
      <w:tr w:rsidR="00825AF3" w14:paraId="23BA8DB9" w14:textId="77777777" w:rsidTr="0058596D">
        <w:trPr>
          <w:cantSplit/>
          <w:trHeight w:val="340"/>
          <w:jc w:val="center"/>
        </w:trPr>
        <w:tc>
          <w:tcPr>
            <w:tcW w:w="370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6776012B" w14:textId="77777777" w:rsidR="00825AF3" w:rsidRDefault="00825AF3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517BA25" w14:textId="77777777" w:rsidR="00825AF3" w:rsidRDefault="00000000">
            <w:pPr>
              <w:ind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Oggetto:</w:t>
            </w:r>
          </w:p>
        </w:tc>
        <w:tc>
          <w:tcPr>
            <w:tcW w:w="414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A4CEA04" w14:textId="77777777" w:rsidR="00825AF3" w:rsidRDefault="00000000">
            <w:pPr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Aggiornamento procedura</w:t>
            </w:r>
          </w:p>
        </w:tc>
      </w:tr>
      <w:tr w:rsidR="00825AF3" w14:paraId="18718060" w14:textId="77777777" w:rsidTr="0058596D">
        <w:trPr>
          <w:cantSplit/>
          <w:trHeight w:val="340"/>
          <w:jc w:val="center"/>
        </w:trPr>
        <w:tc>
          <w:tcPr>
            <w:tcW w:w="370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46DBA5C2" w14:textId="77777777" w:rsidR="00825AF3" w:rsidRDefault="00825AF3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372DC1D" w14:textId="77777777" w:rsidR="00825AF3" w:rsidRDefault="00000000">
            <w:pPr>
              <w:ind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Versione:</w:t>
            </w:r>
          </w:p>
        </w:tc>
        <w:tc>
          <w:tcPr>
            <w:tcW w:w="414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873402B" w14:textId="7D19B77B" w:rsidR="00825AF3" w:rsidRDefault="00000000">
            <w:pPr>
              <w:ind w:lef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EE25E6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1C218F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1C218F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362259">
              <w:rPr>
                <w:rFonts w:ascii="Arial" w:hAnsi="Arial" w:cs="Arial"/>
                <w:b/>
                <w:sz w:val="20"/>
                <w:szCs w:val="20"/>
              </w:rPr>
              <w:t>Versione completa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825AF3" w14:paraId="28E7216D" w14:textId="77777777" w:rsidTr="0058596D">
        <w:trPr>
          <w:cantSplit/>
          <w:trHeight w:val="340"/>
          <w:jc w:val="center"/>
        </w:trPr>
        <w:tc>
          <w:tcPr>
            <w:tcW w:w="370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555692AE" w14:textId="77777777" w:rsidR="00825AF3" w:rsidRDefault="00825AF3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545F2B4" w14:textId="77777777" w:rsidR="00825AF3" w:rsidRDefault="00000000">
            <w:pPr>
              <w:ind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Data di rilascio:</w:t>
            </w:r>
          </w:p>
        </w:tc>
        <w:tc>
          <w:tcPr>
            <w:tcW w:w="414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77CC6E6" w14:textId="7CFBF356" w:rsidR="00825AF3" w:rsidRDefault="009A11E9">
            <w:pPr>
              <w:ind w:lef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A11E9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1C218F" w:rsidRPr="009A11E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9A11E9"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1C218F" w:rsidRPr="009A11E9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9A11E9">
              <w:rPr>
                <w:rFonts w:ascii="Arial" w:hAnsi="Arial" w:cs="Arial"/>
                <w:b/>
                <w:sz w:val="20"/>
                <w:szCs w:val="20"/>
              </w:rPr>
              <w:t>.202</w:t>
            </w:r>
            <w:r w:rsidR="00EE25E6" w:rsidRPr="009A11E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825AF3" w14:paraId="4B702F8E" w14:textId="77777777" w:rsidTr="0058596D">
        <w:trPr>
          <w:cantSplit/>
          <w:trHeight w:val="340"/>
          <w:jc w:val="center"/>
        </w:trPr>
        <w:tc>
          <w:tcPr>
            <w:tcW w:w="370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45FA0B18" w14:textId="77777777" w:rsidR="00825AF3" w:rsidRDefault="00825AF3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4886FE9" w14:textId="77777777" w:rsidR="00825AF3" w:rsidRDefault="00000000">
            <w:pPr>
              <w:ind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Riferimento:</w:t>
            </w:r>
          </w:p>
        </w:tc>
        <w:tc>
          <w:tcPr>
            <w:tcW w:w="414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13A0F78" w14:textId="77777777" w:rsidR="00825AF3" w:rsidRDefault="00000000">
            <w:pPr>
              <w:ind w:lef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Contenuto del Rilascio</w:t>
            </w:r>
          </w:p>
        </w:tc>
      </w:tr>
      <w:tr w:rsidR="00825AF3" w14:paraId="78ECCBCF" w14:textId="77777777" w:rsidTr="0058596D">
        <w:trPr>
          <w:cantSplit/>
          <w:trHeight w:val="340"/>
          <w:jc w:val="center"/>
        </w:trPr>
        <w:tc>
          <w:tcPr>
            <w:tcW w:w="370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29DD46EF" w14:textId="77777777" w:rsidR="00825AF3" w:rsidRDefault="00825AF3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8F70B54" w14:textId="77777777" w:rsidR="00825AF3" w:rsidRDefault="00000000">
            <w:pPr>
              <w:ind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Classificazione:</w:t>
            </w:r>
          </w:p>
        </w:tc>
        <w:tc>
          <w:tcPr>
            <w:tcW w:w="414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87A5A74" w14:textId="77777777" w:rsidR="00825AF3" w:rsidRDefault="00000000">
            <w:pPr>
              <w:ind w:lef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Guida utente</w:t>
            </w:r>
          </w:p>
        </w:tc>
      </w:tr>
      <w:tr w:rsidR="00825AF3" w14:paraId="006FC924" w14:textId="77777777" w:rsidTr="0058596D">
        <w:trPr>
          <w:cantSplit/>
          <w:trHeight w:hRule="exact" w:val="113"/>
          <w:jc w:val="center"/>
        </w:trPr>
        <w:tc>
          <w:tcPr>
            <w:tcW w:w="3703" w:type="dxa"/>
            <w:vMerge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2F53C2D4" w14:textId="77777777" w:rsidR="00825AF3" w:rsidRDefault="00825AF3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</w:tcPr>
          <w:p w14:paraId="3B6617F5" w14:textId="77777777" w:rsidR="00825AF3" w:rsidRDefault="00825A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</w:tcPr>
          <w:p w14:paraId="56B1DCC8" w14:textId="77777777" w:rsidR="00825AF3" w:rsidRDefault="00825A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5AF3" w14:paraId="7030B456" w14:textId="77777777" w:rsidTr="0058596D">
        <w:trPr>
          <w:cantSplit/>
          <w:trHeight w:val="221"/>
          <w:jc w:val="center"/>
        </w:trPr>
        <w:tc>
          <w:tcPr>
            <w:tcW w:w="370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5B840D71" w14:textId="77777777" w:rsidR="00825AF3" w:rsidRDefault="00825AF3">
            <w:pPr>
              <w:rPr>
                <w:color w:val="000000"/>
              </w:rPr>
            </w:pPr>
          </w:p>
        </w:tc>
        <w:tc>
          <w:tcPr>
            <w:tcW w:w="6122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74049E10" w14:textId="77777777" w:rsidR="00825AF3" w:rsidRDefault="00000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COMPATIBILITA’</w:t>
            </w:r>
          </w:p>
        </w:tc>
      </w:tr>
      <w:tr w:rsidR="00517C9D" w14:paraId="0D8289B5" w14:textId="77777777" w:rsidTr="0058596D">
        <w:trPr>
          <w:cantSplit/>
          <w:trHeight w:val="348"/>
          <w:jc w:val="center"/>
        </w:trPr>
        <w:tc>
          <w:tcPr>
            <w:tcW w:w="370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7F5E9A6E" w14:textId="77777777" w:rsidR="00517C9D" w:rsidRDefault="00517C9D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B5773B5" w14:textId="064582D4" w:rsidR="00517C9D" w:rsidRPr="00D1475D" w:rsidRDefault="00517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REDDITI</w:t>
            </w:r>
          </w:p>
        </w:tc>
        <w:tc>
          <w:tcPr>
            <w:tcW w:w="414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4FEC970" w14:textId="272407B9" w:rsidR="00517C9D" w:rsidRPr="00715D5A" w:rsidRDefault="00AD0D03">
            <w:pPr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Versione 2025.00.00</w:t>
            </w:r>
          </w:p>
        </w:tc>
      </w:tr>
      <w:tr w:rsidR="00825AF3" w14:paraId="7FC95B73" w14:textId="77777777" w:rsidTr="0058596D">
        <w:trPr>
          <w:cantSplit/>
          <w:trHeight w:val="348"/>
          <w:jc w:val="center"/>
        </w:trPr>
        <w:tc>
          <w:tcPr>
            <w:tcW w:w="370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7833012" w14:textId="77777777" w:rsidR="00825AF3" w:rsidRDefault="00825AF3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ED7DA83" w14:textId="77777777" w:rsidR="00825AF3" w:rsidRPr="00D1475D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475D">
              <w:rPr>
                <w:rFonts w:ascii="Arial" w:hAnsi="Arial" w:cs="Arial"/>
                <w:b/>
                <w:sz w:val="20"/>
                <w:szCs w:val="20"/>
              </w:rPr>
              <w:t>GESIMM</w:t>
            </w:r>
          </w:p>
        </w:tc>
        <w:tc>
          <w:tcPr>
            <w:tcW w:w="414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9E6A15D" w14:textId="6023F2EC" w:rsidR="00825AF3" w:rsidRPr="00EE25E6" w:rsidRDefault="00000000">
            <w:pPr>
              <w:ind w:left="113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15D5A">
              <w:rPr>
                <w:rFonts w:ascii="Arial" w:hAnsi="Arial" w:cs="Arial"/>
                <w:b/>
                <w:sz w:val="20"/>
                <w:szCs w:val="20"/>
              </w:rPr>
              <w:t>Versione  202</w:t>
            </w:r>
            <w:r w:rsidR="00715D5A" w:rsidRPr="00715D5A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715D5A">
              <w:rPr>
                <w:rFonts w:ascii="Arial" w:hAnsi="Arial" w:cs="Arial"/>
                <w:b/>
                <w:sz w:val="20"/>
                <w:szCs w:val="20"/>
              </w:rPr>
              <w:t>.00.0</w:t>
            </w:r>
            <w:r w:rsidR="003718D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825AF3" w14:paraId="45BE17C6" w14:textId="77777777" w:rsidTr="0058596D">
        <w:trPr>
          <w:cantSplit/>
          <w:trHeight w:val="347"/>
          <w:jc w:val="center"/>
        </w:trPr>
        <w:tc>
          <w:tcPr>
            <w:tcW w:w="370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6AC655D8" w14:textId="77777777" w:rsidR="00825AF3" w:rsidRDefault="00825AF3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5D81E1A" w14:textId="77777777" w:rsidR="00825AF3" w:rsidRPr="00D1475D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475D">
              <w:rPr>
                <w:rFonts w:ascii="Arial" w:hAnsi="Arial" w:cs="Arial"/>
                <w:b/>
                <w:sz w:val="20"/>
                <w:szCs w:val="20"/>
              </w:rPr>
              <w:t>F24</w:t>
            </w:r>
          </w:p>
        </w:tc>
        <w:tc>
          <w:tcPr>
            <w:tcW w:w="414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F07B52B" w14:textId="79734D50" w:rsidR="00825AF3" w:rsidRPr="00EE25E6" w:rsidRDefault="00000000">
            <w:pPr>
              <w:ind w:left="113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15D5A">
              <w:rPr>
                <w:rFonts w:ascii="Arial" w:hAnsi="Arial" w:cs="Arial"/>
                <w:b/>
                <w:sz w:val="20"/>
                <w:szCs w:val="20"/>
              </w:rPr>
              <w:t>Versione  202</w:t>
            </w:r>
            <w:r w:rsidR="00715D5A" w:rsidRPr="00715D5A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715D5A">
              <w:rPr>
                <w:rFonts w:ascii="Arial" w:hAnsi="Arial" w:cs="Arial"/>
                <w:b/>
                <w:sz w:val="20"/>
                <w:szCs w:val="20"/>
              </w:rPr>
              <w:t>.00.0</w:t>
            </w:r>
            <w:r w:rsidR="00D1475D" w:rsidRPr="00715D5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825AF3" w14:paraId="4A1EFDC0" w14:textId="77777777" w:rsidTr="0058596D">
        <w:trPr>
          <w:cantSplit/>
          <w:trHeight w:val="347"/>
          <w:jc w:val="center"/>
        </w:trPr>
        <w:tc>
          <w:tcPr>
            <w:tcW w:w="370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28A2E903" w14:textId="77777777" w:rsidR="00825AF3" w:rsidRDefault="00825AF3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1E904" w14:textId="77777777" w:rsidR="00825AF3" w:rsidRPr="00D1475D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475D">
              <w:rPr>
                <w:rFonts w:ascii="Arial" w:hAnsi="Arial" w:cs="Arial"/>
                <w:b/>
                <w:sz w:val="20"/>
                <w:szCs w:val="20"/>
              </w:rPr>
              <w:t>MULTI</w:t>
            </w:r>
          </w:p>
        </w:tc>
        <w:tc>
          <w:tcPr>
            <w:tcW w:w="414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BE4F885" w14:textId="189D6F12" w:rsidR="00825AF3" w:rsidRPr="00EE25E6" w:rsidRDefault="00000000">
            <w:pPr>
              <w:ind w:left="113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15D5A">
              <w:rPr>
                <w:rFonts w:ascii="Arial" w:hAnsi="Arial" w:cs="Arial"/>
                <w:b/>
                <w:sz w:val="20"/>
                <w:szCs w:val="20"/>
              </w:rPr>
              <w:t>Versione  202</w:t>
            </w:r>
            <w:r w:rsidR="00715D5A" w:rsidRPr="00715D5A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715D5A">
              <w:rPr>
                <w:rFonts w:ascii="Arial" w:hAnsi="Arial" w:cs="Arial"/>
                <w:b/>
                <w:sz w:val="20"/>
                <w:szCs w:val="20"/>
              </w:rPr>
              <w:t>.00.0</w:t>
            </w:r>
            <w:r w:rsidR="00D1475D" w:rsidRPr="00715D5A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825AF3" w14:paraId="297E5684" w14:textId="77777777" w:rsidTr="0058596D">
        <w:trPr>
          <w:cantSplit/>
          <w:trHeight w:val="347"/>
          <w:jc w:val="center"/>
        </w:trPr>
        <w:tc>
          <w:tcPr>
            <w:tcW w:w="370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21F99D45" w14:textId="77777777" w:rsidR="00825AF3" w:rsidRDefault="00825AF3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01336D6" w14:textId="77777777" w:rsidR="00825AF3" w:rsidRPr="00D1475D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475D">
              <w:rPr>
                <w:rFonts w:ascii="Arial" w:hAnsi="Arial" w:cs="Arial"/>
                <w:b/>
                <w:sz w:val="20"/>
                <w:szCs w:val="20"/>
              </w:rPr>
              <w:t>PAGHE</w:t>
            </w:r>
          </w:p>
        </w:tc>
        <w:tc>
          <w:tcPr>
            <w:tcW w:w="414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C2B7041" w14:textId="01B65D32" w:rsidR="00825AF3" w:rsidRPr="00EE25E6" w:rsidRDefault="00000000">
            <w:pPr>
              <w:ind w:left="113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41ACC">
              <w:rPr>
                <w:rFonts w:ascii="Arial" w:hAnsi="Arial" w:cs="Arial"/>
                <w:b/>
                <w:sz w:val="20"/>
                <w:szCs w:val="20"/>
              </w:rPr>
              <w:t>Versione  202</w:t>
            </w:r>
            <w:r w:rsidR="00341ACC" w:rsidRPr="00341ACC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341ACC"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341ACC" w:rsidRPr="00341ACC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341ACC"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341ACC" w:rsidRPr="00341ACC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825AF3" w14:paraId="6AD4CE9E" w14:textId="77777777" w:rsidTr="0058596D">
        <w:trPr>
          <w:cantSplit/>
          <w:trHeight w:val="347"/>
          <w:jc w:val="center"/>
        </w:trPr>
        <w:tc>
          <w:tcPr>
            <w:tcW w:w="370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6EC9D29A" w14:textId="77777777" w:rsidR="00825AF3" w:rsidRDefault="00825AF3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FA1572E" w14:textId="77777777" w:rsidR="00825AF3" w:rsidRPr="00D1475D" w:rsidRDefault="00000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475D">
              <w:rPr>
                <w:rFonts w:ascii="Arial" w:hAnsi="Arial" w:cs="Arial"/>
                <w:b/>
                <w:sz w:val="20"/>
                <w:szCs w:val="20"/>
              </w:rPr>
              <w:t>CON.TE</w:t>
            </w:r>
          </w:p>
        </w:tc>
        <w:tc>
          <w:tcPr>
            <w:tcW w:w="414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B9A55A6" w14:textId="01D24D71" w:rsidR="00825AF3" w:rsidRPr="00EE25E6" w:rsidRDefault="00000000">
            <w:pPr>
              <w:ind w:left="113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41ACC">
              <w:rPr>
                <w:rFonts w:ascii="Arial" w:hAnsi="Arial" w:cs="Arial"/>
                <w:b/>
                <w:sz w:val="20"/>
                <w:szCs w:val="20"/>
              </w:rPr>
              <w:t>Versione  202</w:t>
            </w:r>
            <w:r w:rsidR="00341ACC" w:rsidRPr="00341ACC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341ACC"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8A46E9" w:rsidRPr="00341ACC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341ACC">
              <w:rPr>
                <w:rFonts w:ascii="Arial" w:hAnsi="Arial" w:cs="Arial"/>
                <w:b/>
                <w:sz w:val="20"/>
                <w:szCs w:val="20"/>
              </w:rPr>
              <w:t>.00</w:t>
            </w:r>
          </w:p>
        </w:tc>
      </w:tr>
      <w:tr w:rsidR="00825AF3" w14:paraId="57631A47" w14:textId="77777777" w:rsidTr="0058596D">
        <w:trPr>
          <w:cantSplit/>
          <w:trHeight w:val="221"/>
          <w:jc w:val="center"/>
        </w:trPr>
        <w:tc>
          <w:tcPr>
            <w:tcW w:w="370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107736C" w14:textId="77777777" w:rsidR="00825AF3" w:rsidRDefault="00825A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2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5E398A1" w14:textId="77777777" w:rsidR="00825AF3" w:rsidRDefault="00000000">
            <w:pPr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documento.</w:t>
            </w:r>
          </w:p>
        </w:tc>
      </w:tr>
    </w:tbl>
    <w:p w14:paraId="0FF3E735" w14:textId="77777777" w:rsidR="00825AF3" w:rsidRDefault="00825AF3">
      <w:pPr>
        <w:pStyle w:val="CorpoAltF0"/>
      </w:pPr>
    </w:p>
    <w:tbl>
      <w:tblPr>
        <w:tblW w:w="9872" w:type="dxa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872"/>
      </w:tblGrid>
      <w:tr w:rsidR="00825AF3" w14:paraId="7234344D" w14:textId="77777777" w:rsidTr="0058596D">
        <w:trPr>
          <w:trHeight w:val="221"/>
          <w:jc w:val="center"/>
        </w:trPr>
        <w:tc>
          <w:tcPr>
            <w:tcW w:w="9872" w:type="dxa"/>
            <w:shd w:val="clear" w:color="auto" w:fill="CCCCCC"/>
            <w:vAlign w:val="center"/>
          </w:tcPr>
          <w:p w14:paraId="1AF98A1D" w14:textId="77777777" w:rsidR="00825AF3" w:rsidRDefault="00000000">
            <w:pPr>
              <w:pStyle w:val="WWContenutoRilascio"/>
            </w:pPr>
            <w:r>
              <w:t>Contenuto del rilascio</w:t>
            </w:r>
          </w:p>
        </w:tc>
      </w:tr>
      <w:tr w:rsidR="00825AF3" w14:paraId="1E05378F" w14:textId="77777777" w:rsidTr="0058596D">
        <w:trPr>
          <w:trHeight w:val="2449"/>
          <w:jc w:val="center"/>
        </w:trPr>
        <w:tc>
          <w:tcPr>
            <w:tcW w:w="9872" w:type="dxa"/>
          </w:tcPr>
          <w:p w14:paraId="5BCF807B" w14:textId="77777777" w:rsidR="00D85B81" w:rsidRDefault="00D85B81">
            <w:pPr>
              <w:pStyle w:val="corpoAltF"/>
            </w:pPr>
          </w:p>
          <w:p w14:paraId="191CA333" w14:textId="7208EF41" w:rsidR="00825AF3" w:rsidRDefault="00000000">
            <w:pPr>
              <w:pStyle w:val="corpoAltF"/>
            </w:pPr>
            <w:r>
              <w:t>La presente versione contiene:</w:t>
            </w:r>
          </w:p>
          <w:p w14:paraId="4BE08D82" w14:textId="3E2E9001" w:rsidR="00362259" w:rsidRDefault="00362259" w:rsidP="00362259">
            <w:pPr>
              <w:pStyle w:val="corpoAltF"/>
              <w:numPr>
                <w:ilvl w:val="0"/>
                <w:numId w:val="27"/>
              </w:numPr>
              <w:spacing w:before="180"/>
              <w:ind w:right="17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Modello IRAP per le “Società di Capitali” </w:t>
            </w:r>
          </w:p>
          <w:p w14:paraId="00A18A2C" w14:textId="71566A05" w:rsidR="00362259" w:rsidRDefault="00362259" w:rsidP="00362259">
            <w:pPr>
              <w:pStyle w:val="corpoAltF"/>
              <w:ind w:left="725"/>
            </w:pPr>
            <w:r>
              <w:t xml:space="preserve">Al momento viene fornita la gestione del modello IRAP per le </w:t>
            </w:r>
            <w:r w:rsidR="005041A1">
              <w:t xml:space="preserve">sole </w:t>
            </w:r>
            <w:r>
              <w:t>Società di Capitali</w:t>
            </w:r>
            <w:r w:rsidR="005041A1">
              <w:t>.</w:t>
            </w:r>
            <w:r>
              <w:t xml:space="preserve"> </w:t>
            </w:r>
          </w:p>
          <w:p w14:paraId="503E7A92" w14:textId="34930686" w:rsidR="00362259" w:rsidRDefault="00362259" w:rsidP="00362259">
            <w:pPr>
              <w:pStyle w:val="corpoAltF"/>
              <w:ind w:left="725"/>
            </w:pPr>
            <w:r>
              <w:t>Con i prossimi rilasci sarà inviato anche il modello dichiarativo IRAP delle Società di Persone</w:t>
            </w:r>
            <w:r w:rsidR="005F1E29">
              <w:t xml:space="preserve"> e degli Enti non Commerciali</w:t>
            </w:r>
            <w:r>
              <w:t xml:space="preserve">. </w:t>
            </w:r>
          </w:p>
          <w:p w14:paraId="57DE2431" w14:textId="77777777" w:rsidR="00A670E7" w:rsidRDefault="00A670E7" w:rsidP="00362259">
            <w:pPr>
              <w:pStyle w:val="corpoAltF"/>
              <w:ind w:left="725"/>
            </w:pPr>
          </w:p>
          <w:p w14:paraId="38D1A36C" w14:textId="77777777" w:rsidR="00A670E7" w:rsidRDefault="00A670E7" w:rsidP="00A670E7">
            <w:pPr>
              <w:pStyle w:val="CorpoAltF0"/>
            </w:pPr>
          </w:p>
          <w:tbl>
            <w:tblPr>
              <w:tblW w:w="0" w:type="auto"/>
              <w:tblInd w:w="5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39"/>
            </w:tblGrid>
            <w:tr w:rsidR="00A670E7" w14:paraId="6889C523" w14:textId="77777777" w:rsidTr="002337DE">
              <w:trPr>
                <w:trHeight w:val="1011"/>
              </w:trPr>
              <w:tc>
                <w:tcPr>
                  <w:tcW w:w="9039" w:type="dxa"/>
                  <w:tcMar>
                    <w:top w:w="284" w:type="dxa"/>
                    <w:left w:w="284" w:type="dxa"/>
                    <w:bottom w:w="284" w:type="dxa"/>
                    <w:right w:w="284" w:type="dxa"/>
                  </w:tcMar>
                </w:tcPr>
                <w:p w14:paraId="5D773DE6" w14:textId="77777777" w:rsidR="00A670E7" w:rsidRDefault="00A670E7" w:rsidP="00A670E7">
                  <w:pPr>
                    <w:rPr>
                      <w:rFonts w:ascii="Arial" w:hAnsi="Arial" w:cs="Arial"/>
                      <w:b/>
                      <w:bCs/>
                      <w:spacing w:val="40"/>
                      <w:u w:val="single"/>
                    </w:rPr>
                  </w:pPr>
                  <w:bookmarkStart w:id="1" w:name="_Hlk77772341"/>
                  <w:r>
                    <w:rPr>
                      <w:rFonts w:ascii="Arial" w:hAnsi="Arial" w:cs="Arial"/>
                      <w:b/>
                      <w:bCs/>
                      <w:noProof/>
                      <w:spacing w:val="40"/>
                    </w:rPr>
                    <w:drawing>
                      <wp:inline distT="0" distB="0" distL="0" distR="0" wp14:anchorId="688D9F7A" wp14:editId="7AB3D8D8">
                        <wp:extent cx="304800" cy="352425"/>
                        <wp:effectExtent l="0" t="0" r="0" b="9525"/>
                        <wp:docPr id="1240500927" name="Immagine 1240500927" descr="imagesCA27WEXV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imagesCA27WEXV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  <w:b/>
                      <w:bCs/>
                      <w:spacing w:val="40"/>
                      <w:u w:val="single"/>
                    </w:rPr>
                    <w:t>ATTENZIONE</w:t>
                  </w:r>
                </w:p>
                <w:p w14:paraId="428E8E53" w14:textId="77777777" w:rsidR="00A670E7" w:rsidRPr="004F2FFE" w:rsidRDefault="00A670E7" w:rsidP="00A670E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1F6E3F6" w14:textId="59180A34" w:rsidR="00A670E7" w:rsidRDefault="00A670E7" w:rsidP="00A670E7">
                  <w:pPr>
                    <w:pStyle w:val="corpoAltF"/>
                    <w:ind w:left="391"/>
                    <w:rPr>
                      <w:rStyle w:val="ui-provider"/>
                    </w:rPr>
                  </w:pPr>
                  <w:r>
                    <w:rPr>
                      <w:rStyle w:val="ui-provider"/>
                    </w:rPr>
                    <w:t>Con il presente aggiornamento il trasferimento dati contabili del dichiarativo IRAP Società di Capitali non può essere eseguito dall’interno della gestione del modello (funzione “</w:t>
                  </w:r>
                  <w:r w:rsidRPr="00A043C7">
                    <w:rPr>
                      <w:rStyle w:val="ui-provider"/>
                      <w:b/>
                      <w:bCs/>
                    </w:rPr>
                    <w:t>Trasferimento</w:t>
                  </w:r>
                  <w:r>
                    <w:rPr>
                      <w:rStyle w:val="ui-provider"/>
                    </w:rPr>
                    <w:t xml:space="preserve">” </w:t>
                  </w:r>
                  <w:r>
                    <w:rPr>
                      <w:noProof/>
                    </w:rPr>
                    <w:drawing>
                      <wp:inline distT="0" distB="0" distL="0" distR="0" wp14:anchorId="5D700BA1" wp14:editId="2E7B1773">
                        <wp:extent cx="324000" cy="250363"/>
                        <wp:effectExtent l="57150" t="57150" r="114300" b="111760"/>
                        <wp:docPr id="4973299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973299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4000" cy="250363"/>
                                </a:xfrm>
                                <a:prstGeom prst="rect">
                                  <a:avLst/>
                                </a:prstGeom>
                                <a:ln w="19050" cap="sq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</a:ln>
                                <a:effectLst>
                                  <a:outerShdw blurRad="50800" dist="38100" dir="2700000" algn="tl" rotWithShape="0">
                                    <a:srgbClr val="000000">
                                      <a:alpha val="43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Style w:val="ui-provider"/>
                    </w:rPr>
                    <w:t xml:space="preserve">), che sarà abilitata con il prossimo rilascio ma, al momento, può essere eseguito solo dall’apposita scelta del comando </w:t>
                  </w:r>
                  <w:r w:rsidRPr="00496FB4">
                    <w:rPr>
                      <w:rStyle w:val="ui-provider"/>
                      <w:b/>
                      <w:bCs/>
                    </w:rPr>
                    <w:t>TRA760</w:t>
                  </w:r>
                  <w:r>
                    <w:rPr>
                      <w:rStyle w:val="ui-provider"/>
                    </w:rPr>
                    <w:t xml:space="preserve">.  </w:t>
                  </w:r>
                </w:p>
                <w:p w14:paraId="27943E18" w14:textId="77777777" w:rsidR="00A670E7" w:rsidRDefault="00A670E7" w:rsidP="00A670E7">
                  <w:pPr>
                    <w:pStyle w:val="corpoAltF"/>
                    <w:ind w:left="391"/>
                    <w:rPr>
                      <w:rStyle w:val="ui-provider"/>
                    </w:rPr>
                  </w:pPr>
                </w:p>
                <w:p w14:paraId="1B535FAA" w14:textId="0A4C422A" w:rsidR="00A670E7" w:rsidRDefault="00A670E7" w:rsidP="00A670E7">
                  <w:pPr>
                    <w:pStyle w:val="corpoAltF"/>
                    <w:ind w:left="391"/>
                    <w:jc w:val="center"/>
                  </w:pPr>
                  <w:r>
                    <w:rPr>
                      <w:b/>
                      <w:bCs/>
                      <w:noProof/>
                      <w:spacing w:val="40"/>
                    </w:rPr>
                    <w:drawing>
                      <wp:inline distT="0" distB="0" distL="0" distR="0" wp14:anchorId="433F6933" wp14:editId="49311307">
                        <wp:extent cx="3600000" cy="1400870"/>
                        <wp:effectExtent l="57150" t="57150" r="114935" b="123190"/>
                        <wp:docPr id="225616011" name="Immagin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5616011" name="Immagine 225616011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00000" cy="1400870"/>
                                </a:xfrm>
                                <a:prstGeom prst="rect">
                                  <a:avLst/>
                                </a:prstGeom>
                                <a:ln w="19050" cap="sq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</a:ln>
                                <a:effectLst>
                                  <a:outerShdw blurRad="50800" dist="38100" dir="2700000" algn="tl" rotWithShape="0">
                                    <a:srgbClr val="000000">
                                      <a:alpha val="43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bookmarkEnd w:id="1"/>
          <w:p w14:paraId="07F122E9" w14:textId="085CBAED" w:rsidR="00362259" w:rsidRDefault="00362259" w:rsidP="00362259">
            <w:pPr>
              <w:pStyle w:val="corpoAltF"/>
              <w:numPr>
                <w:ilvl w:val="0"/>
                <w:numId w:val="27"/>
              </w:numPr>
              <w:spacing w:before="180"/>
              <w:ind w:right="17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Conversione dati dichiarazioni Redditi 202</w:t>
            </w:r>
            <w:r w:rsidR="00141244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“Società di Capitali”</w:t>
            </w:r>
            <w:r w:rsidR="00C4749A">
              <w:rPr>
                <w:b/>
                <w:sz w:val="22"/>
                <w:szCs w:val="22"/>
              </w:rPr>
              <w:t xml:space="preserve"> ed Enti non Commerciali</w:t>
            </w:r>
          </w:p>
          <w:p w14:paraId="48D50ADA" w14:textId="70D113FC" w:rsidR="00362259" w:rsidRDefault="00362259" w:rsidP="00362259">
            <w:pPr>
              <w:pStyle w:val="corpoAltF"/>
              <w:ind w:left="725"/>
            </w:pPr>
            <w:r>
              <w:t>Con il presente aggiornamento forniamo la conversione degli archivi relativi alle Tabelle Generali ed alle Dichiarazioni Redditi 202</w:t>
            </w:r>
            <w:r w:rsidR="00141244">
              <w:t>5</w:t>
            </w:r>
            <w:r>
              <w:t xml:space="preserve"> delle </w:t>
            </w:r>
            <w:r>
              <w:rPr>
                <w:b/>
              </w:rPr>
              <w:t>Società di Capitali</w:t>
            </w:r>
            <w:r w:rsidR="00C4749A">
              <w:rPr>
                <w:b/>
              </w:rPr>
              <w:t xml:space="preserve"> </w:t>
            </w:r>
            <w:r w:rsidR="00C4749A">
              <w:rPr>
                <w:bCs/>
              </w:rPr>
              <w:t xml:space="preserve">e degli </w:t>
            </w:r>
            <w:r w:rsidR="00C4749A" w:rsidRPr="00C4749A">
              <w:rPr>
                <w:b/>
              </w:rPr>
              <w:t>Enti non Commerciali</w:t>
            </w:r>
            <w:r>
              <w:rPr>
                <w:bCs/>
              </w:rPr>
              <w:t>,</w:t>
            </w:r>
            <w:r>
              <w:rPr>
                <w:b/>
              </w:rPr>
              <w:t xml:space="preserve"> </w:t>
            </w:r>
            <w:r>
              <w:rPr>
                <w:bCs/>
              </w:rPr>
              <w:t>al fine del riporto dati da anno precedente.</w:t>
            </w:r>
            <w:r>
              <w:t xml:space="preserve"> </w:t>
            </w:r>
          </w:p>
          <w:p w14:paraId="300E2E9A" w14:textId="77777777" w:rsidR="00362259" w:rsidRDefault="00362259" w:rsidP="00362259">
            <w:pPr>
              <w:pStyle w:val="corpoAltF"/>
              <w:numPr>
                <w:ilvl w:val="0"/>
                <w:numId w:val="27"/>
              </w:numPr>
              <w:spacing w:before="180"/>
              <w:ind w:right="17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Gestione dichiarazioni “Società di Capitali” e “Enti non Commerciali”</w:t>
            </w:r>
          </w:p>
          <w:p w14:paraId="2B1EA8E2" w14:textId="77777777" w:rsidR="00362259" w:rsidRPr="009E362B" w:rsidRDefault="00362259" w:rsidP="00362259">
            <w:pPr>
              <w:pStyle w:val="corpoAltF"/>
              <w:ind w:left="725"/>
            </w:pPr>
            <w:r w:rsidRPr="009E362B">
              <w:t>Per le Società di Capitali e per gli Enti non Commerciali sono al momento fornite le seguenti gestioni:</w:t>
            </w:r>
          </w:p>
          <w:p w14:paraId="52419EE5" w14:textId="77777777" w:rsidR="00362259" w:rsidRPr="009E362B" w:rsidRDefault="00362259" w:rsidP="00362259">
            <w:pPr>
              <w:pStyle w:val="corpoAltF"/>
              <w:numPr>
                <w:ilvl w:val="0"/>
                <w:numId w:val="46"/>
              </w:numPr>
            </w:pPr>
            <w:r w:rsidRPr="009E362B">
              <w:t xml:space="preserve">Tabelle Comuni, </w:t>
            </w:r>
          </w:p>
          <w:p w14:paraId="3A79AB42" w14:textId="77777777" w:rsidR="00362259" w:rsidRPr="009E362B" w:rsidRDefault="00362259" w:rsidP="00362259">
            <w:pPr>
              <w:pStyle w:val="corpoAltF"/>
              <w:numPr>
                <w:ilvl w:val="0"/>
                <w:numId w:val="46"/>
              </w:numPr>
            </w:pPr>
            <w:r w:rsidRPr="009E362B">
              <w:t>Gestione anagrafiche,</w:t>
            </w:r>
          </w:p>
          <w:p w14:paraId="2B6D9809" w14:textId="445969D4" w:rsidR="005041A1" w:rsidRPr="009E362B" w:rsidRDefault="005041A1" w:rsidP="005041A1">
            <w:pPr>
              <w:pStyle w:val="corpoAltF"/>
              <w:ind w:left="725"/>
            </w:pPr>
            <w:r w:rsidRPr="009E362B">
              <w:t xml:space="preserve">mentre </w:t>
            </w:r>
            <w:r w:rsidR="00D4437E" w:rsidRPr="009E362B">
              <w:t xml:space="preserve">per le </w:t>
            </w:r>
            <w:r w:rsidRPr="009E362B">
              <w:t xml:space="preserve">sole </w:t>
            </w:r>
            <w:r w:rsidR="00D4437E" w:rsidRPr="009E362B">
              <w:t xml:space="preserve">Società di capitali, </w:t>
            </w:r>
          </w:p>
          <w:p w14:paraId="68ABC450" w14:textId="25F7B87F" w:rsidR="00362259" w:rsidRPr="009E362B" w:rsidRDefault="00362259" w:rsidP="001D364B">
            <w:pPr>
              <w:pStyle w:val="corpoAltF"/>
              <w:numPr>
                <w:ilvl w:val="0"/>
                <w:numId w:val="46"/>
              </w:numPr>
            </w:pPr>
            <w:r w:rsidRPr="009E362B">
              <w:t xml:space="preserve">Gestione quadri, compreso il quadro RN, con compilazione provvisoria, </w:t>
            </w:r>
          </w:p>
          <w:p w14:paraId="209719E4" w14:textId="5552A5B4" w:rsidR="00362259" w:rsidRDefault="00362259" w:rsidP="00362259">
            <w:pPr>
              <w:pStyle w:val="corpoAltF"/>
              <w:numPr>
                <w:ilvl w:val="0"/>
                <w:numId w:val="46"/>
              </w:numPr>
            </w:pPr>
            <w:r w:rsidRPr="009E362B">
              <w:t xml:space="preserve">Trasferimento dei dati contabili nei quadri d’impresa ed IRAP (fatta eccezione per le Imprese Multiattività). </w:t>
            </w:r>
          </w:p>
          <w:p w14:paraId="5DED7A65" w14:textId="13B1E2AC" w:rsidR="0018414C" w:rsidRPr="009E362B" w:rsidRDefault="0018414C" w:rsidP="0018414C">
            <w:pPr>
              <w:pStyle w:val="CorpoAltF0"/>
              <w:ind w:left="828"/>
            </w:pPr>
            <w:r>
              <w:t>A</w:t>
            </w:r>
            <w:r w:rsidRPr="009E362B">
              <w:t xml:space="preserve">l momento, per gli Enti non Commerciali, </w:t>
            </w:r>
            <w:r>
              <w:t>non è quindi possibile</w:t>
            </w:r>
            <w:r w:rsidRPr="009E362B">
              <w:t xml:space="preserve"> </w:t>
            </w:r>
            <w:r w:rsidR="00A670E7">
              <w:t>gestire il</w:t>
            </w:r>
            <w:r w:rsidRPr="009E362B">
              <w:t xml:space="preserve"> modello dichiarativo.</w:t>
            </w:r>
          </w:p>
          <w:p w14:paraId="1B80EF65" w14:textId="77777777" w:rsidR="00360EE6" w:rsidRPr="002B1B3B" w:rsidRDefault="00360EE6" w:rsidP="00360EE6">
            <w:pPr>
              <w:pStyle w:val="corpoAltF"/>
              <w:numPr>
                <w:ilvl w:val="0"/>
                <w:numId w:val="27"/>
              </w:numPr>
              <w:spacing w:before="180"/>
              <w:ind w:right="170"/>
              <w:rPr>
                <w:b/>
                <w:bCs/>
                <w:sz w:val="22"/>
                <w:szCs w:val="22"/>
              </w:rPr>
            </w:pPr>
            <w:bookmarkStart w:id="2" w:name="_Toc127862469"/>
            <w:r w:rsidRPr="002B1B3B">
              <w:rPr>
                <w:b/>
                <w:bCs/>
                <w:sz w:val="22"/>
                <w:szCs w:val="22"/>
              </w:rPr>
              <w:t>Calcolo Fiscalità: alcune novità dell’ anno dichiarativo 202</w:t>
            </w:r>
            <w:bookmarkEnd w:id="2"/>
            <w:r>
              <w:rPr>
                <w:b/>
                <w:bCs/>
                <w:sz w:val="22"/>
                <w:szCs w:val="22"/>
              </w:rPr>
              <w:t>5</w:t>
            </w:r>
          </w:p>
          <w:p w14:paraId="3C6CAC3D" w14:textId="77777777" w:rsidR="00360EE6" w:rsidRDefault="00360EE6" w:rsidP="00360EE6">
            <w:pPr>
              <w:pStyle w:val="CorpoAltF0"/>
              <w:ind w:left="726"/>
            </w:pPr>
            <w:r w:rsidRPr="00256398">
              <w:t>Adeguato il Calcolo Fiscalità alle novità 202</w:t>
            </w:r>
            <w:r>
              <w:t>5</w:t>
            </w:r>
            <w:r w:rsidRPr="00256398">
              <w:t xml:space="preserve">. </w:t>
            </w:r>
          </w:p>
          <w:p w14:paraId="301882FE" w14:textId="77777777" w:rsidR="00360EE6" w:rsidRPr="008A3A76" w:rsidRDefault="00360EE6" w:rsidP="00360EE6">
            <w:pPr>
              <w:pStyle w:val="corpoAltF"/>
              <w:numPr>
                <w:ilvl w:val="0"/>
                <w:numId w:val="27"/>
              </w:numPr>
              <w:spacing w:before="180"/>
              <w:ind w:right="170"/>
              <w:rPr>
                <w:b/>
                <w:bCs/>
                <w:sz w:val="22"/>
                <w:szCs w:val="22"/>
              </w:rPr>
            </w:pPr>
            <w:r w:rsidRPr="009F140C">
              <w:rPr>
                <w:b/>
                <w:bCs/>
                <w:sz w:val="22"/>
                <w:szCs w:val="22"/>
              </w:rPr>
              <w:t>“</w:t>
            </w:r>
            <w:r w:rsidRPr="008A3A76">
              <w:rPr>
                <w:b/>
                <w:bCs/>
                <w:sz w:val="22"/>
                <w:szCs w:val="22"/>
              </w:rPr>
              <w:t>Blocco/Sblocco” del “Prospetto di calcolo della Fiscalità-Stanziamento imposte”</w:t>
            </w:r>
          </w:p>
          <w:p w14:paraId="37661427" w14:textId="77777777" w:rsidR="00360EE6" w:rsidRDefault="00360EE6" w:rsidP="00360EE6">
            <w:pPr>
              <w:pStyle w:val="CorpoAltF0"/>
              <w:ind w:left="726"/>
            </w:pPr>
            <w:r w:rsidRPr="008A3A76">
              <w:t>Attivata, nel Calcolo Fiscalità, la funzione “</w:t>
            </w:r>
            <w:r w:rsidRPr="008A3A76">
              <w:rPr>
                <w:b/>
                <w:bCs/>
              </w:rPr>
              <w:t>Blocco/Sblocco</w:t>
            </w:r>
            <w:r w:rsidRPr="008A3A76">
              <w:t>”, da cui si desumono le imposte correnti, differite e anticipate e che permette di far generare, in automatico, nella procedura MULTI, le scritture contabili relative allo stanziamento delle imposte e di importare i dati reddituali nell’apposita sezione della Nota Integrativa.</w:t>
            </w:r>
          </w:p>
          <w:p w14:paraId="18CADCFB" w14:textId="77777777" w:rsidR="00360EE6" w:rsidRDefault="00360EE6" w:rsidP="00360EE6">
            <w:pPr>
              <w:pStyle w:val="corpoAltF"/>
              <w:numPr>
                <w:ilvl w:val="0"/>
                <w:numId w:val="27"/>
              </w:numPr>
              <w:spacing w:before="180"/>
              <w:ind w:right="170"/>
              <w:rPr>
                <w:b/>
                <w:sz w:val="22"/>
                <w:szCs w:val="22"/>
              </w:rPr>
            </w:pPr>
            <w:bookmarkStart w:id="3" w:name="_Hlk66866825"/>
            <w:r>
              <w:rPr>
                <w:b/>
                <w:sz w:val="22"/>
                <w:szCs w:val="22"/>
              </w:rPr>
              <w:t>Bozza fiscale</w:t>
            </w:r>
          </w:p>
          <w:p w14:paraId="398C43DA" w14:textId="77777777" w:rsidR="00360EE6" w:rsidRDefault="00360EE6" w:rsidP="00360EE6">
            <w:pPr>
              <w:pStyle w:val="corpoAltF"/>
              <w:ind w:left="725"/>
            </w:pPr>
            <w:bookmarkStart w:id="4" w:name="_Hlk76034554"/>
            <w:r>
              <w:t>Per le Società di Capitali viene attivato l’import, all’interno del quadro d’impresa RF e del modello IRAP, della Bozza fiscale compilata all’interno del Bilancio.</w:t>
            </w:r>
          </w:p>
          <w:p w14:paraId="5513E4A6" w14:textId="08D078DB" w:rsidR="00360EE6" w:rsidRDefault="00360EE6" w:rsidP="00360EE6">
            <w:pPr>
              <w:pStyle w:val="corpoAltF"/>
              <w:ind w:left="725"/>
            </w:pPr>
            <w:r>
              <w:t>La procedura di “</w:t>
            </w:r>
            <w:r>
              <w:rPr>
                <w:i/>
                <w:iCs/>
              </w:rPr>
              <w:t>import</w:t>
            </w:r>
            <w:r>
              <w:t>” è particolarmente utile sia a coloro che non gestiscono la contabilità con l’applicativo MULTI e che, quindi, si trovano ad importare nel Bilancio dati contabili esterni</w:t>
            </w:r>
            <w:r w:rsidR="006D0B99">
              <w:t>,</w:t>
            </w:r>
            <w:r>
              <w:t xml:space="preserve"> che a coloro che compilano manualmente la Bozza fiscale, poi trasferita in Bilancio.</w:t>
            </w:r>
          </w:p>
          <w:bookmarkEnd w:id="3"/>
          <w:bookmarkEnd w:id="4"/>
          <w:p w14:paraId="5FC8F7B9" w14:textId="428F6862" w:rsidR="00362259" w:rsidRDefault="00362259" w:rsidP="00A670E7">
            <w:pPr>
              <w:pStyle w:val="corpoAltF"/>
              <w:numPr>
                <w:ilvl w:val="0"/>
                <w:numId w:val="27"/>
              </w:numPr>
              <w:spacing w:before="180"/>
              <w:ind w:right="17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Aggiornamento delle partecipazioni per i soci in trasparenza art.115</w:t>
            </w:r>
          </w:p>
          <w:p w14:paraId="3BD46161" w14:textId="77777777" w:rsidR="00362259" w:rsidRDefault="00362259" w:rsidP="00362259">
            <w:pPr>
              <w:pStyle w:val="corpoAltF"/>
              <w:ind w:left="725"/>
            </w:pPr>
            <w:r>
              <w:t xml:space="preserve">Per le società in trasparenza fiscale di cui all’art.115 del Tuir, con il presente aggiornamento viene attivata l’imputazione pro quota ai soci del reddito prodotto dalla società. </w:t>
            </w:r>
          </w:p>
          <w:p w14:paraId="5DA892AA" w14:textId="77777777" w:rsidR="00362259" w:rsidRDefault="00362259" w:rsidP="00A670E7">
            <w:pPr>
              <w:pStyle w:val="corpoAltF"/>
              <w:numPr>
                <w:ilvl w:val="0"/>
                <w:numId w:val="27"/>
              </w:numPr>
              <w:spacing w:before="180"/>
              <w:ind w:right="17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ATTDB6: Pubblicazione dei modelli dichiarativi nella Digital Box</w:t>
            </w:r>
          </w:p>
          <w:p w14:paraId="270F6817" w14:textId="77777777" w:rsidR="00362259" w:rsidRDefault="00362259" w:rsidP="00362259">
            <w:pPr>
              <w:pStyle w:val="corpoAltF"/>
              <w:ind w:left="725"/>
            </w:pPr>
            <w:r>
              <w:t>Viene attivato il servizio di pubblicazione, nel canale digitale, delle dichiarazioni dei Redditi Società di Capitali ed Enti non Commerciali.</w:t>
            </w:r>
          </w:p>
          <w:p w14:paraId="1518F627" w14:textId="4AF10CF2" w:rsidR="00362259" w:rsidRDefault="00362259" w:rsidP="00A670E7">
            <w:pPr>
              <w:pStyle w:val="corpoAltF"/>
              <w:numPr>
                <w:ilvl w:val="0"/>
                <w:numId w:val="27"/>
              </w:numPr>
              <w:spacing w:before="180"/>
              <w:ind w:right="17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Istruzioni ministeriali in formato “.pdf” relative a REDDITI 202</w:t>
            </w:r>
            <w:r w:rsidR="00DA02C9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e IRAP </w:t>
            </w:r>
            <w:r w:rsidR="00DA02C9">
              <w:rPr>
                <w:b/>
                <w:sz w:val="22"/>
                <w:szCs w:val="22"/>
              </w:rPr>
              <w:t>2025</w:t>
            </w:r>
          </w:p>
          <w:p w14:paraId="7B86EDBD" w14:textId="77777777" w:rsidR="00825AF3" w:rsidRPr="007D3431" w:rsidRDefault="00000000" w:rsidP="00A670E7">
            <w:pPr>
              <w:pStyle w:val="corpoAltF"/>
              <w:numPr>
                <w:ilvl w:val="0"/>
                <w:numId w:val="27"/>
              </w:numPr>
              <w:spacing w:before="180"/>
              <w:ind w:right="170"/>
              <w:rPr>
                <w:b/>
                <w:sz w:val="22"/>
                <w:szCs w:val="22"/>
              </w:rPr>
            </w:pPr>
            <w:r w:rsidRPr="007D3431">
              <w:rPr>
                <w:b/>
                <w:sz w:val="22"/>
                <w:szCs w:val="22"/>
              </w:rPr>
              <w:t>Implementazioni varie</w:t>
            </w:r>
          </w:p>
          <w:p w14:paraId="025B76CE" w14:textId="77777777" w:rsidR="00825AF3" w:rsidRPr="007D3431" w:rsidRDefault="00000000">
            <w:pPr>
              <w:pStyle w:val="Intestazione"/>
              <w:tabs>
                <w:tab w:val="left" w:pos="708"/>
              </w:tabs>
              <w:ind w:left="725"/>
              <w:jc w:val="both"/>
              <w:rPr>
                <w:rFonts w:ascii="Arial" w:hAnsi="Arial" w:cs="Arial"/>
              </w:rPr>
            </w:pPr>
            <w:r w:rsidRPr="007D3431">
              <w:rPr>
                <w:rFonts w:ascii="Arial" w:hAnsi="Arial" w:cs="Arial"/>
              </w:rPr>
              <w:t xml:space="preserve">Inserite alcune implementazioni. </w:t>
            </w:r>
          </w:p>
          <w:p w14:paraId="09E97C27" w14:textId="77777777" w:rsidR="00825AF3" w:rsidRPr="007D3431" w:rsidRDefault="00000000">
            <w:pPr>
              <w:pStyle w:val="corpoAltF"/>
              <w:ind w:left="725"/>
            </w:pPr>
            <w:r w:rsidRPr="007D3431">
              <w:t>Per spiegazioni dettagliate si rinvia al fascicolo</w:t>
            </w:r>
            <w:r w:rsidRPr="007D3431">
              <w:rPr>
                <w:b/>
              </w:rPr>
              <w:t xml:space="preserve"> </w:t>
            </w:r>
            <w:r w:rsidRPr="007D3431">
              <w:t>“</w:t>
            </w:r>
            <w:r w:rsidRPr="007D3431">
              <w:rPr>
                <w:b/>
              </w:rPr>
              <w:t>Implementazioni</w:t>
            </w:r>
            <w:r w:rsidRPr="007D3431">
              <w:t>”.</w:t>
            </w:r>
          </w:p>
          <w:p w14:paraId="612E3D67" w14:textId="77777777" w:rsidR="00825AF3" w:rsidRDefault="00825AF3">
            <w:pPr>
              <w:ind w:left="72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F6897C" w14:textId="77777777" w:rsidR="00825AF3" w:rsidRDefault="00825AF3">
            <w:pPr>
              <w:ind w:left="725"/>
              <w:jc w:val="both"/>
            </w:pPr>
          </w:p>
        </w:tc>
      </w:tr>
    </w:tbl>
    <w:p w14:paraId="493136CD" w14:textId="77777777" w:rsidR="00825AF3" w:rsidRDefault="00825AF3">
      <w:pPr>
        <w:pStyle w:val="CorpoAltF0"/>
      </w:pPr>
    </w:p>
    <w:p w14:paraId="001025C0" w14:textId="77777777" w:rsidR="00825AF3" w:rsidRDefault="00825AF3">
      <w:pPr>
        <w:pStyle w:val="CorpoAltF0"/>
        <w:sectPr w:rsidR="00825AF3" w:rsidSect="008511DB">
          <w:headerReference w:type="default" r:id="rId12"/>
          <w:footerReference w:type="default" r:id="rId13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</w:sectPr>
      </w:pPr>
    </w:p>
    <w:tbl>
      <w:tblPr>
        <w:tblW w:w="9846" w:type="dxa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846"/>
      </w:tblGrid>
      <w:tr w:rsidR="00825AF3" w14:paraId="351D391B" w14:textId="77777777" w:rsidTr="00E300D9">
        <w:trPr>
          <w:trHeight w:val="221"/>
          <w:jc w:val="center"/>
        </w:trPr>
        <w:tc>
          <w:tcPr>
            <w:tcW w:w="9846" w:type="dxa"/>
            <w:shd w:val="clear" w:color="auto" w:fill="CCCCCC"/>
            <w:vAlign w:val="center"/>
          </w:tcPr>
          <w:p w14:paraId="0684F0F9" w14:textId="77777777" w:rsidR="00825AF3" w:rsidRDefault="00000000">
            <w:pPr>
              <w:pStyle w:val="WWContenutoRilascio"/>
              <w:rPr>
                <w:rFonts w:cs="Arial"/>
              </w:rPr>
            </w:pPr>
            <w:r>
              <w:rPr>
                <w:rFonts w:cs="Arial"/>
              </w:rPr>
              <w:lastRenderedPageBreak/>
              <w:t>Avvertenze / Operazioni manuali</w:t>
            </w:r>
          </w:p>
        </w:tc>
      </w:tr>
      <w:tr w:rsidR="00825AF3" w14:paraId="6BD7CFCA" w14:textId="77777777" w:rsidTr="00E300D9">
        <w:trPr>
          <w:trHeight w:val="2278"/>
          <w:jc w:val="center"/>
        </w:trPr>
        <w:tc>
          <w:tcPr>
            <w:tcW w:w="9846" w:type="dxa"/>
          </w:tcPr>
          <w:p w14:paraId="3D248E3B" w14:textId="77777777" w:rsidR="00825AF3" w:rsidRDefault="00825AF3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Cs/>
              </w:rPr>
            </w:pPr>
          </w:p>
          <w:p w14:paraId="0A0782DD" w14:textId="49632B6E" w:rsidR="00EF40A0" w:rsidRDefault="00EF40A0" w:rsidP="00EF40A0">
            <w:pPr>
              <w:pStyle w:val="CorpoAltF0"/>
              <w:rPr>
                <w:bCs/>
              </w:rPr>
            </w:pPr>
            <w:r>
              <w:t xml:space="preserve">Con il presente aggiornamento viene fornito l’applicativo </w:t>
            </w:r>
            <w:r>
              <w:rPr>
                <w:b/>
              </w:rPr>
              <w:t>DIRED2</w:t>
            </w:r>
            <w:r w:rsidR="00831D6A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>
              <w:t>per la</w:t>
            </w:r>
            <w:r>
              <w:rPr>
                <w:b/>
              </w:rPr>
              <w:t xml:space="preserve"> </w:t>
            </w:r>
            <w:r>
              <w:t>compilazione delle dichiarazioni redditi 202</w:t>
            </w:r>
            <w:r w:rsidR="00831D6A">
              <w:t>5</w:t>
            </w:r>
            <w:r>
              <w:t xml:space="preserve"> delle Società di</w:t>
            </w:r>
            <w:r w:rsidR="00831D6A">
              <w:t xml:space="preserve"> C</w:t>
            </w:r>
            <w:r>
              <w:t xml:space="preserve">apitali </w:t>
            </w:r>
            <w:r>
              <w:rPr>
                <w:bCs/>
              </w:rPr>
              <w:t xml:space="preserve">come da modelli definitivi approvati dall’Agenzia delle Entrate con Provvedimento </w:t>
            </w:r>
            <w:r>
              <w:rPr>
                <w:rFonts w:cs="Arial"/>
                <w:bCs/>
              </w:rPr>
              <w:t xml:space="preserve">del Direttore dell’Agenzia delle Entrate </w:t>
            </w:r>
            <w:r w:rsidR="00B92FCF" w:rsidRPr="00B92FCF">
              <w:rPr>
                <w:bCs/>
              </w:rPr>
              <w:t xml:space="preserve">Prot. n. 131067 </w:t>
            </w:r>
            <w:r w:rsidRPr="00B92FCF">
              <w:rPr>
                <w:bCs/>
              </w:rPr>
              <w:t xml:space="preserve">del </w:t>
            </w:r>
            <w:r w:rsidR="00B92FCF" w:rsidRPr="00B92FCF">
              <w:rPr>
                <w:bCs/>
              </w:rPr>
              <w:t>17</w:t>
            </w:r>
            <w:r w:rsidRPr="00B92FCF">
              <w:rPr>
                <w:bCs/>
              </w:rPr>
              <w:t xml:space="preserve"> </w:t>
            </w:r>
            <w:proofErr w:type="gramStart"/>
            <w:r w:rsidR="00B92FCF" w:rsidRPr="00B92FCF">
              <w:rPr>
                <w:bCs/>
              </w:rPr>
              <w:t>Marzo</w:t>
            </w:r>
            <w:proofErr w:type="gramEnd"/>
            <w:r w:rsidRPr="00B92FCF">
              <w:rPr>
                <w:bCs/>
              </w:rPr>
              <w:t xml:space="preserve"> 202</w:t>
            </w:r>
            <w:r w:rsidR="00B92FCF" w:rsidRPr="00B92FCF">
              <w:rPr>
                <w:bCs/>
              </w:rPr>
              <w:t>5</w:t>
            </w:r>
            <w:r w:rsidRPr="00B92FCF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</w:p>
          <w:p w14:paraId="5D3414AD" w14:textId="501E6AAA" w:rsidR="00EF40A0" w:rsidRDefault="00EF40A0" w:rsidP="00EF40A0">
            <w:pPr>
              <w:pStyle w:val="CorpoAltF0"/>
              <w:tabs>
                <w:tab w:val="left" w:pos="6399"/>
              </w:tabs>
            </w:pPr>
            <w:r>
              <w:t xml:space="preserve">Ricordiamo che, l’applicativo </w:t>
            </w:r>
            <w:r>
              <w:rPr>
                <w:b/>
              </w:rPr>
              <w:t>DIRED2</w:t>
            </w:r>
            <w:r w:rsidR="00831D6A">
              <w:rPr>
                <w:b/>
              </w:rPr>
              <w:t>5</w:t>
            </w:r>
            <w:r>
              <w:t>,</w:t>
            </w:r>
            <w:r>
              <w:rPr>
                <w:b/>
              </w:rPr>
              <w:t xml:space="preserve"> </w:t>
            </w:r>
            <w:r>
              <w:t>limitatamente alle gestioni utili al calcolo simulato del reddito anno 202</w:t>
            </w:r>
            <w:r w:rsidR="00831D6A">
              <w:t>4</w:t>
            </w:r>
            <w:r>
              <w:t xml:space="preserve"> ed ai relativi acconti</w:t>
            </w:r>
            <w:r w:rsidR="006F1793">
              <w:t>,</w:t>
            </w:r>
            <w:r>
              <w:t xml:space="preserve"> è già stato anzitempo fornito</w:t>
            </w:r>
            <w:r w:rsidR="006F1793">
              <w:t>,</w:t>
            </w:r>
            <w:r>
              <w:t xml:space="preserve"> per permettere agli utenti di poter inserire i dati delle dichiarazioni ed arrivare, step by step, ad oggi, in cui avviene la consegna ufficiale dell’applicativo </w:t>
            </w:r>
            <w:r>
              <w:rPr>
                <w:b/>
              </w:rPr>
              <w:t>DIRED2</w:t>
            </w:r>
            <w:r w:rsidR="00831D6A">
              <w:rPr>
                <w:b/>
              </w:rPr>
              <w:t>5</w:t>
            </w:r>
            <w:r>
              <w:t xml:space="preserve"> per la compilazione de</w:t>
            </w:r>
            <w:r w:rsidR="00DE41C6">
              <w:t>l</w:t>
            </w:r>
            <w:r>
              <w:t xml:space="preserve"> suddett</w:t>
            </w:r>
            <w:r w:rsidR="00DE41C6">
              <w:t>o</w:t>
            </w:r>
            <w:r>
              <w:t xml:space="preserve"> modell</w:t>
            </w:r>
            <w:r w:rsidR="00DE41C6">
              <w:t>o</w:t>
            </w:r>
            <w:r>
              <w:t xml:space="preserve"> dichiarativ</w:t>
            </w:r>
            <w:r w:rsidR="00DE41C6">
              <w:t>o</w:t>
            </w:r>
            <w:r>
              <w:t>.</w:t>
            </w:r>
          </w:p>
          <w:p w14:paraId="320A1A20" w14:textId="77777777" w:rsidR="00EF40A0" w:rsidRDefault="00EF40A0" w:rsidP="00EF40A0">
            <w:pPr>
              <w:pStyle w:val="CorpoAltF0"/>
            </w:pPr>
          </w:p>
          <w:p w14:paraId="4898F8F8" w14:textId="4BD51731" w:rsidR="00EF40A0" w:rsidRDefault="00EF40A0" w:rsidP="00EF40A0">
            <w:pPr>
              <w:pStyle w:val="CorpoAltF0"/>
            </w:pPr>
            <w:r>
              <w:t>A tal proposito si consiglia un’attenta lettura, nel fascicolo note “</w:t>
            </w:r>
            <w:r>
              <w:rPr>
                <w:b/>
              </w:rPr>
              <w:t>Implementazioni</w:t>
            </w:r>
            <w:r>
              <w:t xml:space="preserve">”, del paragrafo relativo alla procedura di conversione, </w:t>
            </w:r>
            <w:r>
              <w:rPr>
                <w:b/>
              </w:rPr>
              <w:t>CONRED</w:t>
            </w:r>
            <w:r>
              <w:t xml:space="preserve">, al fine di comprendere come opera la conversione massiva, tenuto conto delle eventuali dichiarazioni redditi che possono già essere state compilate </w:t>
            </w:r>
            <w:r w:rsidR="00F4057D">
              <w:t xml:space="preserve">nella dichiarazione simulata </w:t>
            </w:r>
            <w:r>
              <w:t>ed eventualmente “</w:t>
            </w:r>
            <w:r>
              <w:rPr>
                <w:i/>
              </w:rPr>
              <w:t>bloccate</w:t>
            </w:r>
            <w:r>
              <w:t>”</w:t>
            </w:r>
            <w:r w:rsidR="00F4057D">
              <w:t>,</w:t>
            </w:r>
            <w:r>
              <w:t xml:space="preserve"> limitatamente alla gestione anagrafica e/o al quadro RF</w:t>
            </w:r>
            <w:r w:rsidR="006F1793">
              <w:t>.</w:t>
            </w:r>
            <w:r>
              <w:t xml:space="preserve"> </w:t>
            </w:r>
          </w:p>
          <w:p w14:paraId="5F2D2EC8" w14:textId="77777777" w:rsidR="00EF40A0" w:rsidRDefault="00EF40A0" w:rsidP="00FB6677">
            <w:pPr>
              <w:pStyle w:val="CorpoAltF0"/>
              <w:ind w:left="126"/>
            </w:pPr>
            <w:bookmarkStart w:id="5" w:name="_Hlk129356431"/>
          </w:p>
          <w:p w14:paraId="08626263" w14:textId="77777777" w:rsidR="00F4523B" w:rsidRDefault="00F4523B" w:rsidP="00FB6677">
            <w:pPr>
              <w:pStyle w:val="CorpoAltF0"/>
              <w:ind w:left="126"/>
            </w:pPr>
          </w:p>
          <w:tbl>
            <w:tblPr>
              <w:tblW w:w="0" w:type="auto"/>
              <w:tblInd w:w="1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C0C0C0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19"/>
            </w:tblGrid>
            <w:tr w:rsidR="00EF40A0" w14:paraId="4CC86EE0" w14:textId="77777777" w:rsidTr="00A26C46">
              <w:trPr>
                <w:trHeight w:val="1035"/>
              </w:trPr>
              <w:tc>
                <w:tcPr>
                  <w:tcW w:w="9506" w:type="dxa"/>
                  <w:shd w:val="clear" w:color="auto" w:fill="C0C0C0"/>
                  <w:tcMar>
                    <w:top w:w="284" w:type="dxa"/>
                    <w:left w:w="284" w:type="dxa"/>
                    <w:bottom w:w="284" w:type="dxa"/>
                    <w:right w:w="284" w:type="dxa"/>
                  </w:tcMar>
                </w:tcPr>
                <w:p w14:paraId="63689A54" w14:textId="77777777" w:rsidR="00EF40A0" w:rsidRDefault="00EF40A0" w:rsidP="00FB6677">
                  <w:pPr>
                    <w:pStyle w:val="corpo"/>
                    <w:ind w:left="126"/>
                    <w:jc w:val="left"/>
                    <w:rPr>
                      <w:b/>
                      <w:bCs/>
                      <w:spacing w:val="40"/>
                      <w:u w:val="single"/>
                    </w:rPr>
                  </w:pPr>
                  <w:r>
                    <w:rPr>
                      <w:b/>
                      <w:bCs/>
                      <w:noProof/>
                      <w:spacing w:val="40"/>
                    </w:rPr>
                    <w:drawing>
                      <wp:inline distT="0" distB="0" distL="0" distR="0" wp14:anchorId="33025596" wp14:editId="7B9A25E5">
                        <wp:extent cx="302260" cy="302260"/>
                        <wp:effectExtent l="0" t="0" r="2540" b="2540"/>
                        <wp:docPr id="1" name="Immagine 1" descr="be27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be27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2260" cy="302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bCs/>
                      <w:spacing w:val="40"/>
                    </w:rPr>
                    <w:t xml:space="preserve"> </w:t>
                  </w:r>
                  <w:r>
                    <w:rPr>
                      <w:b/>
                      <w:bCs/>
                      <w:spacing w:val="40"/>
                      <w:u w:val="single"/>
                    </w:rPr>
                    <w:t>IMPORTANTE</w:t>
                  </w:r>
                </w:p>
                <w:p w14:paraId="3EF56308" w14:textId="77777777" w:rsidR="00EF40A0" w:rsidRDefault="00EF40A0" w:rsidP="00FB6677">
                  <w:pPr>
                    <w:pStyle w:val="corpoAltF"/>
                    <w:ind w:left="126"/>
                  </w:pPr>
                </w:p>
                <w:p w14:paraId="777AAE56" w14:textId="2CA4D003" w:rsidR="00EF40A0" w:rsidRDefault="00EF40A0" w:rsidP="00A26C46">
                  <w:pPr>
                    <w:pStyle w:val="corpo"/>
                    <w:ind w:left="563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Prima di iniziare ad operare nella procedura DIRED2</w:t>
                  </w:r>
                  <w:r w:rsidR="00555F62">
                    <w:rPr>
                      <w:b/>
                      <w:u w:val="single"/>
                    </w:rPr>
                    <w:t>5</w:t>
                  </w:r>
                  <w:r>
                    <w:rPr>
                      <w:b/>
                      <w:u w:val="single"/>
                    </w:rPr>
                    <w:t xml:space="preserve"> si raccomanda di verificare la presenza dell</w:t>
                  </w:r>
                  <w:r w:rsidR="00AD68C6">
                    <w:rPr>
                      <w:b/>
                      <w:u w:val="single"/>
                    </w:rPr>
                    <w:t>e</w:t>
                  </w:r>
                  <w:r>
                    <w:rPr>
                      <w:b/>
                      <w:u w:val="single"/>
                    </w:rPr>
                    <w:t xml:space="preserve"> procedur</w:t>
                  </w:r>
                  <w:r w:rsidR="00AD68C6">
                    <w:rPr>
                      <w:b/>
                      <w:u w:val="single"/>
                    </w:rPr>
                    <w:t>e</w:t>
                  </w:r>
                  <w:r>
                    <w:rPr>
                      <w:b/>
                      <w:u w:val="single"/>
                    </w:rPr>
                    <w:t xml:space="preserve"> </w:t>
                  </w:r>
                  <w:r w:rsidR="00EC721E">
                    <w:rPr>
                      <w:b/>
                      <w:u w:val="single"/>
                    </w:rPr>
                    <w:t>REDDITI vers. 2025.00.00 del 07.11.2024</w:t>
                  </w:r>
                  <w:r w:rsidR="00AD68C6">
                    <w:rPr>
                      <w:b/>
                      <w:u w:val="single"/>
                    </w:rPr>
                    <w:t>,</w:t>
                  </w:r>
                  <w:r w:rsidR="00EC721E">
                    <w:rPr>
                      <w:b/>
                      <w:u w:val="single"/>
                    </w:rPr>
                    <w:t xml:space="preserve"> </w:t>
                  </w:r>
                  <w:r w:rsidR="00AD68C6">
                    <w:rPr>
                      <w:b/>
                      <w:u w:val="single"/>
                    </w:rPr>
                    <w:t xml:space="preserve">per avere un corretto allineamento dei programmi </w:t>
                  </w:r>
                  <w:r w:rsidR="00EC721E">
                    <w:rPr>
                      <w:b/>
                      <w:u w:val="single"/>
                    </w:rPr>
                    <w:t xml:space="preserve">e </w:t>
                  </w:r>
                  <w:r>
                    <w:rPr>
                      <w:b/>
                      <w:u w:val="single"/>
                    </w:rPr>
                    <w:t>GESIMM vers</w:t>
                  </w:r>
                  <w:r w:rsidR="00EC721E">
                    <w:rPr>
                      <w:b/>
                      <w:u w:val="single"/>
                    </w:rPr>
                    <w:t>.</w:t>
                  </w:r>
                  <w:r>
                    <w:rPr>
                      <w:b/>
                      <w:u w:val="single"/>
                    </w:rPr>
                    <w:t xml:space="preserve"> </w:t>
                  </w:r>
                  <w:r w:rsidRPr="00715D5A">
                    <w:rPr>
                      <w:b/>
                      <w:u w:val="single"/>
                    </w:rPr>
                    <w:t>202</w:t>
                  </w:r>
                  <w:r w:rsidR="00555F62" w:rsidRPr="00715D5A">
                    <w:rPr>
                      <w:b/>
                      <w:u w:val="single"/>
                    </w:rPr>
                    <w:t>5</w:t>
                  </w:r>
                  <w:r w:rsidRPr="00715D5A">
                    <w:rPr>
                      <w:b/>
                      <w:u w:val="single"/>
                    </w:rPr>
                    <w:t>.00.0</w:t>
                  </w:r>
                  <w:r w:rsidR="003718D8">
                    <w:rPr>
                      <w:b/>
                      <w:u w:val="single"/>
                    </w:rPr>
                    <w:t>1</w:t>
                  </w:r>
                  <w:r w:rsidRPr="00E87CAD">
                    <w:rPr>
                      <w:b/>
                      <w:u w:val="single"/>
                    </w:rPr>
                    <w:t xml:space="preserve"> </w:t>
                  </w:r>
                  <w:r w:rsidRPr="00715D5A">
                    <w:rPr>
                      <w:b/>
                      <w:u w:val="single"/>
                    </w:rPr>
                    <w:t xml:space="preserve">del </w:t>
                  </w:r>
                  <w:r w:rsidR="003718D8">
                    <w:rPr>
                      <w:b/>
                      <w:u w:val="single"/>
                    </w:rPr>
                    <w:t>13</w:t>
                  </w:r>
                  <w:r w:rsidRPr="00715D5A">
                    <w:rPr>
                      <w:b/>
                      <w:u w:val="single"/>
                    </w:rPr>
                    <w:t>.03.202</w:t>
                  </w:r>
                  <w:r w:rsidR="00555F62" w:rsidRPr="00715D5A">
                    <w:rPr>
                      <w:b/>
                      <w:u w:val="single"/>
                    </w:rPr>
                    <w:t>5</w:t>
                  </w:r>
                  <w:r w:rsidR="00AD68C6">
                    <w:rPr>
                      <w:b/>
                      <w:u w:val="single"/>
                    </w:rPr>
                    <w:t>, per il prelievo dei dati relativi agli immobili.</w:t>
                  </w:r>
                </w:p>
                <w:p w14:paraId="39131E9F" w14:textId="77777777" w:rsidR="00EC721E" w:rsidRDefault="00EC721E" w:rsidP="00A26C46">
                  <w:pPr>
                    <w:pStyle w:val="corpo"/>
                    <w:ind w:left="563"/>
                    <w:rPr>
                      <w:b/>
                    </w:rPr>
                  </w:pPr>
                </w:p>
                <w:p w14:paraId="387F1134" w14:textId="350D3D62" w:rsidR="00EF40A0" w:rsidRDefault="00EF40A0" w:rsidP="00A26C46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left="563"/>
                    <w:jc w:val="both"/>
                    <w:rPr>
                      <w:rFonts w:ascii="Arial" w:hAnsi="Arial" w:cs="Arial"/>
                      <w:b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u w:val="single"/>
                    </w:rPr>
                    <w:t xml:space="preserve">Inoltre, ai fini del caricamento del Piano dei Conti Standard </w:t>
                  </w:r>
                  <w:proofErr w:type="spellStart"/>
                  <w:r>
                    <w:rPr>
                      <w:rFonts w:ascii="Arial" w:hAnsi="Arial" w:cs="Arial"/>
                      <w:b/>
                      <w:u w:val="single"/>
                    </w:rPr>
                    <w:t>Teamsystem</w:t>
                  </w:r>
                  <w:proofErr w:type="spellEnd"/>
                  <w:r>
                    <w:rPr>
                      <w:rFonts w:ascii="Arial" w:hAnsi="Arial" w:cs="Arial"/>
                      <w:b/>
                      <w:u w:val="single"/>
                    </w:rPr>
                    <w:t xml:space="preserve"> (CPESTD) e di un corretto trasferimento dei quadri di reddito (TRA760), è necessario installare l’aggiornamento MULTI </w:t>
                  </w:r>
                  <w:r w:rsidRPr="00DE527E">
                    <w:rPr>
                      <w:rFonts w:ascii="Arial" w:hAnsi="Arial" w:cs="Arial"/>
                      <w:b/>
                      <w:u w:val="single"/>
                    </w:rPr>
                    <w:t>versione 202</w:t>
                  </w:r>
                  <w:r w:rsidR="00DE527E" w:rsidRPr="00DE527E">
                    <w:rPr>
                      <w:rFonts w:ascii="Arial" w:hAnsi="Arial" w:cs="Arial"/>
                      <w:b/>
                      <w:u w:val="single"/>
                    </w:rPr>
                    <w:t>5</w:t>
                  </w:r>
                  <w:r w:rsidRPr="00DE527E">
                    <w:rPr>
                      <w:rFonts w:ascii="Arial" w:hAnsi="Arial" w:cs="Arial"/>
                      <w:b/>
                      <w:u w:val="single"/>
                    </w:rPr>
                    <w:t xml:space="preserve">.00.03 del </w:t>
                  </w:r>
                  <w:r w:rsidR="0025266B">
                    <w:rPr>
                      <w:rFonts w:ascii="Arial" w:hAnsi="Arial" w:cs="Arial"/>
                      <w:b/>
                      <w:u w:val="single"/>
                    </w:rPr>
                    <w:t>2</w:t>
                  </w:r>
                  <w:r w:rsidR="005E4102">
                    <w:rPr>
                      <w:rFonts w:ascii="Arial" w:hAnsi="Arial" w:cs="Arial"/>
                      <w:b/>
                      <w:u w:val="single"/>
                    </w:rPr>
                    <w:t>7</w:t>
                  </w:r>
                  <w:r w:rsidRPr="00DE527E">
                    <w:rPr>
                      <w:rFonts w:ascii="Arial" w:hAnsi="Arial" w:cs="Arial"/>
                      <w:b/>
                      <w:u w:val="single"/>
                    </w:rPr>
                    <w:t>.03.202</w:t>
                  </w:r>
                  <w:r w:rsidR="00DE527E" w:rsidRPr="00DE527E">
                    <w:rPr>
                      <w:rFonts w:ascii="Arial" w:hAnsi="Arial" w:cs="Arial"/>
                      <w:b/>
                      <w:u w:val="single"/>
                    </w:rPr>
                    <w:t>5</w:t>
                  </w:r>
                  <w:r w:rsidRPr="00DE527E">
                    <w:rPr>
                      <w:rFonts w:ascii="Arial" w:hAnsi="Arial" w:cs="Arial"/>
                      <w:b/>
                      <w:u w:val="single"/>
                    </w:rPr>
                    <w:t>.</w:t>
                  </w:r>
                  <w:r>
                    <w:rPr>
                      <w:rFonts w:ascii="Arial" w:hAnsi="Arial" w:cs="Arial"/>
                      <w:b/>
                      <w:u w:val="single"/>
                    </w:rPr>
                    <w:t xml:space="preserve"> </w:t>
                  </w:r>
                </w:p>
                <w:p w14:paraId="7DC3CA62" w14:textId="77777777" w:rsidR="00EF40A0" w:rsidRDefault="00EF40A0" w:rsidP="00A26C46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left="563"/>
                    <w:jc w:val="both"/>
                    <w:rPr>
                      <w:rFonts w:ascii="Arial" w:hAnsi="Arial" w:cs="Arial"/>
                      <w:b/>
                      <w:u w:val="single"/>
                    </w:rPr>
                  </w:pPr>
                </w:p>
                <w:p w14:paraId="5B381147" w14:textId="77777777" w:rsidR="00EF40A0" w:rsidRDefault="00EF40A0" w:rsidP="00A26C46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left="563"/>
                    <w:jc w:val="both"/>
                    <w:rPr>
                      <w:rFonts w:ascii="Arial" w:hAnsi="Arial" w:cs="Arial"/>
                      <w:b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u w:val="single"/>
                    </w:rPr>
                    <w:t xml:space="preserve">Qualora si eseguano i comandi CPESTD e/o TRA760 (o trasferimento dati dal quadro di reddito/IRAP) in assenza della suddetta versione MULTI, la procedura impedisce l’esecuzione di tali procedure, segnalandolo con apposito </w:t>
                  </w:r>
                  <w:proofErr w:type="spellStart"/>
                  <w:r>
                    <w:rPr>
                      <w:rFonts w:ascii="Arial" w:hAnsi="Arial" w:cs="Arial"/>
                      <w:b/>
                      <w:i/>
                      <w:iCs/>
                      <w:u w:val="single"/>
                    </w:rPr>
                    <w:t>alert</w:t>
                  </w:r>
                  <w:proofErr w:type="spellEnd"/>
                  <w:r>
                    <w:rPr>
                      <w:rFonts w:ascii="Arial" w:hAnsi="Arial" w:cs="Arial"/>
                      <w:b/>
                      <w:u w:val="single"/>
                    </w:rPr>
                    <w:t>.</w:t>
                  </w:r>
                </w:p>
                <w:p w14:paraId="10FBBE6B" w14:textId="77777777" w:rsidR="00EF40A0" w:rsidRDefault="00EF40A0" w:rsidP="00A26C46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left="563"/>
                    <w:jc w:val="both"/>
                    <w:rPr>
                      <w:rFonts w:ascii="Arial" w:hAnsi="Arial" w:cs="Arial"/>
                      <w:b/>
                      <w:u w:val="single"/>
                    </w:rPr>
                  </w:pPr>
                </w:p>
                <w:p w14:paraId="24C4B862" w14:textId="77777777" w:rsidR="00EF40A0" w:rsidRDefault="00EF40A0" w:rsidP="00FB6677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left="126"/>
                    <w:jc w:val="both"/>
                    <w:rPr>
                      <w:rFonts w:ascii="Arial" w:hAnsi="Arial" w:cs="Arial"/>
                      <w:b/>
                      <w:u w:val="single"/>
                    </w:rPr>
                  </w:pPr>
                </w:p>
                <w:p w14:paraId="29E25335" w14:textId="1FF515FA" w:rsidR="00EF40A0" w:rsidRDefault="00DE527E" w:rsidP="00FB6677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left="126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5300FE5" wp14:editId="6DED9E6E">
                        <wp:extent cx="2880000" cy="1674355"/>
                        <wp:effectExtent l="57150" t="57150" r="111125" b="116840"/>
                        <wp:docPr id="261196700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23" t="208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880000" cy="1674355"/>
                                </a:xfrm>
                                <a:prstGeom prst="rect">
                                  <a:avLst/>
                                </a:prstGeom>
                                <a:ln w="19050" cap="sq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</a:ln>
                                <a:effectLst>
                                  <a:outerShdw blurRad="50800" dist="38100" dir="2700000" algn="tl" rotWithShape="0">
                                    <a:srgbClr val="000000">
                                      <a:alpha val="43000"/>
                                    </a:srgbClr>
                                  </a:outerShdw>
                                </a:effectLst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A8FE45E" w14:textId="77777777" w:rsidR="00EF40A0" w:rsidRDefault="00EF40A0" w:rsidP="00FB6677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left="126"/>
                    <w:jc w:val="both"/>
                    <w:rPr>
                      <w:rFonts w:ascii="Arial" w:hAnsi="Arial" w:cs="Arial"/>
                      <w:b/>
                      <w:u w:val="single"/>
                    </w:rPr>
                  </w:pPr>
                </w:p>
                <w:p w14:paraId="69415733" w14:textId="77777777" w:rsidR="007D3431" w:rsidRDefault="007D3431" w:rsidP="00FB6677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left="126"/>
                    <w:jc w:val="both"/>
                    <w:rPr>
                      <w:rFonts w:ascii="Arial" w:hAnsi="Arial" w:cs="Arial"/>
                      <w:b/>
                      <w:u w:val="single"/>
                    </w:rPr>
                  </w:pPr>
                </w:p>
                <w:p w14:paraId="2D38E448" w14:textId="77777777" w:rsidR="00EF40A0" w:rsidRDefault="00EF40A0" w:rsidP="00FB6677">
                  <w:pPr>
                    <w:pStyle w:val="corpo"/>
                    <w:ind w:left="12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Ricordiamo che è presente un controllo sulla presenza della versione minima richiesta del piano dei conti che viene effettuato dalla procedura prima che si avvii l’esecuzione del comando CPESTD.</w:t>
                  </w:r>
                </w:p>
                <w:p w14:paraId="7A9A7AD7" w14:textId="532AAB31" w:rsidR="00EF40A0" w:rsidRDefault="00EF40A0" w:rsidP="00FB6677">
                  <w:pPr>
                    <w:pStyle w:val="CorpoAltF0"/>
                    <w:ind w:left="12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Di fatto, non è controllata la sola presenza della versione minima di MULTI, ma viene controllata anche la versione minima presente all’interno del comando CPESTD e quella minima presente nel comando TRA7</w:t>
                  </w:r>
                  <w:r w:rsidR="00F009BA">
                    <w:rPr>
                      <w:b/>
                      <w:bCs/>
                    </w:rPr>
                    <w:t>X</w:t>
                  </w:r>
                  <w:r>
                    <w:rPr>
                      <w:b/>
                      <w:bCs/>
                    </w:rPr>
                    <w:t>0 “Personalizzazione conti”.</w:t>
                  </w:r>
                </w:p>
                <w:p w14:paraId="4171B349" w14:textId="77777777" w:rsidR="00EF40A0" w:rsidRDefault="00EF40A0" w:rsidP="00FB6677">
                  <w:pPr>
                    <w:pStyle w:val="CorpoAltF0"/>
                    <w:ind w:left="126"/>
                    <w:rPr>
                      <w:b/>
                      <w:bCs/>
                    </w:rPr>
                  </w:pPr>
                </w:p>
                <w:p w14:paraId="2FE50CB2" w14:textId="77777777" w:rsidR="006A512D" w:rsidRDefault="006A512D" w:rsidP="00FB6677">
                  <w:pPr>
                    <w:pStyle w:val="CorpoAltF0"/>
                    <w:ind w:left="126"/>
                    <w:rPr>
                      <w:b/>
                      <w:bCs/>
                    </w:rPr>
                  </w:pPr>
                </w:p>
                <w:p w14:paraId="7EB9300B" w14:textId="77777777" w:rsidR="006A512D" w:rsidRDefault="006A512D" w:rsidP="00FB6677">
                  <w:pPr>
                    <w:pStyle w:val="CorpoAltF0"/>
                    <w:ind w:left="126"/>
                    <w:rPr>
                      <w:b/>
                      <w:bCs/>
                    </w:rPr>
                  </w:pPr>
                </w:p>
                <w:p w14:paraId="222843A1" w14:textId="77777777" w:rsidR="006A512D" w:rsidRDefault="006A512D" w:rsidP="00FB6677">
                  <w:pPr>
                    <w:pStyle w:val="CorpoAltF0"/>
                    <w:ind w:left="126"/>
                    <w:rPr>
                      <w:b/>
                      <w:bCs/>
                    </w:rPr>
                  </w:pPr>
                </w:p>
                <w:p w14:paraId="41F7D6E7" w14:textId="77777777" w:rsidR="00EF40A0" w:rsidRDefault="00EF40A0" w:rsidP="00FB6677">
                  <w:pPr>
                    <w:pStyle w:val="corpo"/>
                    <w:ind w:left="12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lastRenderedPageBreak/>
                    <w:t>Per cui, richiamando il programma CPESTD, appare una videata in cui, per ciascun dichiarativo, Persone Fisiche, Società di Persone, Società di Capitali, viene evidenziato quando è stato eseguito l’ultimo aggiornamento del piano dei conti e la relativa versione di MULTI in cui è stato aggiornato.</w:t>
                  </w:r>
                </w:p>
                <w:p w14:paraId="5BFC3E86" w14:textId="77777777" w:rsidR="00EF40A0" w:rsidRDefault="00EF40A0" w:rsidP="00FB6677">
                  <w:pPr>
                    <w:pStyle w:val="corpo"/>
                    <w:ind w:left="12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 sua volta, la stessa versione presente in CPESTD deve essere presente anche in TRA7X0 “Personalizzazione conti”.</w:t>
                  </w:r>
                </w:p>
                <w:p w14:paraId="76F77604" w14:textId="77777777" w:rsidR="00EF40A0" w:rsidRDefault="00EF40A0" w:rsidP="00FB6677">
                  <w:pPr>
                    <w:pStyle w:val="corpo"/>
                    <w:ind w:left="12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Nel momento in cui si va ad eseguire il trasferimento contabile, sia da TRA7X0 che direttamente dal quadro di reddito, se le versioni controllate non collimano, viene visualizzato il seguente </w:t>
                  </w:r>
                  <w:proofErr w:type="spellStart"/>
                  <w:r>
                    <w:rPr>
                      <w:b/>
                      <w:bCs/>
                      <w:i/>
                      <w:iCs/>
                    </w:rPr>
                    <w:t>alert</w:t>
                  </w:r>
                  <w:proofErr w:type="spellEnd"/>
                  <w:r>
                    <w:rPr>
                      <w:b/>
                      <w:bCs/>
                    </w:rPr>
                    <w:t>:</w:t>
                  </w:r>
                </w:p>
                <w:p w14:paraId="0E776168" w14:textId="77777777" w:rsidR="00EF40A0" w:rsidRDefault="00EF40A0" w:rsidP="00FB6677">
                  <w:pPr>
                    <w:pStyle w:val="corpo"/>
                    <w:ind w:left="126"/>
                    <w:rPr>
                      <w:b/>
                      <w:bCs/>
                    </w:rPr>
                  </w:pPr>
                </w:p>
                <w:p w14:paraId="14E08044" w14:textId="77777777" w:rsidR="00EF40A0" w:rsidRDefault="00EF40A0" w:rsidP="00FB6677">
                  <w:pPr>
                    <w:pStyle w:val="corpo"/>
                    <w:ind w:left="126"/>
                    <w:rPr>
                      <w:b/>
                      <w:bCs/>
                    </w:rPr>
                  </w:pPr>
                </w:p>
                <w:p w14:paraId="03A56E00" w14:textId="7DD887BA" w:rsidR="00EF40A0" w:rsidRDefault="00CB0EC8" w:rsidP="00FB6677">
                  <w:pPr>
                    <w:ind w:left="126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1312BFC" wp14:editId="1FABFD33">
                        <wp:extent cx="2788463" cy="1492250"/>
                        <wp:effectExtent l="57150" t="57150" r="107315" b="107950"/>
                        <wp:docPr id="1475524566" name="Immagin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315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789134" cy="1492609"/>
                                </a:xfrm>
                                <a:prstGeom prst="rect">
                                  <a:avLst/>
                                </a:prstGeom>
                                <a:ln w="19050" cap="sq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type="none" w="med" len="med"/>
                                  <a:tailEnd type="none" w="med" len="med"/>
                                  <a:extLst>
                                    <a:ext uri="{C807C97D-BFC1-408E-A445-0C87EB9F89A2}">
                                      <ask:lineSketchStyleProps xmlns:ask="http://schemas.microsoft.com/office/drawing/2018/sketchyshapes" sd="0"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0" t="0" r="0" b="0"/>
                                          <a:pathLst/>
                                        </a:custGeom>
                                        <ask:type/>
                                      </ask:lineSketchStyleProps>
                                    </a:ext>
                                  </a:extLst>
                                </a:ln>
                                <a:effectLst>
                                  <a:outerShdw blurRad="50800" dist="38100" dir="2700000" algn="tl" rotWithShape="0">
                                    <a:srgbClr val="000000">
                                      <a:alpha val="43000"/>
                                    </a:srgbClr>
                                  </a:outerShdw>
                                </a:effectLst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C799970" w14:textId="77777777" w:rsidR="00EF40A0" w:rsidRDefault="00EF40A0" w:rsidP="00FB6677">
                  <w:pPr>
                    <w:pStyle w:val="CorpoAltF0"/>
                    <w:ind w:left="126"/>
                  </w:pPr>
                </w:p>
                <w:p w14:paraId="60005AAB" w14:textId="77777777" w:rsidR="00EF40A0" w:rsidRDefault="00EF40A0" w:rsidP="00FB6677">
                  <w:pPr>
                    <w:pStyle w:val="CorpoAltF0"/>
                    <w:ind w:left="126"/>
                  </w:pPr>
                </w:p>
                <w:p w14:paraId="08A32B11" w14:textId="77777777" w:rsidR="00EF40A0" w:rsidRDefault="00EF40A0" w:rsidP="00FB6677">
                  <w:pPr>
                    <w:pStyle w:val="corpo"/>
                    <w:ind w:left="12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Si consiglia di rispondere “SI” per avviare l’aggiornamento del piano dei conti, per poi eseguire correttamente il trasferimento contabile.</w:t>
                  </w:r>
                </w:p>
                <w:p w14:paraId="76B7CF97" w14:textId="77777777" w:rsidR="00EF40A0" w:rsidRDefault="00EF40A0" w:rsidP="00FB6677">
                  <w:pPr>
                    <w:pStyle w:val="corpo"/>
                    <w:ind w:left="126"/>
                    <w:rPr>
                      <w:b/>
                      <w:bCs/>
                    </w:rPr>
                  </w:pPr>
                </w:p>
                <w:p w14:paraId="04A3B857" w14:textId="77777777" w:rsidR="00EF40A0" w:rsidRDefault="00EF40A0" w:rsidP="00FB6677">
                  <w:pPr>
                    <w:pStyle w:val="corpo"/>
                    <w:ind w:left="12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L’</w:t>
                  </w:r>
                  <w:proofErr w:type="spellStart"/>
                  <w:r>
                    <w:rPr>
                      <w:b/>
                      <w:bCs/>
                      <w:i/>
                      <w:iCs/>
                    </w:rPr>
                    <w:t>alert</w:t>
                  </w:r>
                  <w:proofErr w:type="spellEnd"/>
                  <w:r>
                    <w:rPr>
                      <w:b/>
                      <w:bCs/>
                    </w:rPr>
                    <w:t xml:space="preserve"> non è comunque bloccante ma, nel caso in cui non venga eseguito il comando CPESTD e si vada ad eseguire ugualmente il trasferimento contabile, quanto trasferito potrebbe risultare non corretto, non avendo recepito le variazioni della personalizzazione contabile incluse nel mancato CPESTD aggiornato.</w:t>
                  </w:r>
                </w:p>
                <w:p w14:paraId="349B819F" w14:textId="77777777" w:rsidR="00EF40A0" w:rsidRDefault="00EF40A0" w:rsidP="00FB6677">
                  <w:pPr>
                    <w:pStyle w:val="corpo"/>
                    <w:ind w:left="126"/>
                    <w:rPr>
                      <w:b/>
                      <w:bCs/>
                    </w:rPr>
                  </w:pPr>
                </w:p>
              </w:tc>
            </w:tr>
          </w:tbl>
          <w:p w14:paraId="40527778" w14:textId="77777777" w:rsidR="00EF40A0" w:rsidRDefault="00EF40A0" w:rsidP="00EF40A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</w:rPr>
            </w:pPr>
          </w:p>
          <w:bookmarkEnd w:id="5"/>
          <w:p w14:paraId="29FFA214" w14:textId="77777777" w:rsidR="00EF40A0" w:rsidRDefault="00EF40A0" w:rsidP="00EF40A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Ind w:w="2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93"/>
            </w:tblGrid>
            <w:tr w:rsidR="00EF40A0" w14:paraId="131D168F" w14:textId="77777777" w:rsidTr="00195D47">
              <w:trPr>
                <w:trHeight w:val="1035"/>
              </w:trPr>
              <w:tc>
                <w:tcPr>
                  <w:tcW w:w="9093" w:type="dxa"/>
                  <w:tcMar>
                    <w:top w:w="284" w:type="dxa"/>
                    <w:left w:w="284" w:type="dxa"/>
                    <w:bottom w:w="284" w:type="dxa"/>
                    <w:right w:w="284" w:type="dxa"/>
                  </w:tcMar>
                </w:tcPr>
                <w:p w14:paraId="4EF99EF3" w14:textId="77777777" w:rsidR="00EF40A0" w:rsidRDefault="00EF40A0" w:rsidP="00EF40A0">
                  <w:pPr>
                    <w:rPr>
                      <w:rFonts w:ascii="Arial" w:hAnsi="Arial" w:cs="Arial"/>
                      <w:b/>
                      <w:bCs/>
                      <w:spacing w:val="40"/>
                      <w:u w:val="single"/>
                    </w:rPr>
                  </w:pPr>
                  <w:bookmarkStart w:id="6" w:name="_Hlk130206847"/>
                  <w:r>
                    <w:rPr>
                      <w:rFonts w:ascii="Arial" w:hAnsi="Arial" w:cs="Arial"/>
                      <w:b/>
                      <w:bCs/>
                      <w:noProof/>
                      <w:spacing w:val="40"/>
                    </w:rPr>
                    <w:drawing>
                      <wp:inline distT="0" distB="0" distL="0" distR="0" wp14:anchorId="6E3AF639" wp14:editId="6704CF82">
                        <wp:extent cx="304800" cy="304800"/>
                        <wp:effectExtent l="0" t="0" r="0" b="0"/>
                        <wp:docPr id="5" name="Immagine 5" descr="btita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btita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  <w:b/>
                      <w:bCs/>
                      <w:spacing w:val="4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pacing w:val="40"/>
                      <w:u w:val="single"/>
                    </w:rPr>
                    <w:t>ANNOTAZIONI</w:t>
                  </w:r>
                </w:p>
                <w:p w14:paraId="5953A745" w14:textId="77777777" w:rsidR="00EF40A0" w:rsidRDefault="00EF40A0" w:rsidP="00EF40A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10B8C95" w14:textId="22025531" w:rsidR="00EF40A0" w:rsidRDefault="00EF40A0" w:rsidP="00257429">
                  <w:pPr>
                    <w:pStyle w:val="CorpoAltF0"/>
                    <w:ind w:left="590"/>
                    <w:rPr>
                      <w:rFonts w:cs="Arial"/>
                      <w:b/>
                      <w:bCs/>
                      <w:spacing w:val="40"/>
                    </w:rPr>
                  </w:pPr>
                  <w:r w:rsidRPr="006A512D">
                    <w:rPr>
                      <w:bCs/>
                    </w:rPr>
                    <w:t xml:space="preserve">Per chi gestisce la procedura </w:t>
                  </w:r>
                  <w:r w:rsidRPr="006A512D">
                    <w:rPr>
                      <w:b/>
                    </w:rPr>
                    <w:t>PAGHE</w:t>
                  </w:r>
                  <w:r w:rsidRPr="006A512D">
                    <w:rPr>
                      <w:bCs/>
                    </w:rPr>
                    <w:t xml:space="preserve"> si precisa che, con il presente aggiornamento</w:t>
                  </w:r>
                  <w:r w:rsidR="00257429">
                    <w:rPr>
                      <w:bCs/>
                    </w:rPr>
                    <w:t>,</w:t>
                  </w:r>
                  <w:r w:rsidRPr="006A512D">
                    <w:rPr>
                      <w:bCs/>
                    </w:rPr>
                    <w:t xml:space="preserve"> </w:t>
                  </w:r>
                  <w:r w:rsidR="006A512D">
                    <w:rPr>
                      <w:bCs/>
                    </w:rPr>
                    <w:t>sono disponibili i</w:t>
                  </w:r>
                  <w:r w:rsidRPr="006A512D">
                    <w:rPr>
                      <w:bCs/>
                    </w:rPr>
                    <w:t xml:space="preserve"> programm</w:t>
                  </w:r>
                  <w:r w:rsidR="006A512D">
                    <w:rPr>
                      <w:bCs/>
                    </w:rPr>
                    <w:t>i</w:t>
                  </w:r>
                  <w:r w:rsidRPr="006A512D">
                    <w:rPr>
                      <w:bCs/>
                    </w:rPr>
                    <w:t xml:space="preserve"> </w:t>
                  </w:r>
                  <w:r w:rsidRPr="006A512D">
                    <w:rPr>
                      <w:b/>
                    </w:rPr>
                    <w:t>STIRAP</w:t>
                  </w:r>
                  <w:r w:rsidRPr="006A512D">
                    <w:rPr>
                      <w:bCs/>
                    </w:rPr>
                    <w:t xml:space="preserve"> per il prelievo automatico</w:t>
                  </w:r>
                  <w:r w:rsidR="00257429">
                    <w:rPr>
                      <w:bCs/>
                    </w:rPr>
                    <w:t xml:space="preserve"> nella dichiarazione Irap</w:t>
                  </w:r>
                  <w:r w:rsidRPr="006A512D">
                    <w:rPr>
                      <w:bCs/>
                    </w:rPr>
                    <w:t xml:space="preserve"> dei costi del personale</w:t>
                  </w:r>
                  <w:r w:rsidR="006A512D">
                    <w:rPr>
                      <w:bCs/>
                    </w:rPr>
                    <w:t xml:space="preserve"> e </w:t>
                  </w:r>
                  <w:r w:rsidR="0029056B" w:rsidRPr="0029056B">
                    <w:rPr>
                      <w:b/>
                    </w:rPr>
                    <w:t>STMAXDED</w:t>
                  </w:r>
                  <w:r w:rsidR="0029056B">
                    <w:rPr>
                      <w:b/>
                    </w:rPr>
                    <w:t xml:space="preserve"> </w:t>
                  </w:r>
                  <w:r w:rsidR="006A512D" w:rsidRPr="0029056B">
                    <w:rPr>
                      <w:bCs/>
                    </w:rPr>
                    <w:t>per</w:t>
                  </w:r>
                  <w:r w:rsidR="006A512D">
                    <w:rPr>
                      <w:bCs/>
                    </w:rPr>
                    <w:t xml:space="preserve"> il prelievo </w:t>
                  </w:r>
                  <w:r w:rsidR="00257429">
                    <w:rPr>
                      <w:bCs/>
                    </w:rPr>
                    <w:t xml:space="preserve">nei quadri di reddito </w:t>
                  </w:r>
                  <w:r w:rsidR="006A512D">
                    <w:rPr>
                      <w:bCs/>
                    </w:rPr>
                    <w:t xml:space="preserve">delle </w:t>
                  </w:r>
                  <w:proofErr w:type="gramStart"/>
                  <w:r w:rsidR="006A512D">
                    <w:rPr>
                      <w:bCs/>
                    </w:rPr>
                    <w:t>maxi deduzioni</w:t>
                  </w:r>
                  <w:proofErr w:type="gramEnd"/>
                  <w:r w:rsidR="006A512D">
                    <w:rPr>
                      <w:bCs/>
                    </w:rPr>
                    <w:t xml:space="preserve"> </w:t>
                  </w:r>
                  <w:r w:rsidR="00257429">
                    <w:rPr>
                      <w:bCs/>
                    </w:rPr>
                    <w:t>D.M. 25.06.2024 (</w:t>
                  </w:r>
                  <w:r w:rsidR="006A512D">
                    <w:rPr>
                      <w:bCs/>
                    </w:rPr>
                    <w:t>120% e 130%</w:t>
                  </w:r>
                  <w:r w:rsidR="00257429">
                    <w:rPr>
                      <w:bCs/>
                    </w:rPr>
                    <w:t>)</w:t>
                  </w:r>
                  <w:r w:rsidRPr="006A512D">
                    <w:rPr>
                      <w:bCs/>
                    </w:rPr>
                    <w:t>.</w:t>
                  </w:r>
                  <w:r w:rsidRPr="006A512D">
                    <w:t xml:space="preserve">  </w:t>
                  </w:r>
                </w:p>
              </w:tc>
            </w:tr>
          </w:tbl>
          <w:p w14:paraId="36BE063E" w14:textId="77777777" w:rsidR="00EF40A0" w:rsidRDefault="00EF40A0" w:rsidP="00EF40A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</w:rPr>
            </w:pPr>
            <w:bookmarkStart w:id="7" w:name="_Hlk160725079"/>
            <w:bookmarkEnd w:id="6"/>
          </w:p>
          <w:tbl>
            <w:tblPr>
              <w:tblW w:w="0" w:type="auto"/>
              <w:tblInd w:w="2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71"/>
            </w:tblGrid>
            <w:tr w:rsidR="00EF40A0" w14:paraId="49FF8EFB" w14:textId="77777777" w:rsidTr="00195D47">
              <w:trPr>
                <w:trHeight w:val="1055"/>
              </w:trPr>
              <w:tc>
                <w:tcPr>
                  <w:tcW w:w="9071" w:type="dxa"/>
                  <w:tcMar>
                    <w:top w:w="284" w:type="dxa"/>
                    <w:left w:w="284" w:type="dxa"/>
                    <w:bottom w:w="284" w:type="dxa"/>
                    <w:right w:w="284" w:type="dxa"/>
                  </w:tcMar>
                </w:tcPr>
                <w:p w14:paraId="7044D03D" w14:textId="77777777" w:rsidR="006423AB" w:rsidRDefault="006423AB" w:rsidP="006423AB">
                  <w:pPr>
                    <w:pStyle w:val="corpo"/>
                    <w:ind w:left="563" w:hanging="425"/>
                    <w:jc w:val="left"/>
                    <w:rPr>
                      <w:b/>
                      <w:bCs/>
                      <w:spacing w:val="40"/>
                      <w:u w:val="single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AF5B351" wp14:editId="5EECE757">
                        <wp:extent cx="252000" cy="253852"/>
                        <wp:effectExtent l="0" t="0" r="0" b="0"/>
                        <wp:docPr id="868042240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03685483" name=""/>
                                <pic:cNvPicPr/>
                              </pic:nvPicPr>
                              <pic:blipFill rotWithShape="1">
                                <a:blip r:embed="rId18"/>
                                <a:srcRect l="2710" r="1759" b="228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52000" cy="25385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bCs/>
                      <w:spacing w:val="40"/>
                      <w:u w:val="single"/>
                    </w:rPr>
                    <w:t>NOTA BENE</w:t>
                  </w:r>
                </w:p>
                <w:p w14:paraId="54D860E7" w14:textId="77777777" w:rsidR="00EF40A0" w:rsidRDefault="00EF40A0" w:rsidP="00EF40A0">
                  <w:pPr>
                    <w:pStyle w:val="corpo"/>
                    <w:jc w:val="center"/>
                  </w:pPr>
                </w:p>
                <w:p w14:paraId="0C0A63F9" w14:textId="77777777" w:rsidR="00EF40A0" w:rsidRDefault="00EF40A0" w:rsidP="00EF40A0">
                  <w:pPr>
                    <w:pStyle w:val="corp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CONRED “Conversione archivi”</w:t>
                  </w:r>
                </w:p>
                <w:p w14:paraId="05AA0A12" w14:textId="77777777" w:rsidR="00EF40A0" w:rsidRDefault="00EF40A0" w:rsidP="00EF40A0">
                  <w:pPr>
                    <w:pStyle w:val="corpo"/>
                    <w:jc w:val="center"/>
                  </w:pPr>
                </w:p>
                <w:p w14:paraId="58719F5C" w14:textId="3842C7FF" w:rsidR="004E42FA" w:rsidRDefault="004E42FA" w:rsidP="004E42FA">
                  <w:pPr>
                    <w:pStyle w:val="corpoAltF"/>
                    <w:ind w:left="577"/>
                  </w:pPr>
                  <w:r>
                    <w:t xml:space="preserve">L’operazione di conversione dati da anno precedente, </w:t>
                  </w:r>
                  <w:r>
                    <w:rPr>
                      <w:b/>
                    </w:rPr>
                    <w:t>CONRED</w:t>
                  </w:r>
                  <w:r>
                    <w:t xml:space="preserve">, va eseguita dopo avere installato il presente aggiornamento, al fine di prelevare le Tabelle Generali e le dichiarazioni redditi delle </w:t>
                  </w:r>
                  <w:r>
                    <w:rPr>
                      <w:b/>
                    </w:rPr>
                    <w:t>Società di Capitali</w:t>
                  </w:r>
                  <w:r>
                    <w:t xml:space="preserve"> ed </w:t>
                  </w:r>
                  <w:r>
                    <w:rPr>
                      <w:b/>
                    </w:rPr>
                    <w:t xml:space="preserve">Enti non Commerciali </w:t>
                  </w:r>
                  <w:r>
                    <w:t>e quindi procedere con la compilazione dei nuovi quadri di dichiarazione.</w:t>
                  </w:r>
                  <w:r w:rsidR="009E362B">
                    <w:t xml:space="preserve"> Come sopra detto, al momento</w:t>
                  </w:r>
                  <w:r w:rsidR="0042778A">
                    <w:t>,</w:t>
                  </w:r>
                  <w:r w:rsidR="009E362B">
                    <w:t xml:space="preserve"> per gli Enti non Commerciali non è permessa la compilazione del modello dichiarativo ma è</w:t>
                  </w:r>
                  <w:r w:rsidR="0042778A">
                    <w:t xml:space="preserve"> comunque gestibile l’archivio anagrafico</w:t>
                  </w:r>
                  <w:r w:rsidR="000030B2">
                    <w:t>, compresi terreni e fabbricati</w:t>
                  </w:r>
                  <w:r w:rsidR="0042778A">
                    <w:t>.</w:t>
                  </w:r>
                </w:p>
                <w:p w14:paraId="60FE56ED" w14:textId="77777777" w:rsidR="004E42FA" w:rsidRDefault="004E42FA" w:rsidP="004E42FA">
                  <w:pPr>
                    <w:pStyle w:val="corpoAltF"/>
                    <w:ind w:left="577"/>
                  </w:pPr>
                  <w:r>
                    <w:lastRenderedPageBreak/>
                    <w:t>Il comando</w:t>
                  </w:r>
                  <w:r>
                    <w:rPr>
                      <w:b/>
                    </w:rPr>
                    <w:t xml:space="preserve"> CONRED</w:t>
                  </w:r>
                  <w:r>
                    <w:t xml:space="preserve"> dovrà essere eseguito anche successivamente, </w:t>
                  </w:r>
                  <w:r>
                    <w:rPr>
                      <w:u w:val="single"/>
                    </w:rPr>
                    <w:t>previa opportuna indicazione nelle note operative</w:t>
                  </w:r>
                  <w:r>
                    <w:t xml:space="preserve">, quando saranno rilasciati i programmi per la gestione delle dichiarazioni redditi delle </w:t>
                  </w:r>
                  <w:r>
                    <w:rPr>
                      <w:b/>
                    </w:rPr>
                    <w:t>Persone Fisiche</w:t>
                  </w:r>
                  <w:r>
                    <w:t xml:space="preserve">, </w:t>
                  </w:r>
                  <w:r>
                    <w:rPr>
                      <w:b/>
                    </w:rPr>
                    <w:t>Società di Persone</w:t>
                  </w:r>
                  <w:r>
                    <w:t xml:space="preserve"> e </w:t>
                  </w:r>
                  <w:r>
                    <w:rPr>
                      <w:b/>
                    </w:rPr>
                    <w:t>Consolidato Nazionale Mondiale</w:t>
                  </w:r>
                  <w:r>
                    <w:rPr>
                      <w:bCs/>
                    </w:rPr>
                    <w:t xml:space="preserve">, al fine di convertire i dati relativi alle suddette dichiarazioni per trasferirli nelle dichiarazioni dell’anno corrente; </w:t>
                  </w:r>
                  <w:r>
                    <w:t>in tal modo sarà completato il prelievo dati dall’anno precedente.</w:t>
                  </w:r>
                </w:p>
                <w:p w14:paraId="1859B14B" w14:textId="77777777" w:rsidR="004E42FA" w:rsidRDefault="004E42FA" w:rsidP="004E42FA">
                  <w:pPr>
                    <w:pStyle w:val="corpoAltF"/>
                    <w:ind w:left="577"/>
                    <w:rPr>
                      <w:u w:val="single"/>
                    </w:rPr>
                  </w:pPr>
                </w:p>
                <w:p w14:paraId="43F35300" w14:textId="71927F78" w:rsidR="004E42FA" w:rsidRDefault="004E42FA" w:rsidP="004E42F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left="577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In fase di conversione o creazione archivi sono automaticamente aggiornate, se non già presenti in archivio, le aliquote delle addizionali comunali e regionali dell’anno 202</w:t>
                  </w:r>
                  <w:r w:rsidR="000030B2">
                    <w:rPr>
                      <w:rFonts w:ascii="Arial" w:hAnsi="Arial" w:cs="Arial"/>
                    </w:rPr>
                    <w:t>4</w:t>
                  </w:r>
                  <w:r>
                    <w:rPr>
                      <w:rFonts w:ascii="Arial" w:hAnsi="Arial" w:cs="Arial"/>
                    </w:rPr>
                    <w:t xml:space="preserve"> e le eventuali soglie di esenzione dell’addizionale comunale per l’anno 202</w:t>
                  </w:r>
                  <w:r w:rsidR="000030B2">
                    <w:rPr>
                      <w:rFonts w:ascii="Arial" w:hAnsi="Arial" w:cs="Arial"/>
                    </w:rPr>
                    <w:t>4</w:t>
                  </w:r>
                  <w:r>
                    <w:rPr>
                      <w:rFonts w:ascii="Arial" w:hAnsi="Arial" w:cs="Arial"/>
                    </w:rPr>
                    <w:t xml:space="preserve">, ove deliberate. </w:t>
                  </w:r>
                </w:p>
                <w:p w14:paraId="68C40F26" w14:textId="77777777" w:rsidR="004E42FA" w:rsidRDefault="004E42FA" w:rsidP="004E42FA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ind w:left="577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Tali aliquote sono prelevate dal relativo file presente nel sito </w:t>
                  </w:r>
                  <w:hyperlink r:id="rId19" w:history="1">
                    <w:r>
                      <w:rPr>
                        <w:rFonts w:ascii="Arial" w:hAnsi="Arial" w:cs="Arial"/>
                      </w:rPr>
                      <w:t>www.finanze.it</w:t>
                    </w:r>
                  </w:hyperlink>
                  <w:r>
                    <w:rPr>
                      <w:rFonts w:ascii="Arial" w:hAnsi="Arial" w:cs="Arial"/>
                    </w:rPr>
                    <w:t xml:space="preserve"> - Aree tematiche - sezione “Fiscalità locale”. </w:t>
                  </w:r>
                </w:p>
                <w:p w14:paraId="44861113" w14:textId="77777777" w:rsidR="004E42FA" w:rsidRDefault="004E42FA" w:rsidP="004E42FA">
                  <w:pPr>
                    <w:pStyle w:val="corpoAltF"/>
                    <w:ind w:left="577"/>
                  </w:pPr>
                  <w:r>
                    <w:t xml:space="preserve">Si raccomanda comunque di verificare l’attendibilità delle suddette poiché </w:t>
                  </w:r>
                  <w:proofErr w:type="spellStart"/>
                  <w:r>
                    <w:t>Teamsystem</w:t>
                  </w:r>
                  <w:proofErr w:type="spellEnd"/>
                  <w:r>
                    <w:t xml:space="preserve"> non si assume alcuna responsabilità in merito.</w:t>
                  </w:r>
                </w:p>
                <w:p w14:paraId="6649F1CC" w14:textId="77777777" w:rsidR="004E42FA" w:rsidRDefault="004E42FA" w:rsidP="004E42FA">
                  <w:pPr>
                    <w:pStyle w:val="corpoAltF"/>
                    <w:ind w:left="577"/>
                    <w:rPr>
                      <w:u w:val="single"/>
                    </w:rPr>
                  </w:pPr>
                </w:p>
                <w:p w14:paraId="52E30E1F" w14:textId="1AAE581B" w:rsidR="004E42FA" w:rsidRDefault="004E42FA" w:rsidP="004E42FA">
                  <w:pPr>
                    <w:pStyle w:val="corpo"/>
                    <w:ind w:left="556"/>
                    <w:rPr>
                      <w:b/>
                      <w:u w:val="single"/>
                    </w:rPr>
                  </w:pPr>
                  <w:r w:rsidRPr="0042778A">
                    <w:rPr>
                      <w:b/>
                      <w:u w:val="single"/>
                    </w:rPr>
                    <w:t xml:space="preserve">Ribadiamo che, per gli utenti che hanno utilizzato il programma </w:t>
                  </w:r>
                  <w:r w:rsidRPr="0042778A">
                    <w:rPr>
                      <w:b/>
                      <w:bCs/>
                      <w:u w:val="single"/>
                    </w:rPr>
                    <w:t>DIRED2</w:t>
                  </w:r>
                  <w:r w:rsidR="000030B2">
                    <w:rPr>
                      <w:b/>
                      <w:bCs/>
                      <w:u w:val="single"/>
                    </w:rPr>
                    <w:t>5</w:t>
                  </w:r>
                  <w:r w:rsidRPr="0042778A">
                    <w:rPr>
                      <w:b/>
                      <w:bCs/>
                      <w:u w:val="single"/>
                    </w:rPr>
                    <w:t xml:space="preserve"> per il </w:t>
                  </w:r>
                  <w:r w:rsidRPr="0042778A">
                    <w:rPr>
                      <w:b/>
                      <w:u w:val="single"/>
                    </w:rPr>
                    <w:t>calcolo simulato del reddito 202</w:t>
                  </w:r>
                  <w:r w:rsidR="000030B2">
                    <w:rPr>
                      <w:b/>
                      <w:u w:val="single"/>
                    </w:rPr>
                    <w:t>4</w:t>
                  </w:r>
                  <w:r w:rsidRPr="0042778A">
                    <w:rPr>
                      <w:b/>
                      <w:u w:val="single"/>
                    </w:rPr>
                    <w:t xml:space="preserve"> e relativi acconti, se hanno gestito</w:t>
                  </w:r>
                  <w:r w:rsidR="0042778A">
                    <w:rPr>
                      <w:b/>
                      <w:u w:val="single"/>
                    </w:rPr>
                    <w:t xml:space="preserve">, </w:t>
                  </w:r>
                  <w:r w:rsidR="0042778A" w:rsidRPr="0042778A">
                    <w:rPr>
                      <w:b/>
                      <w:u w:val="single"/>
                    </w:rPr>
                    <w:t>nelle Società di Capitali</w:t>
                  </w:r>
                  <w:r w:rsidR="00E17F47">
                    <w:rPr>
                      <w:b/>
                      <w:u w:val="single"/>
                    </w:rPr>
                    <w:t>,</w:t>
                  </w:r>
                  <w:r w:rsidRPr="0042778A">
                    <w:rPr>
                      <w:b/>
                      <w:u w:val="single"/>
                    </w:rPr>
                    <w:t xml:space="preserve"> la funzione “Blocco”, la procedura di conversione </w:t>
                  </w:r>
                  <w:r w:rsidRPr="0042778A">
                    <w:rPr>
                      <w:b/>
                      <w:bCs/>
                      <w:u w:val="single"/>
                    </w:rPr>
                    <w:t>CONRED</w:t>
                  </w:r>
                  <w:r w:rsidRPr="0042778A">
                    <w:rPr>
                      <w:b/>
                      <w:u w:val="single"/>
                    </w:rPr>
                    <w:t xml:space="preserve"> preleva i dati anagrafici e/o del quadro RF, in relazione a quale “</w:t>
                  </w:r>
                  <w:r w:rsidRPr="0042778A">
                    <w:rPr>
                      <w:b/>
                      <w:i/>
                      <w:u w:val="single"/>
                    </w:rPr>
                    <w:t>blocco</w:t>
                  </w:r>
                  <w:r w:rsidRPr="0042778A">
                    <w:rPr>
                      <w:b/>
                      <w:u w:val="single"/>
                    </w:rPr>
                    <w:t>” è stato inserit</w:t>
                  </w:r>
                  <w:r w:rsidR="00E17F47">
                    <w:rPr>
                      <w:b/>
                      <w:u w:val="single"/>
                    </w:rPr>
                    <w:t>o</w:t>
                  </w:r>
                  <w:r w:rsidRPr="0042778A">
                    <w:rPr>
                      <w:b/>
                      <w:u w:val="single"/>
                    </w:rPr>
                    <w:t xml:space="preserve"> nella dichiarazione simulata (solo anagrafica, solo quadro RF oppure entrambi), viceversa tali dati non saranno riportati nella dichiarazione effettiva.</w:t>
                  </w:r>
                </w:p>
                <w:p w14:paraId="24072075" w14:textId="77777777" w:rsidR="004E42FA" w:rsidRDefault="004E42FA" w:rsidP="004E42FA">
                  <w:pPr>
                    <w:pStyle w:val="corpoAltF"/>
                    <w:ind w:left="577"/>
                    <w:rPr>
                      <w:u w:val="single"/>
                    </w:rPr>
                  </w:pPr>
                </w:p>
                <w:p w14:paraId="4DF84F1B" w14:textId="77777777" w:rsidR="00EF40A0" w:rsidRDefault="00EF40A0" w:rsidP="00FB6677">
                  <w:pPr>
                    <w:pStyle w:val="corpo"/>
                    <w:ind w:left="556"/>
                    <w:rPr>
                      <w:b/>
                      <w:bCs/>
                      <w:spacing w:val="40"/>
                    </w:rPr>
                  </w:pPr>
                </w:p>
              </w:tc>
            </w:tr>
            <w:bookmarkEnd w:id="7"/>
          </w:tbl>
          <w:p w14:paraId="6C1D1AA8" w14:textId="77777777" w:rsidR="00EF40A0" w:rsidRDefault="00EF40A0" w:rsidP="00EF40A0">
            <w:pPr>
              <w:pStyle w:val="CorpoAltF0"/>
            </w:pPr>
          </w:p>
          <w:p w14:paraId="33949951" w14:textId="77777777" w:rsidR="00EF40A0" w:rsidRDefault="00EF40A0" w:rsidP="00EF40A0">
            <w:pPr>
              <w:pStyle w:val="CorpoAltF0"/>
            </w:pPr>
          </w:p>
          <w:p w14:paraId="7FBF6021" w14:textId="77777777" w:rsidR="00825AF3" w:rsidRDefault="00825AF3">
            <w:pPr>
              <w:pStyle w:val="CorpoAltF0"/>
            </w:pPr>
          </w:p>
        </w:tc>
      </w:tr>
    </w:tbl>
    <w:p w14:paraId="514B77AF" w14:textId="77777777" w:rsidR="00825AF3" w:rsidRDefault="00825AF3">
      <w:pPr>
        <w:pStyle w:val="CorpoAltF0"/>
      </w:pPr>
    </w:p>
    <w:p w14:paraId="573B65CA" w14:textId="77777777" w:rsidR="00825AF3" w:rsidRDefault="00825AF3">
      <w:pPr>
        <w:pStyle w:val="CorpoAltF0"/>
      </w:pPr>
    </w:p>
    <w:p w14:paraId="1CBCE1D5" w14:textId="77777777" w:rsidR="00825AF3" w:rsidRDefault="00825AF3">
      <w:pPr>
        <w:pStyle w:val="CorpoAltF0"/>
        <w:sectPr w:rsidR="00825AF3" w:rsidSect="008511DB"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</w:sectPr>
      </w:pPr>
    </w:p>
    <w:tbl>
      <w:tblPr>
        <w:tblW w:w="10191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1"/>
      </w:tblGrid>
      <w:tr w:rsidR="00825AF3" w14:paraId="7DF852EE" w14:textId="77777777">
        <w:trPr>
          <w:trHeight w:val="210"/>
        </w:trPr>
        <w:tc>
          <w:tcPr>
            <w:tcW w:w="10191" w:type="dxa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single" w:sz="6" w:space="0" w:color="365F91"/>
            </w:tcBorders>
            <w:shd w:val="clear" w:color="auto" w:fill="CCCCCC"/>
            <w:vAlign w:val="center"/>
            <w:hideMark/>
          </w:tcPr>
          <w:bookmarkEnd w:id="0"/>
          <w:p w14:paraId="15306DFD" w14:textId="77777777" w:rsidR="00825AF3" w:rsidRDefault="00000000">
            <w:pPr>
              <w:ind w:left="135"/>
              <w:textAlignment w:val="baseline"/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TABELLA BROWSER SUPPORTATI, TABELLA SO SUPPORTATI E DATE DI FINE RAPPORTO</w:t>
            </w:r>
          </w:p>
        </w:tc>
      </w:tr>
      <w:tr w:rsidR="00825AF3" w14:paraId="655168CF" w14:textId="77777777">
        <w:tc>
          <w:tcPr>
            <w:tcW w:w="10191" w:type="dxa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single" w:sz="6" w:space="0" w:color="365F91"/>
            </w:tcBorders>
            <w:shd w:val="clear" w:color="auto" w:fill="auto"/>
            <w:hideMark/>
          </w:tcPr>
          <w:p w14:paraId="3A92745D" w14:textId="77777777" w:rsidR="00825AF3" w:rsidRDefault="00825AF3">
            <w:pPr>
              <w:jc w:val="both"/>
              <w:textAlignment w:val="baseline"/>
              <w:rPr>
                <w:rFonts w:ascii="Arial" w:hAnsi="Arial" w:cs="Arial"/>
              </w:rPr>
            </w:pPr>
          </w:p>
          <w:p w14:paraId="1F86F006" w14:textId="77777777" w:rsidR="00825AF3" w:rsidRDefault="00000000">
            <w:pPr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tabella riepilogativa dei Sistemi Operativi e dei Browser supportati, con relative date di fine supporto, è consultabile Online su </w:t>
            </w:r>
            <w:proofErr w:type="spellStart"/>
            <w:r>
              <w:rPr>
                <w:rFonts w:ascii="Arial" w:hAnsi="Arial" w:cs="Arial"/>
              </w:rPr>
              <w:t>MySupport</w:t>
            </w:r>
            <w:proofErr w:type="spellEnd"/>
            <w:r>
              <w:rPr>
                <w:rFonts w:ascii="Arial" w:hAnsi="Arial" w:cs="Arial"/>
              </w:rPr>
              <w:t>, al seguente link:</w:t>
            </w:r>
          </w:p>
          <w:p w14:paraId="16B2E0A9" w14:textId="77777777" w:rsidR="00825AF3" w:rsidRDefault="00825AF3">
            <w:pPr>
              <w:pStyle w:val="CorpoAltF0"/>
            </w:pPr>
          </w:p>
          <w:p w14:paraId="67617BFF" w14:textId="77777777" w:rsidR="00825AF3" w:rsidRDefault="00825AF3">
            <w:pPr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hyperlink r:id="rId20" w:tgtFrame="_blank" w:history="1">
              <w:r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Requisiti minimi per installazione TS Experience</w:t>
              </w:r>
            </w:hyperlink>
          </w:p>
          <w:p w14:paraId="21DEE637" w14:textId="77777777" w:rsidR="00825AF3" w:rsidRDefault="00825AF3">
            <w:pPr>
              <w:pStyle w:val="CorpoAltF0"/>
            </w:pPr>
          </w:p>
          <w:p w14:paraId="7F329A21" w14:textId="77777777" w:rsidR="00825AF3" w:rsidRDefault="00000000">
            <w:pPr>
              <w:jc w:val="both"/>
              <w:textAlignment w:val="baseline"/>
            </w:pPr>
            <w:r>
              <w:rPr>
                <w:rFonts w:ascii="Arial" w:hAnsi="Arial" w:cs="Arial"/>
                <w:b/>
                <w:bCs/>
                <w:u w:val="single"/>
              </w:rPr>
              <w:t>ATTENZIONE</w:t>
            </w:r>
            <w:r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</w:rPr>
              <w:t xml:space="preserve"> per i Sistemi Operativi Windows, le date di fine supporto sono state adeguate seguendo le indicazioni ufficiali del produttore (Microsoft), aggiungendo un periodo di supporto extra di circa </w:t>
            </w:r>
            <w:proofErr w:type="gramStart"/>
            <w:r>
              <w:rPr>
                <w:rFonts w:ascii="Arial" w:hAnsi="Arial" w:cs="Arial"/>
              </w:rPr>
              <w:t>6</w:t>
            </w:r>
            <w:proofErr w:type="gramEnd"/>
            <w:r>
              <w:rPr>
                <w:rFonts w:ascii="Arial" w:hAnsi="Arial" w:cs="Arial"/>
              </w:rPr>
              <w:t xml:space="preserve"> mesi da parte di TeamSystem.</w:t>
            </w:r>
          </w:p>
          <w:p w14:paraId="534FCF23" w14:textId="77777777" w:rsidR="00825AF3" w:rsidRDefault="00825AF3">
            <w:pPr>
              <w:pStyle w:val="CorpoAltF0"/>
            </w:pPr>
          </w:p>
          <w:p w14:paraId="37CA41F7" w14:textId="77777777" w:rsidR="00825AF3" w:rsidRDefault="00825AF3">
            <w:pPr>
              <w:jc w:val="both"/>
              <w:textAlignment w:val="baseline"/>
            </w:pPr>
          </w:p>
        </w:tc>
      </w:tr>
    </w:tbl>
    <w:p w14:paraId="7F2EC35C" w14:textId="77777777" w:rsidR="00825AF3" w:rsidRDefault="00825AF3">
      <w:pPr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40098B6B" w14:textId="77777777" w:rsidR="00825AF3" w:rsidRDefault="00825AF3"/>
    <w:p w14:paraId="49367065" w14:textId="77777777" w:rsidR="00825AF3" w:rsidRDefault="00825AF3">
      <w:pPr>
        <w:pStyle w:val="Corpotesto"/>
        <w:spacing w:before="2" w:line="235" w:lineRule="auto"/>
        <w:ind w:left="114"/>
        <w:rPr>
          <w:rFonts w:ascii="Arial" w:hAnsi="Arial"/>
          <w:w w:val="105"/>
          <w:sz w:val="16"/>
          <w:szCs w:val="16"/>
        </w:rPr>
      </w:pPr>
    </w:p>
    <w:sectPr w:rsidR="00825A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3DB93" w14:textId="77777777" w:rsidR="00C35F3B" w:rsidRDefault="00C35F3B">
      <w:r>
        <w:separator/>
      </w:r>
    </w:p>
  </w:endnote>
  <w:endnote w:type="continuationSeparator" w:id="0">
    <w:p w14:paraId="77F37721" w14:textId="77777777" w:rsidR="00C35F3B" w:rsidRDefault="00C35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LFT Etica Lt">
    <w:altName w:val="Calibri"/>
    <w:panose1 w:val="00000000000000000000"/>
    <w:charset w:val="00"/>
    <w:family w:val="modern"/>
    <w:notTrueType/>
    <w:pitch w:val="variable"/>
    <w:sig w:usb0="80000087" w:usb1="0000006B" w:usb2="00000000" w:usb3="00000000" w:csb0="0000008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55F03" w14:textId="77777777" w:rsidR="00825AF3" w:rsidRDefault="00000000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63B5484B" wp14:editId="3CA35B69">
          <wp:extent cx="6120000" cy="36000"/>
          <wp:effectExtent l="0" t="0" r="0" b="2540"/>
          <wp:docPr id="952382769" name="Immagine 9523827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825AF3" w14:paraId="43597B85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308AB9E7" w14:textId="77777777" w:rsidR="00825AF3" w:rsidRDefault="00825AF3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550A9527" w14:textId="77777777" w:rsidR="00825AF3" w:rsidRDefault="00000000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1208E8E4" w14:textId="49F94081" w:rsidR="00825AF3" w:rsidRDefault="00000000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REDDITI 202</w:t>
          </w:r>
          <w:r w:rsidR="00360EE6">
            <w:rPr>
              <w:rFonts w:ascii="Arial" w:hAnsi="Arial" w:cs="Arial"/>
              <w:i/>
              <w:sz w:val="20"/>
              <w:szCs w:val="20"/>
            </w:rPr>
            <w:t>5</w:t>
          </w:r>
          <w:r>
            <w:rPr>
              <w:rFonts w:ascii="Arial" w:hAnsi="Arial" w:cs="Arial"/>
              <w:i/>
              <w:sz w:val="20"/>
              <w:szCs w:val="20"/>
            </w:rPr>
            <w:t>.0</w:t>
          </w:r>
          <w:r w:rsidR="008C5542">
            <w:rPr>
              <w:rFonts w:ascii="Arial" w:hAnsi="Arial" w:cs="Arial"/>
              <w:i/>
              <w:sz w:val="20"/>
              <w:szCs w:val="20"/>
            </w:rPr>
            <w:t>1</w:t>
          </w:r>
          <w:r>
            <w:rPr>
              <w:rFonts w:ascii="Arial" w:hAnsi="Arial" w:cs="Arial"/>
              <w:i/>
              <w:sz w:val="20"/>
              <w:szCs w:val="20"/>
            </w:rPr>
            <w:t>.0</w:t>
          </w:r>
          <w:r w:rsidR="008C5542">
            <w:rPr>
              <w:rFonts w:ascii="Arial" w:hAnsi="Arial" w:cs="Arial"/>
              <w:i/>
              <w:sz w:val="20"/>
              <w:szCs w:val="20"/>
            </w:rPr>
            <w:t>0</w:t>
          </w:r>
        </w:p>
      </w:tc>
      <w:tc>
        <w:tcPr>
          <w:tcW w:w="1701" w:type="dxa"/>
        </w:tcPr>
        <w:p w14:paraId="7ADB1FA2" w14:textId="77777777" w:rsidR="00825AF3" w:rsidRDefault="00000000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4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5AE465EC" w14:textId="77777777" w:rsidR="00825AF3" w:rsidRDefault="00825AF3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15FC0" w14:textId="77777777" w:rsidR="00C35F3B" w:rsidRDefault="00C35F3B">
      <w:r>
        <w:separator/>
      </w:r>
    </w:p>
  </w:footnote>
  <w:footnote w:type="continuationSeparator" w:id="0">
    <w:p w14:paraId="504B4CEE" w14:textId="77777777" w:rsidR="00C35F3B" w:rsidRDefault="00C35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65" w:type="dxa"/>
      <w:tblInd w:w="-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4663"/>
      <w:gridCol w:w="2283"/>
    </w:tblGrid>
    <w:tr w:rsidR="00825AF3" w14:paraId="295FE911" w14:textId="77777777" w:rsidTr="0058596D">
      <w:trPr>
        <w:cantSplit/>
      </w:trPr>
      <w:tc>
        <w:tcPr>
          <w:tcW w:w="311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3239413" w14:textId="77777777" w:rsidR="00825AF3" w:rsidRDefault="00000000">
          <w:pPr>
            <w:pStyle w:val="Intestazione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3922C0BF" wp14:editId="05492FA4">
                <wp:extent cx="1693545" cy="367030"/>
                <wp:effectExtent l="0" t="0" r="1905" b="0"/>
                <wp:docPr id="178902293" name="Immagine 178902293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6F4595E" w14:textId="77777777" w:rsidR="00825AF3" w:rsidRDefault="00000000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28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7155B65" w14:textId="77777777" w:rsidR="00825AF3" w:rsidRDefault="00825AF3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825AF3" w14:paraId="185E72FE" w14:textId="77777777" w:rsidTr="0058596D">
      <w:trPr>
        <w:cantSplit/>
      </w:trPr>
      <w:tc>
        <w:tcPr>
          <w:tcW w:w="10065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5F7CED91" w14:textId="77777777" w:rsidR="00825AF3" w:rsidRDefault="00825AF3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56B2BCF3" w14:textId="77777777" w:rsidR="00825AF3" w:rsidRDefault="00000000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220797FC" w14:textId="77777777" w:rsidR="00825AF3" w:rsidRDefault="00825AF3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7A6E48F2" w14:textId="77777777" w:rsidR="00825AF3" w:rsidRDefault="00825AF3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77B43"/>
    <w:multiLevelType w:val="hybridMultilevel"/>
    <w:tmpl w:val="DF102A00"/>
    <w:lvl w:ilvl="0" w:tplc="7C8A4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91007"/>
    <w:multiLevelType w:val="hybridMultilevel"/>
    <w:tmpl w:val="3F589400"/>
    <w:lvl w:ilvl="0" w:tplc="0410000B">
      <w:start w:val="1"/>
      <w:numFmt w:val="bullet"/>
      <w:lvlText w:val=""/>
      <w:lvlJc w:val="left"/>
      <w:pPr>
        <w:tabs>
          <w:tab w:val="num" w:pos="1276"/>
        </w:tabs>
        <w:ind w:left="12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2" w15:restartNumberingAfterBreak="0">
    <w:nsid w:val="0F0E3E50"/>
    <w:multiLevelType w:val="hybridMultilevel"/>
    <w:tmpl w:val="9B407DC6"/>
    <w:lvl w:ilvl="0" w:tplc="86362D2A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44505"/>
    <w:multiLevelType w:val="hybridMultilevel"/>
    <w:tmpl w:val="081ED8BA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3363EBA"/>
    <w:multiLevelType w:val="hybridMultilevel"/>
    <w:tmpl w:val="F1260762"/>
    <w:lvl w:ilvl="0" w:tplc="FBCA27E6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6564D"/>
    <w:multiLevelType w:val="hybridMultilevel"/>
    <w:tmpl w:val="CD9C57DA"/>
    <w:lvl w:ilvl="0" w:tplc="0410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6" w15:restartNumberingAfterBreak="0">
    <w:nsid w:val="151D2711"/>
    <w:multiLevelType w:val="hybridMultilevel"/>
    <w:tmpl w:val="A3D223EA"/>
    <w:lvl w:ilvl="0" w:tplc="3036033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C6682"/>
    <w:multiLevelType w:val="hybridMultilevel"/>
    <w:tmpl w:val="A6D00EB0"/>
    <w:lvl w:ilvl="0" w:tplc="EEF2791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976F0"/>
    <w:multiLevelType w:val="hybridMultilevel"/>
    <w:tmpl w:val="3B8CEA28"/>
    <w:lvl w:ilvl="0" w:tplc="7520EA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B82C70"/>
    <w:multiLevelType w:val="hybridMultilevel"/>
    <w:tmpl w:val="73FC2366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C0C3E25"/>
    <w:multiLevelType w:val="hybridMultilevel"/>
    <w:tmpl w:val="ABAED0EE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3" w15:restartNumberingAfterBreak="0">
    <w:nsid w:val="22C87FE6"/>
    <w:multiLevelType w:val="hybridMultilevel"/>
    <w:tmpl w:val="ECEE0E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CE7A82"/>
    <w:multiLevelType w:val="hybridMultilevel"/>
    <w:tmpl w:val="FCDE7D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43889"/>
    <w:multiLevelType w:val="hybridMultilevel"/>
    <w:tmpl w:val="8654E704"/>
    <w:lvl w:ilvl="0" w:tplc="176854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76C93"/>
    <w:multiLevelType w:val="hybridMultilevel"/>
    <w:tmpl w:val="7A383210"/>
    <w:lvl w:ilvl="0" w:tplc="389ABA4A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B5CA0"/>
    <w:multiLevelType w:val="hybridMultilevel"/>
    <w:tmpl w:val="AE34AE3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F07527"/>
    <w:multiLevelType w:val="hybridMultilevel"/>
    <w:tmpl w:val="39AC0430"/>
    <w:lvl w:ilvl="0" w:tplc="433CD00A">
      <w:start w:val="1"/>
      <w:numFmt w:val="bullet"/>
      <w:lvlText w:val=""/>
      <w:lvlJc w:val="left"/>
      <w:pPr>
        <w:tabs>
          <w:tab w:val="num" w:pos="1276"/>
        </w:tabs>
        <w:ind w:left="1276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54A1615"/>
    <w:multiLevelType w:val="hybridMultilevel"/>
    <w:tmpl w:val="8E0E26E2"/>
    <w:lvl w:ilvl="0" w:tplc="04100005">
      <w:start w:val="1"/>
      <w:numFmt w:val="bullet"/>
      <w:lvlText w:val=""/>
      <w:lvlJc w:val="left"/>
      <w:pPr>
        <w:tabs>
          <w:tab w:val="num" w:pos="1047"/>
        </w:tabs>
        <w:ind w:left="104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20" w15:restartNumberingAfterBreak="0">
    <w:nsid w:val="37D76C6D"/>
    <w:multiLevelType w:val="hybridMultilevel"/>
    <w:tmpl w:val="6A581CF2"/>
    <w:lvl w:ilvl="0" w:tplc="EC8E9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141485"/>
    <w:multiLevelType w:val="hybridMultilevel"/>
    <w:tmpl w:val="A842789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735EFC"/>
    <w:multiLevelType w:val="hybridMultilevel"/>
    <w:tmpl w:val="0032B72A"/>
    <w:lvl w:ilvl="0" w:tplc="5CDE4E20">
      <w:start w:val="2"/>
      <w:numFmt w:val="decimal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BC4CF1"/>
    <w:multiLevelType w:val="hybridMultilevel"/>
    <w:tmpl w:val="33DCD1A4"/>
    <w:lvl w:ilvl="0" w:tplc="3036033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A72E8"/>
    <w:multiLevelType w:val="hybridMultilevel"/>
    <w:tmpl w:val="127A46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0B6713"/>
    <w:multiLevelType w:val="hybridMultilevel"/>
    <w:tmpl w:val="3C7815DA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C9496D"/>
    <w:multiLevelType w:val="hybridMultilevel"/>
    <w:tmpl w:val="44EC9088"/>
    <w:lvl w:ilvl="0" w:tplc="3C9A4AC4">
      <w:start w:val="1"/>
      <w:numFmt w:val="decimal"/>
      <w:lvlText w:val="(%1)"/>
      <w:lvlJc w:val="left"/>
      <w:pPr>
        <w:ind w:left="398" w:hanging="285"/>
      </w:pPr>
      <w:rPr>
        <w:rFonts w:ascii="Calibri" w:eastAsia="Calibri" w:hAnsi="Calibri" w:cs="Calibri" w:hint="default"/>
        <w:spacing w:val="-1"/>
        <w:w w:val="101"/>
        <w:sz w:val="18"/>
        <w:szCs w:val="18"/>
      </w:rPr>
    </w:lvl>
    <w:lvl w:ilvl="1" w:tplc="94E80F5C">
      <w:numFmt w:val="bullet"/>
      <w:lvlText w:val=""/>
      <w:lvlJc w:val="left"/>
      <w:pPr>
        <w:ind w:left="540" w:hanging="285"/>
      </w:pPr>
      <w:rPr>
        <w:rFonts w:ascii="Symbol" w:eastAsia="Symbol" w:hAnsi="Symbol" w:cs="Symbol" w:hint="default"/>
        <w:w w:val="99"/>
        <w:sz w:val="22"/>
        <w:szCs w:val="22"/>
      </w:rPr>
    </w:lvl>
    <w:lvl w:ilvl="2" w:tplc="8550DA5C">
      <w:numFmt w:val="bullet"/>
      <w:lvlText w:val="-"/>
      <w:lvlJc w:val="left"/>
      <w:pPr>
        <w:ind w:left="964" w:hanging="284"/>
      </w:pPr>
      <w:rPr>
        <w:rFonts w:ascii="Calibri" w:eastAsia="Calibri" w:hAnsi="Calibri" w:cs="Calibri" w:hint="default"/>
        <w:w w:val="110"/>
        <w:sz w:val="22"/>
        <w:szCs w:val="22"/>
      </w:rPr>
    </w:lvl>
    <w:lvl w:ilvl="3" w:tplc="B07C2C56">
      <w:numFmt w:val="bullet"/>
      <w:lvlText w:val="•"/>
      <w:lvlJc w:val="left"/>
      <w:pPr>
        <w:ind w:left="2072" w:hanging="284"/>
      </w:pPr>
      <w:rPr>
        <w:rFonts w:hint="default"/>
      </w:rPr>
    </w:lvl>
    <w:lvl w:ilvl="4" w:tplc="48844BC4">
      <w:numFmt w:val="bullet"/>
      <w:lvlText w:val="•"/>
      <w:lvlJc w:val="left"/>
      <w:pPr>
        <w:ind w:left="3185" w:hanging="284"/>
      </w:pPr>
      <w:rPr>
        <w:rFonts w:hint="default"/>
      </w:rPr>
    </w:lvl>
    <w:lvl w:ilvl="5" w:tplc="F0B28D1A">
      <w:numFmt w:val="bullet"/>
      <w:lvlText w:val="•"/>
      <w:lvlJc w:val="left"/>
      <w:pPr>
        <w:ind w:left="4297" w:hanging="284"/>
      </w:pPr>
      <w:rPr>
        <w:rFonts w:hint="default"/>
      </w:rPr>
    </w:lvl>
    <w:lvl w:ilvl="6" w:tplc="B20CF16E">
      <w:numFmt w:val="bullet"/>
      <w:lvlText w:val="•"/>
      <w:lvlJc w:val="left"/>
      <w:pPr>
        <w:ind w:left="5410" w:hanging="284"/>
      </w:pPr>
      <w:rPr>
        <w:rFonts w:hint="default"/>
      </w:rPr>
    </w:lvl>
    <w:lvl w:ilvl="7" w:tplc="B9C0AEC2">
      <w:numFmt w:val="bullet"/>
      <w:lvlText w:val="•"/>
      <w:lvlJc w:val="left"/>
      <w:pPr>
        <w:ind w:left="6522" w:hanging="284"/>
      </w:pPr>
      <w:rPr>
        <w:rFonts w:hint="default"/>
      </w:rPr>
    </w:lvl>
    <w:lvl w:ilvl="8" w:tplc="B822A724">
      <w:numFmt w:val="bullet"/>
      <w:lvlText w:val="•"/>
      <w:lvlJc w:val="left"/>
      <w:pPr>
        <w:ind w:left="7635" w:hanging="284"/>
      </w:pPr>
      <w:rPr>
        <w:rFonts w:hint="default"/>
      </w:rPr>
    </w:lvl>
  </w:abstractNum>
  <w:abstractNum w:abstractNumId="27" w15:restartNumberingAfterBreak="0">
    <w:nsid w:val="47942C46"/>
    <w:multiLevelType w:val="hybridMultilevel"/>
    <w:tmpl w:val="496ABCAC"/>
    <w:lvl w:ilvl="0" w:tplc="77EC24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675E1"/>
    <w:multiLevelType w:val="hybridMultilevel"/>
    <w:tmpl w:val="226CCF9A"/>
    <w:lvl w:ilvl="0" w:tplc="0410000D">
      <w:start w:val="1"/>
      <w:numFmt w:val="bullet"/>
      <w:lvlText w:val=""/>
      <w:lvlJc w:val="left"/>
      <w:pPr>
        <w:ind w:left="14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9" w15:restartNumberingAfterBreak="0">
    <w:nsid w:val="4E4C7850"/>
    <w:multiLevelType w:val="hybridMultilevel"/>
    <w:tmpl w:val="4B3E130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5AB2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Berlin Sans FB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43D46"/>
    <w:multiLevelType w:val="hybridMultilevel"/>
    <w:tmpl w:val="D230F8C0"/>
    <w:lvl w:ilvl="0" w:tplc="0410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32" w15:restartNumberingAfterBreak="0">
    <w:nsid w:val="58D10E6E"/>
    <w:multiLevelType w:val="hybridMultilevel"/>
    <w:tmpl w:val="AC0CC56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9751524"/>
    <w:multiLevelType w:val="hybridMultilevel"/>
    <w:tmpl w:val="6D2CB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140163"/>
    <w:multiLevelType w:val="hybridMultilevel"/>
    <w:tmpl w:val="584CE37A"/>
    <w:lvl w:ilvl="0" w:tplc="0410000D">
      <w:start w:val="1"/>
      <w:numFmt w:val="bullet"/>
      <w:lvlText w:val=""/>
      <w:lvlJc w:val="left"/>
      <w:pPr>
        <w:ind w:left="81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5" w15:restartNumberingAfterBreak="0">
    <w:nsid w:val="65E603E9"/>
    <w:multiLevelType w:val="hybridMultilevel"/>
    <w:tmpl w:val="E6FE1D86"/>
    <w:lvl w:ilvl="0" w:tplc="DF288C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190C3F"/>
    <w:multiLevelType w:val="hybridMultilevel"/>
    <w:tmpl w:val="FCBEB040"/>
    <w:lvl w:ilvl="0" w:tplc="382077F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D1D2E"/>
    <w:multiLevelType w:val="hybridMultilevel"/>
    <w:tmpl w:val="43FED836"/>
    <w:lvl w:ilvl="0" w:tplc="B7EA2A4E">
      <w:numFmt w:val="bullet"/>
      <w:lvlText w:val="-"/>
      <w:lvlJc w:val="left"/>
      <w:pPr>
        <w:ind w:left="720" w:hanging="360"/>
      </w:pPr>
      <w:rPr>
        <w:rFonts w:ascii="Arial" w:eastAsia="Berlin Sans FB" w:hAnsi="Arial" w:cs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3A30CB"/>
    <w:multiLevelType w:val="hybridMultilevel"/>
    <w:tmpl w:val="24B221C0"/>
    <w:lvl w:ilvl="0" w:tplc="41A017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010857"/>
    <w:multiLevelType w:val="hybridMultilevel"/>
    <w:tmpl w:val="455A0E3A"/>
    <w:lvl w:ilvl="0" w:tplc="43A2FF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3E3541"/>
    <w:multiLevelType w:val="hybridMultilevel"/>
    <w:tmpl w:val="D01094D0"/>
    <w:lvl w:ilvl="0" w:tplc="78DAE6CA">
      <w:start w:val="1"/>
      <w:numFmt w:val="decimal"/>
      <w:lvlText w:val="(%1)"/>
      <w:lvlJc w:val="left"/>
      <w:pPr>
        <w:ind w:left="360" w:hanging="360"/>
      </w:pPr>
      <w:rPr>
        <w:rFonts w:ascii="LFT Etica Lt" w:hAnsi="LFT Etica Lt" w:cstheme="minorHAnsi" w:hint="default"/>
        <w:b w:val="0"/>
        <w:bCs w:val="0"/>
        <w:i w:val="0"/>
        <w:iCs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281E9C"/>
    <w:multiLevelType w:val="hybridMultilevel"/>
    <w:tmpl w:val="131A3206"/>
    <w:lvl w:ilvl="0" w:tplc="FFF86D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565269"/>
    <w:multiLevelType w:val="multilevel"/>
    <w:tmpl w:val="9D8A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486E2A"/>
    <w:multiLevelType w:val="hybridMultilevel"/>
    <w:tmpl w:val="AE7C6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E27A51"/>
    <w:multiLevelType w:val="hybridMultilevel"/>
    <w:tmpl w:val="8A0A2A2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286217">
    <w:abstractNumId w:val="10"/>
  </w:num>
  <w:num w:numId="2" w16cid:durableId="777681507">
    <w:abstractNumId w:val="9"/>
  </w:num>
  <w:num w:numId="3" w16cid:durableId="486745417">
    <w:abstractNumId w:val="1"/>
  </w:num>
  <w:num w:numId="4" w16cid:durableId="912659182">
    <w:abstractNumId w:val="38"/>
  </w:num>
  <w:num w:numId="5" w16cid:durableId="508180283">
    <w:abstractNumId w:val="12"/>
  </w:num>
  <w:num w:numId="6" w16cid:durableId="1439063930">
    <w:abstractNumId w:val="30"/>
  </w:num>
  <w:num w:numId="7" w16cid:durableId="2078697937">
    <w:abstractNumId w:val="17"/>
  </w:num>
  <w:num w:numId="8" w16cid:durableId="1788616870">
    <w:abstractNumId w:val="19"/>
  </w:num>
  <w:num w:numId="9" w16cid:durableId="316081653">
    <w:abstractNumId w:val="29"/>
  </w:num>
  <w:num w:numId="10" w16cid:durableId="1048457486">
    <w:abstractNumId w:val="13"/>
  </w:num>
  <w:num w:numId="11" w16cid:durableId="1573004493">
    <w:abstractNumId w:val="20"/>
  </w:num>
  <w:num w:numId="12" w16cid:durableId="1132672913">
    <w:abstractNumId w:val="18"/>
  </w:num>
  <w:num w:numId="13" w16cid:durableId="2084600569">
    <w:abstractNumId w:val="39"/>
  </w:num>
  <w:num w:numId="14" w16cid:durableId="821039662">
    <w:abstractNumId w:val="8"/>
  </w:num>
  <w:num w:numId="15" w16cid:durableId="1656686157">
    <w:abstractNumId w:val="35"/>
  </w:num>
  <w:num w:numId="16" w16cid:durableId="1744447873">
    <w:abstractNumId w:val="37"/>
  </w:num>
  <w:num w:numId="17" w16cid:durableId="344484482">
    <w:abstractNumId w:val="24"/>
  </w:num>
  <w:num w:numId="18" w16cid:durableId="1994487841">
    <w:abstractNumId w:val="44"/>
  </w:num>
  <w:num w:numId="19" w16cid:durableId="1844279844">
    <w:abstractNumId w:val="21"/>
  </w:num>
  <w:num w:numId="20" w16cid:durableId="586500585">
    <w:abstractNumId w:val="32"/>
  </w:num>
  <w:num w:numId="21" w16cid:durableId="2145418548">
    <w:abstractNumId w:val="11"/>
  </w:num>
  <w:num w:numId="22" w16cid:durableId="1093479888">
    <w:abstractNumId w:val="5"/>
  </w:num>
  <w:num w:numId="23" w16cid:durableId="1654601729">
    <w:abstractNumId w:val="4"/>
  </w:num>
  <w:num w:numId="24" w16cid:durableId="1756895715">
    <w:abstractNumId w:val="15"/>
  </w:num>
  <w:num w:numId="25" w16cid:durableId="794179361">
    <w:abstractNumId w:val="31"/>
  </w:num>
  <w:num w:numId="26" w16cid:durableId="746877280">
    <w:abstractNumId w:val="25"/>
  </w:num>
  <w:num w:numId="27" w16cid:durableId="341972300">
    <w:abstractNumId w:val="27"/>
  </w:num>
  <w:num w:numId="28" w16cid:durableId="423494830">
    <w:abstractNumId w:val="43"/>
  </w:num>
  <w:num w:numId="29" w16cid:durableId="604506119">
    <w:abstractNumId w:val="33"/>
  </w:num>
  <w:num w:numId="30" w16cid:durableId="62992837">
    <w:abstractNumId w:val="3"/>
  </w:num>
  <w:num w:numId="31" w16cid:durableId="2039113652">
    <w:abstractNumId w:val="26"/>
  </w:num>
  <w:num w:numId="32" w16cid:durableId="1467697219">
    <w:abstractNumId w:val="14"/>
  </w:num>
  <w:num w:numId="33" w16cid:durableId="983779987">
    <w:abstractNumId w:val="41"/>
  </w:num>
  <w:num w:numId="34" w16cid:durableId="2144497231">
    <w:abstractNumId w:val="0"/>
  </w:num>
  <w:num w:numId="35" w16cid:durableId="503981383">
    <w:abstractNumId w:val="42"/>
  </w:num>
  <w:num w:numId="36" w16cid:durableId="16532920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95795424">
    <w:abstractNumId w:val="23"/>
  </w:num>
  <w:num w:numId="38" w16cid:durableId="1164973173">
    <w:abstractNumId w:val="2"/>
  </w:num>
  <w:num w:numId="39" w16cid:durableId="661354428">
    <w:abstractNumId w:val="6"/>
  </w:num>
  <w:num w:numId="40" w16cid:durableId="1752970385">
    <w:abstractNumId w:val="36"/>
  </w:num>
  <w:num w:numId="41" w16cid:durableId="160853514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851531861">
    <w:abstractNumId w:val="34"/>
  </w:num>
  <w:num w:numId="43" w16cid:durableId="922647315">
    <w:abstractNumId w:val="34"/>
  </w:num>
  <w:num w:numId="44" w16cid:durableId="1910797666">
    <w:abstractNumId w:val="22"/>
  </w:num>
  <w:num w:numId="45" w16cid:durableId="863054140">
    <w:abstractNumId w:val="40"/>
  </w:num>
  <w:num w:numId="46" w16cid:durableId="1391343661">
    <w:abstractNumId w:val="28"/>
  </w:num>
  <w:num w:numId="47" w16cid:durableId="1751930365">
    <w:abstractNumId w:val="7"/>
  </w:num>
  <w:num w:numId="48" w16cid:durableId="1930193357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AF3"/>
    <w:rsid w:val="000000C0"/>
    <w:rsid w:val="000030B2"/>
    <w:rsid w:val="00003EDA"/>
    <w:rsid w:val="00041460"/>
    <w:rsid w:val="000434AF"/>
    <w:rsid w:val="00046719"/>
    <w:rsid w:val="00047FD9"/>
    <w:rsid w:val="00050B18"/>
    <w:rsid w:val="00070EF1"/>
    <w:rsid w:val="00094CB9"/>
    <w:rsid w:val="000B0D6D"/>
    <w:rsid w:val="000F0EE8"/>
    <w:rsid w:val="000F39D4"/>
    <w:rsid w:val="00123AED"/>
    <w:rsid w:val="00141244"/>
    <w:rsid w:val="001427AA"/>
    <w:rsid w:val="00156D7A"/>
    <w:rsid w:val="00167A98"/>
    <w:rsid w:val="00182342"/>
    <w:rsid w:val="0018414C"/>
    <w:rsid w:val="001A6DE9"/>
    <w:rsid w:val="001C218F"/>
    <w:rsid w:val="001C78A5"/>
    <w:rsid w:val="001D2AE4"/>
    <w:rsid w:val="00207FFD"/>
    <w:rsid w:val="00221D1E"/>
    <w:rsid w:val="00221E36"/>
    <w:rsid w:val="00222694"/>
    <w:rsid w:val="002337DE"/>
    <w:rsid w:val="00233FBB"/>
    <w:rsid w:val="0025266B"/>
    <w:rsid w:val="00256398"/>
    <w:rsid w:val="00257429"/>
    <w:rsid w:val="00274F4D"/>
    <w:rsid w:val="00283211"/>
    <w:rsid w:val="0029056B"/>
    <w:rsid w:val="00297110"/>
    <w:rsid w:val="002A5017"/>
    <w:rsid w:val="002B1B3B"/>
    <w:rsid w:val="00304DAE"/>
    <w:rsid w:val="00310D0A"/>
    <w:rsid w:val="00341ACC"/>
    <w:rsid w:val="003579EC"/>
    <w:rsid w:val="00360EE6"/>
    <w:rsid w:val="00362259"/>
    <w:rsid w:val="003718D8"/>
    <w:rsid w:val="003973D1"/>
    <w:rsid w:val="003E6B03"/>
    <w:rsid w:val="003F0A41"/>
    <w:rsid w:val="00404EB7"/>
    <w:rsid w:val="00413BA8"/>
    <w:rsid w:val="0042778A"/>
    <w:rsid w:val="004555E1"/>
    <w:rsid w:val="00474AD7"/>
    <w:rsid w:val="00475E40"/>
    <w:rsid w:val="00482E86"/>
    <w:rsid w:val="00483B67"/>
    <w:rsid w:val="00492DCB"/>
    <w:rsid w:val="00496AA1"/>
    <w:rsid w:val="00496FB4"/>
    <w:rsid w:val="004A1294"/>
    <w:rsid w:val="004E3016"/>
    <w:rsid w:val="004E3550"/>
    <w:rsid w:val="004E42FA"/>
    <w:rsid w:val="004E6AF9"/>
    <w:rsid w:val="004F2FFE"/>
    <w:rsid w:val="004F781F"/>
    <w:rsid w:val="005041A1"/>
    <w:rsid w:val="00517C9D"/>
    <w:rsid w:val="00521F4E"/>
    <w:rsid w:val="00522628"/>
    <w:rsid w:val="0052568A"/>
    <w:rsid w:val="00526C96"/>
    <w:rsid w:val="00555F62"/>
    <w:rsid w:val="0058596D"/>
    <w:rsid w:val="005925C4"/>
    <w:rsid w:val="005956D1"/>
    <w:rsid w:val="005A3537"/>
    <w:rsid w:val="005A4F9A"/>
    <w:rsid w:val="005C1797"/>
    <w:rsid w:val="005C6699"/>
    <w:rsid w:val="005D7693"/>
    <w:rsid w:val="005E4102"/>
    <w:rsid w:val="005F1E29"/>
    <w:rsid w:val="00620378"/>
    <w:rsid w:val="00623148"/>
    <w:rsid w:val="006423AB"/>
    <w:rsid w:val="006529E5"/>
    <w:rsid w:val="006A512D"/>
    <w:rsid w:val="006B4D64"/>
    <w:rsid w:val="006B7473"/>
    <w:rsid w:val="006C7BF2"/>
    <w:rsid w:val="006D0B99"/>
    <w:rsid w:val="006D26E9"/>
    <w:rsid w:val="006D7A09"/>
    <w:rsid w:val="006E3755"/>
    <w:rsid w:val="006F1793"/>
    <w:rsid w:val="007072DB"/>
    <w:rsid w:val="00715D5A"/>
    <w:rsid w:val="007402B5"/>
    <w:rsid w:val="007472A5"/>
    <w:rsid w:val="007530E8"/>
    <w:rsid w:val="0077241E"/>
    <w:rsid w:val="007B2409"/>
    <w:rsid w:val="007B6F1F"/>
    <w:rsid w:val="007C263D"/>
    <w:rsid w:val="007C27C1"/>
    <w:rsid w:val="007C2BEF"/>
    <w:rsid w:val="007D3431"/>
    <w:rsid w:val="007D34F4"/>
    <w:rsid w:val="007D4157"/>
    <w:rsid w:val="007D5BC3"/>
    <w:rsid w:val="00810A6D"/>
    <w:rsid w:val="00825AF3"/>
    <w:rsid w:val="00831D6A"/>
    <w:rsid w:val="008511DB"/>
    <w:rsid w:val="0087001E"/>
    <w:rsid w:val="008A3A76"/>
    <w:rsid w:val="008A46E9"/>
    <w:rsid w:val="008A63EC"/>
    <w:rsid w:val="008C5542"/>
    <w:rsid w:val="008E0970"/>
    <w:rsid w:val="0091385A"/>
    <w:rsid w:val="00931E62"/>
    <w:rsid w:val="009379B6"/>
    <w:rsid w:val="00955B8E"/>
    <w:rsid w:val="00961D4C"/>
    <w:rsid w:val="00995E33"/>
    <w:rsid w:val="009A11E9"/>
    <w:rsid w:val="009A348C"/>
    <w:rsid w:val="009B3E85"/>
    <w:rsid w:val="009B62DD"/>
    <w:rsid w:val="009E06A8"/>
    <w:rsid w:val="009E362B"/>
    <w:rsid w:val="009F140C"/>
    <w:rsid w:val="009F3805"/>
    <w:rsid w:val="00A043C7"/>
    <w:rsid w:val="00A26C46"/>
    <w:rsid w:val="00A45B6B"/>
    <w:rsid w:val="00A541BB"/>
    <w:rsid w:val="00A5653D"/>
    <w:rsid w:val="00A670E7"/>
    <w:rsid w:val="00A85DBD"/>
    <w:rsid w:val="00A943EE"/>
    <w:rsid w:val="00AD0D03"/>
    <w:rsid w:val="00AD68C6"/>
    <w:rsid w:val="00AF7F03"/>
    <w:rsid w:val="00B07038"/>
    <w:rsid w:val="00B41FCE"/>
    <w:rsid w:val="00B47674"/>
    <w:rsid w:val="00B618C6"/>
    <w:rsid w:val="00B763F8"/>
    <w:rsid w:val="00B81BDE"/>
    <w:rsid w:val="00B92FCF"/>
    <w:rsid w:val="00BA175C"/>
    <w:rsid w:val="00BA5412"/>
    <w:rsid w:val="00BC37B7"/>
    <w:rsid w:val="00BD6FDB"/>
    <w:rsid w:val="00BE6759"/>
    <w:rsid w:val="00C04336"/>
    <w:rsid w:val="00C14D15"/>
    <w:rsid w:val="00C16F7F"/>
    <w:rsid w:val="00C32CCD"/>
    <w:rsid w:val="00C35F3B"/>
    <w:rsid w:val="00C4749A"/>
    <w:rsid w:val="00C534B8"/>
    <w:rsid w:val="00C9341D"/>
    <w:rsid w:val="00CA0BD9"/>
    <w:rsid w:val="00CA6B07"/>
    <w:rsid w:val="00CB0EC8"/>
    <w:rsid w:val="00CB1F23"/>
    <w:rsid w:val="00CC50DB"/>
    <w:rsid w:val="00CE152D"/>
    <w:rsid w:val="00CE172E"/>
    <w:rsid w:val="00D1475D"/>
    <w:rsid w:val="00D30392"/>
    <w:rsid w:val="00D345DF"/>
    <w:rsid w:val="00D4437E"/>
    <w:rsid w:val="00D51329"/>
    <w:rsid w:val="00D64F24"/>
    <w:rsid w:val="00D7236B"/>
    <w:rsid w:val="00D7559B"/>
    <w:rsid w:val="00D85B81"/>
    <w:rsid w:val="00DA02C9"/>
    <w:rsid w:val="00DA556A"/>
    <w:rsid w:val="00DA5DE9"/>
    <w:rsid w:val="00DC464B"/>
    <w:rsid w:val="00DD3625"/>
    <w:rsid w:val="00DE41C6"/>
    <w:rsid w:val="00DE527E"/>
    <w:rsid w:val="00DF7E84"/>
    <w:rsid w:val="00E038FF"/>
    <w:rsid w:val="00E06B5D"/>
    <w:rsid w:val="00E17F47"/>
    <w:rsid w:val="00E23F2C"/>
    <w:rsid w:val="00E300D9"/>
    <w:rsid w:val="00E319FF"/>
    <w:rsid w:val="00E3702F"/>
    <w:rsid w:val="00E4561A"/>
    <w:rsid w:val="00E5769E"/>
    <w:rsid w:val="00E66116"/>
    <w:rsid w:val="00E735DA"/>
    <w:rsid w:val="00E839E6"/>
    <w:rsid w:val="00E87CAD"/>
    <w:rsid w:val="00EC004B"/>
    <w:rsid w:val="00EC721E"/>
    <w:rsid w:val="00ED6860"/>
    <w:rsid w:val="00ED7B38"/>
    <w:rsid w:val="00EE25E6"/>
    <w:rsid w:val="00EF40A0"/>
    <w:rsid w:val="00F009BA"/>
    <w:rsid w:val="00F20BFF"/>
    <w:rsid w:val="00F30DEA"/>
    <w:rsid w:val="00F4057D"/>
    <w:rsid w:val="00F4523B"/>
    <w:rsid w:val="00FB6677"/>
    <w:rsid w:val="00FC035F"/>
    <w:rsid w:val="00FD239A"/>
    <w:rsid w:val="00FD5AD7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4AF6ADD1"/>
  <w15:docId w15:val="{F7F07351-C20B-4C88-9444-DD9562272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link w:val="Puntoelenco1Carattere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uiPriority w:val="99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link w:val="Corpodeltesto3Caratter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character" w:customStyle="1" w:styleId="Puntoelenco1Carattere">
    <w:name w:val="Punto elenco 1 Carattere"/>
    <w:link w:val="Puntoelenco1"/>
    <w:rPr>
      <w:rFonts w:ascii="Arial" w:hAnsi="Arial" w:cs="Arial"/>
    </w:rPr>
  </w:style>
  <w:style w:type="paragraph" w:styleId="Paragrafoelenco">
    <w:name w:val="List Paragraph"/>
    <w:basedOn w:val="Normale"/>
    <w:uiPriority w:val="1"/>
    <w:qFormat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pPr>
      <w:widowControl w:val="0"/>
      <w:autoSpaceDE w:val="0"/>
      <w:autoSpaceDN w:val="0"/>
      <w:ind w:left="62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Corpodeltesto3Carattere">
    <w:name w:val="Corpo del testo 3 Carattere"/>
    <w:link w:val="Corpodeltesto3"/>
    <w:rPr>
      <w:rFonts w:ascii="Arial" w:hAnsi="Arial"/>
      <w:b/>
    </w:rPr>
  </w:style>
  <w:style w:type="paragraph" w:customStyle="1" w:styleId="2MADescrizioneCampo">
    <w:name w:val="2_MA_DescrizioneCampo"/>
    <w:basedOn w:val="corpo"/>
    <w:qFormat/>
    <w:rsid w:val="008A46E9"/>
  </w:style>
  <w:style w:type="character" w:customStyle="1" w:styleId="ui-provider">
    <w:name w:val="ui-provider"/>
    <w:basedOn w:val="Carpredefinitoparagrafo"/>
    <w:rsid w:val="004F2FFE"/>
  </w:style>
  <w:style w:type="character" w:customStyle="1" w:styleId="fui-styledtext">
    <w:name w:val="fui-styledtext"/>
    <w:basedOn w:val="Carpredefinitoparagrafo"/>
    <w:rsid w:val="004F2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505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81148">
              <w:marLeft w:val="36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09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097224">
              <w:marLeft w:val="7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53622">
              <w:marLeft w:val="7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67255">
              <w:marLeft w:val="36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5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8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1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9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yperlink" Target="https://cs.teamsystem.com/cs3public/showdoc.aspx?IdDoc=5909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yperlink" Target="http://www.finanz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perlini\Desktop\PAGHE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C6AAC-A0A2-4113-8310-B93657508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PAGHE_AAAAXXYY_CR.dotx</Template>
  <TotalTime>7056</TotalTime>
  <Pages>6</Pages>
  <Words>1524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10195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Elisabetta Perlini</dc:creator>
  <cp:lastModifiedBy>Elisabetta Perlini</cp:lastModifiedBy>
  <cp:revision>162</cp:revision>
  <cp:lastPrinted>2019-06-20T12:29:00Z</cp:lastPrinted>
  <dcterms:created xsi:type="dcterms:W3CDTF">2019-06-24T08:31:00Z</dcterms:created>
  <dcterms:modified xsi:type="dcterms:W3CDTF">2025-03-31T10:42:00Z</dcterms:modified>
</cp:coreProperties>
</file>