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C4" w:rsidRDefault="00DA0585">
      <w:pPr>
        <w:pStyle w:val="WWTipoDocumento"/>
      </w:pPr>
      <w:bookmarkStart w:id="0" w:name="_Toc3301130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 w:rsidR="003A35C4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3A35C4" w:rsidRDefault="00DA0585">
            <w:pPr>
              <w:pStyle w:val="CorpoAltF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3A35C4" w:rsidRDefault="0066458A">
            <w:pPr>
              <w:pStyle w:val="CorpoAltF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RELEASE Versione 2017.2.0</w:t>
            </w:r>
          </w:p>
        </w:tc>
      </w:tr>
      <w:tr w:rsidR="003A35C4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3A35C4" w:rsidRDefault="003A35C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GECOM EMENS</w:t>
            </w:r>
          </w:p>
        </w:tc>
      </w:tr>
      <w:tr w:rsidR="003A35C4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3A35C4" w:rsidRDefault="003A35C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 w:rsidR="003A35C4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3A35C4" w:rsidRDefault="003A35C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66458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2017.2.</w:t>
            </w:r>
            <w:r w:rsidRPr="0066458A">
              <w:rPr>
                <w:rFonts w:ascii="Arial" w:hAnsi="Arial" w:cs="Arial"/>
                <w:b/>
              </w:rPr>
              <w:t>0</w:t>
            </w:r>
            <w:r w:rsidR="00DA0585" w:rsidRPr="0066458A">
              <w:rPr>
                <w:rFonts w:ascii="Arial" w:hAnsi="Arial" w:cs="Arial"/>
                <w:b/>
              </w:rPr>
              <w:t xml:space="preserve"> </w:t>
            </w:r>
            <w:r w:rsidRPr="0066458A">
              <w:rPr>
                <w:rFonts w:ascii="Arial" w:hAnsi="Arial" w:cs="Arial"/>
                <w:b/>
              </w:rPr>
              <w:t>(Versione completa</w:t>
            </w:r>
            <w:r w:rsidR="00DA0585" w:rsidRPr="0066458A">
              <w:rPr>
                <w:rFonts w:ascii="Arial" w:hAnsi="Arial" w:cs="Arial"/>
                <w:b/>
              </w:rPr>
              <w:t>)</w:t>
            </w:r>
          </w:p>
        </w:tc>
      </w:tr>
      <w:tr w:rsidR="003A35C4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3A35C4" w:rsidRDefault="003A35C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E366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335E61" w:rsidRPr="000C130A">
              <w:rPr>
                <w:rFonts w:ascii="Arial" w:hAnsi="Arial" w:cs="Arial"/>
                <w:b/>
              </w:rPr>
              <w:t>.10</w:t>
            </w:r>
            <w:r w:rsidR="00DA0585" w:rsidRPr="000C130A">
              <w:rPr>
                <w:rFonts w:ascii="Arial" w:hAnsi="Arial" w:cs="Arial"/>
                <w:b/>
              </w:rPr>
              <w:t>.2017</w:t>
            </w:r>
          </w:p>
        </w:tc>
      </w:tr>
      <w:tr w:rsidR="003A35C4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3A35C4" w:rsidRDefault="003A35C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 w:rsidR="003A35C4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3A35C4" w:rsidRDefault="003A35C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3A35C4" w:rsidRDefault="00DA05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 w:rsidR="003A35C4" w:rsidRDefault="003A35C4">
      <w:pPr>
        <w:pStyle w:val="corpoAltF"/>
      </w:pPr>
    </w:p>
    <w:p w:rsidR="003A35C4" w:rsidRDefault="003A35C4">
      <w:pPr>
        <w:pStyle w:val="corpoAltF"/>
      </w:pPr>
    </w:p>
    <w:p w:rsidR="003A35C4" w:rsidRDefault="003A35C4">
      <w:pPr>
        <w:pStyle w:val="WWNewPage"/>
      </w:pPr>
    </w:p>
    <w:p w:rsidR="003A35C4" w:rsidRDefault="00DA0585"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1" w:name="INDICE"/>
      <w:bookmarkEnd w:id="1"/>
      <w:r>
        <w:rPr>
          <w:b/>
          <w:i/>
          <w:spacing w:val="14"/>
          <w:sz w:val="28"/>
          <w:szCs w:val="28"/>
        </w:rPr>
        <w:t>ANOMALIE CORRETTE</w:t>
      </w:r>
    </w:p>
    <w:p w:rsidR="003A35C4" w:rsidRDefault="003A35C4">
      <w:pPr>
        <w:pStyle w:val="corpoAltF"/>
      </w:pPr>
    </w:p>
    <w:p w:rsidR="007B10D6" w:rsidRDefault="00DA058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495994883" w:history="1">
        <w:r w:rsidR="007B10D6" w:rsidRPr="00B2750E">
          <w:rPr>
            <w:rStyle w:val="Collegamentoipertestuale"/>
          </w:rPr>
          <w:t>EME202 – Prelievo dichiarazioni</w:t>
        </w:r>
        <w:r w:rsidR="007B10D6">
          <w:rPr>
            <w:webHidden/>
          </w:rPr>
          <w:tab/>
        </w:r>
        <w:r w:rsidR="007B10D6">
          <w:rPr>
            <w:webHidden/>
          </w:rPr>
          <w:fldChar w:fldCharType="begin"/>
        </w:r>
        <w:r w:rsidR="007B10D6">
          <w:rPr>
            <w:webHidden/>
          </w:rPr>
          <w:instrText xml:space="preserve"> PAGEREF _Toc495994883 \h </w:instrText>
        </w:r>
        <w:r w:rsidR="007B10D6">
          <w:rPr>
            <w:webHidden/>
          </w:rPr>
        </w:r>
        <w:r w:rsidR="007B10D6">
          <w:rPr>
            <w:webHidden/>
          </w:rPr>
          <w:fldChar w:fldCharType="separate"/>
        </w:r>
        <w:r w:rsidR="00FE2C6C">
          <w:rPr>
            <w:webHidden/>
          </w:rPr>
          <w:t>2</w:t>
        </w:r>
        <w:r w:rsidR="007B10D6">
          <w:rPr>
            <w:webHidden/>
          </w:rPr>
          <w:fldChar w:fldCharType="end"/>
        </w:r>
      </w:hyperlink>
    </w:p>
    <w:p w:rsidR="007B10D6" w:rsidRDefault="007B10D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5994884" w:history="1">
        <w:r w:rsidRPr="00B2750E">
          <w:rPr>
            <w:rStyle w:val="Collegamentoipertestuale"/>
            <w:noProof/>
          </w:rPr>
          <w:t>Gestione denuncia aziendale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_Toc495994884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C6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0D6" w:rsidRDefault="007B10D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5994885" w:history="1">
        <w:r w:rsidRPr="00B2750E">
          <w:rPr>
            <w:rStyle w:val="Collegamentoipertestuale"/>
            <w:noProof/>
          </w:rPr>
          <w:t>Scheda “Retribuzione mese precedente”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_Toc495994885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C6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0D6" w:rsidRDefault="007B10D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5994886" w:history="1">
        <w:r w:rsidRPr="00B2750E">
          <w:rPr>
            <w:rStyle w:val="Collegamentoipertestuale"/>
            <w:noProof/>
          </w:rPr>
          <w:t>QUADR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_Toc495994886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C6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0D6" w:rsidRDefault="007B10D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5994887" w:history="1">
        <w:r w:rsidRPr="00B2750E">
          <w:rPr>
            <w:rStyle w:val="Collegamentoipertestuale"/>
            <w:noProof/>
          </w:rPr>
          <w:t>Eccedenza massimale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_Toc495994887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2C6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10D6" w:rsidRDefault="007B10D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5994888" w:history="1">
        <w:r w:rsidRPr="00B2750E">
          <w:rPr>
            <w:rStyle w:val="Collegamentoipertestuale"/>
          </w:rPr>
          <w:t>EME301 – Generazione dati &lt;ListaPosPA&gt;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_Toc495994888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2C6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B10D6" w:rsidRDefault="007B10D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5994889" w:history="1">
        <w:r w:rsidRPr="00B2750E">
          <w:rPr>
            <w:rStyle w:val="Collegamentoipertestuale"/>
          </w:rPr>
          <w:t>EME401 – Stampa analitica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_Toc495994889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2C6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35C4" w:rsidRDefault="00DA0585"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 w:rsidR="003A35C4" w:rsidRDefault="003A35C4">
      <w:pPr>
        <w:pStyle w:val="CorpoAltF0"/>
        <w:rPr>
          <w:rStyle w:val="Collegamentoipertestuale"/>
          <w:color w:val="auto"/>
          <w:u w:val="none"/>
        </w:rPr>
      </w:pPr>
    </w:p>
    <w:p w:rsidR="003A35C4" w:rsidRDefault="003A35C4">
      <w:pPr>
        <w:pStyle w:val="corpoAltF"/>
      </w:pPr>
    </w:p>
    <w:p w:rsidR="003A35C4" w:rsidRDefault="003A35C4">
      <w:pPr>
        <w:pStyle w:val="corpoAltF"/>
        <w:sectPr w:rsidR="003A35C4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 w:rsidR="003A35C4" w:rsidRDefault="003A35C4">
      <w:pPr>
        <w:pStyle w:val="CorpoAltF0"/>
      </w:pPr>
    </w:p>
    <w:p w:rsidR="003A35C4" w:rsidRPr="004774AC" w:rsidRDefault="00DA0585">
      <w:pPr>
        <w:pStyle w:val="TS-titolo-04"/>
      </w:pPr>
      <w:bookmarkStart w:id="2" w:name="_Toc495994883"/>
      <w:r w:rsidRPr="004774AC">
        <w:t>EME202 – Prelievo dichiarazioni</w:t>
      </w:r>
      <w:bookmarkEnd w:id="2"/>
    </w:p>
    <w:p w:rsidR="003A35C4" w:rsidRPr="004774AC" w:rsidRDefault="00DA0585">
      <w:pPr>
        <w:pStyle w:val="TS-titolo-05"/>
      </w:pPr>
      <w:bookmarkStart w:id="3" w:name="_Toc495994884"/>
      <w:r w:rsidRPr="004774AC">
        <w:t>Gestione denuncia aziendale</w:t>
      </w:r>
      <w:bookmarkEnd w:id="3"/>
      <w:r w:rsidRPr="004774AC">
        <w:t xml:space="preserve"> </w:t>
      </w:r>
    </w:p>
    <w:p w:rsidR="003A35C4" w:rsidRPr="004774AC" w:rsidRDefault="00DA0585">
      <w:pPr>
        <w:pStyle w:val="CorpoAltF0"/>
        <w:spacing w:before="120"/>
      </w:pPr>
      <w:r w:rsidRPr="004774AC">
        <w:t>Dopo aver installato la versione EMENS 2017.1.1 visualizzando una denuncia aziendale generata (mediante quadratura o scelta “</w:t>
      </w:r>
      <w:r w:rsidRPr="004774AC">
        <w:rPr>
          <w:i/>
        </w:rPr>
        <w:t>Prelievo dichiarazioni</w:t>
      </w:r>
      <w:r w:rsidRPr="004774AC">
        <w:t>”) con una versione precedente, il programma esponeva un valore errato nella griglia dei totali a credito e debito della scheda “</w:t>
      </w:r>
      <w:r w:rsidRPr="004774AC">
        <w:rPr>
          <w:i/>
        </w:rPr>
        <w:t>Denuncia Aziendale</w:t>
      </w:r>
      <w:r w:rsidRPr="004774AC">
        <w:t>”.</w:t>
      </w:r>
    </w:p>
    <w:p w:rsidR="003A35C4" w:rsidRPr="004774AC" w:rsidRDefault="00DA0585">
      <w:pPr>
        <w:pStyle w:val="CorpoAltF0"/>
        <w:spacing w:before="60"/>
      </w:pPr>
      <w:r w:rsidRPr="004774AC">
        <w:t>Si precisa che l’anomalia in oggetto è di sola visualizzazione in quanto la quadratura, il telematico della denuncia e l’F24 risultano corretti.</w:t>
      </w:r>
    </w:p>
    <w:p w:rsidR="003A35C4" w:rsidRPr="004774AC" w:rsidRDefault="003A35C4">
      <w:pPr>
        <w:pStyle w:val="CorpoAltF0"/>
      </w:pPr>
    </w:p>
    <w:p w:rsidR="003A35C4" w:rsidRPr="004774AC" w:rsidRDefault="00DA0585">
      <w:pPr>
        <w:pStyle w:val="TS-titolo-05"/>
      </w:pPr>
      <w:bookmarkStart w:id="4" w:name="_Toc495994885"/>
      <w:r w:rsidRPr="004774AC">
        <w:t>Scheda “</w:t>
      </w:r>
      <w:r w:rsidRPr="004774AC">
        <w:rPr>
          <w:i/>
        </w:rPr>
        <w:t>Retribuzione mese precedente</w:t>
      </w:r>
      <w:r w:rsidRPr="004774AC">
        <w:t>”</w:t>
      </w:r>
      <w:bookmarkEnd w:id="4"/>
      <w:r w:rsidRPr="004774AC">
        <w:t xml:space="preserve"> </w:t>
      </w:r>
    </w:p>
    <w:p w:rsidR="003A35C4" w:rsidRPr="004774AC" w:rsidRDefault="00DA0585">
      <w:pPr>
        <w:pStyle w:val="CorpoAltF0"/>
        <w:spacing w:before="120"/>
      </w:pPr>
      <w:r w:rsidRPr="004774AC">
        <w:rPr>
          <w:b/>
        </w:rPr>
        <w:t>Casistica</w:t>
      </w:r>
    </w:p>
    <w:p w:rsidR="003A35C4" w:rsidRPr="004774AC" w:rsidRDefault="00DA0585">
      <w:pPr>
        <w:pStyle w:val="CorpoAltF0"/>
        <w:spacing w:before="60"/>
      </w:pPr>
      <w:r w:rsidRPr="004774AC">
        <w:t>Dipendente con passaggio di qualifica coincidente con l’ultimo giorno del mese o con il giorno di licenziamento (se avvenuto nel mese).</w:t>
      </w:r>
    </w:p>
    <w:p w:rsidR="003A35C4" w:rsidRPr="004774AC" w:rsidRDefault="003A35C4">
      <w:pPr>
        <w:pStyle w:val="CorpoAltF0"/>
      </w:pPr>
    </w:p>
    <w:p w:rsidR="003A35C4" w:rsidRPr="004774AC" w:rsidRDefault="00DA0585">
      <w:pPr>
        <w:pStyle w:val="CorpoAltF0"/>
      </w:pPr>
      <w:r w:rsidRPr="004774AC">
        <w:rPr>
          <w:b/>
        </w:rPr>
        <w:t>Anomalia</w:t>
      </w:r>
    </w:p>
    <w:p w:rsidR="003A35C4" w:rsidRPr="004774AC" w:rsidRDefault="00DA0585">
      <w:pPr>
        <w:pStyle w:val="CorpoAltF0"/>
        <w:spacing w:before="60"/>
      </w:pPr>
      <w:r w:rsidRPr="004774AC">
        <w:t>Con riferimento al dipendente in oggetto, effettuando la quadratura del mese successivo a quello di passaggio il programma provvedeva a generare erroneamente la scheda “</w:t>
      </w:r>
      <w:r w:rsidRPr="004774AC">
        <w:rPr>
          <w:i/>
        </w:rPr>
        <w:t>Retribuzioni mese precedente</w:t>
      </w:r>
      <w:r w:rsidRPr="004774AC">
        <w:t>” di “</w:t>
      </w:r>
      <w:r w:rsidRPr="004774AC">
        <w:rPr>
          <w:i/>
        </w:rPr>
        <w:t>EME204 –Gestione dichiarazioni</w:t>
      </w:r>
      <w:r w:rsidRPr="004774AC">
        <w:t>”.</w:t>
      </w:r>
    </w:p>
    <w:p w:rsidR="003A35C4" w:rsidRPr="004774AC" w:rsidRDefault="003A35C4">
      <w:pPr>
        <w:jc w:val="both"/>
        <w:rPr>
          <w:rFonts w:ascii="Arial" w:hAnsi="Arial" w:cs="Arial"/>
          <w:sz w:val="20"/>
          <w:szCs w:val="20"/>
        </w:rPr>
      </w:pPr>
    </w:p>
    <w:p w:rsidR="003A35C4" w:rsidRPr="004774AC" w:rsidRDefault="00DA0585">
      <w:pPr>
        <w:pStyle w:val="TS-titolo-05"/>
      </w:pPr>
      <w:bookmarkStart w:id="5" w:name="_Toc495994886"/>
      <w:r w:rsidRPr="004774AC">
        <w:t>QUADR</w:t>
      </w:r>
      <w:bookmarkEnd w:id="5"/>
      <w:r w:rsidRPr="004774AC">
        <w:t xml:space="preserve"> </w:t>
      </w:r>
    </w:p>
    <w:p w:rsidR="003A35C4" w:rsidRPr="004774AC" w:rsidRDefault="00DA0585">
      <w:pPr>
        <w:pStyle w:val="corpoAltF"/>
        <w:spacing w:before="120"/>
      </w:pPr>
      <w:r w:rsidRPr="004774AC">
        <w:t>Il comando di quadratura nel caso in cui il totale a debito superava i 9.999.999 euro esponeva al campo “</w:t>
      </w:r>
      <w:r w:rsidRPr="004774AC">
        <w:rPr>
          <w:i/>
        </w:rPr>
        <w:t>Totale a debito</w:t>
      </w:r>
      <w:r w:rsidRPr="004774AC">
        <w:t>” della “</w:t>
      </w:r>
      <w:r w:rsidRPr="004774AC">
        <w:rPr>
          <w:i/>
        </w:rPr>
        <w:t>Gestione denuncia aziendale</w:t>
      </w:r>
      <w:r w:rsidRPr="004774AC">
        <w:t>” (</w:t>
      </w:r>
      <w:r w:rsidRPr="004774AC">
        <w:rPr>
          <w:b/>
        </w:rPr>
        <w:t>EME203</w:t>
      </w:r>
      <w:r w:rsidRPr="004774AC">
        <w:t xml:space="preserve"> &gt; scheda “</w:t>
      </w:r>
      <w:r w:rsidRPr="004774AC">
        <w:rPr>
          <w:i/>
        </w:rPr>
        <w:t>Denuncia Aziendale</w:t>
      </w:r>
      <w:r w:rsidRPr="004774AC">
        <w:t>”) il valore senza le decine di milioni.</w:t>
      </w:r>
    </w:p>
    <w:p w:rsidR="003A35C4" w:rsidRPr="004774AC" w:rsidRDefault="003A35C4">
      <w:pPr>
        <w:pStyle w:val="CorpoAltF0"/>
      </w:pPr>
    </w:p>
    <w:p w:rsidR="003D7FDC" w:rsidRPr="004774AC" w:rsidRDefault="003D7FDC" w:rsidP="003D7FDC">
      <w:pPr>
        <w:pStyle w:val="TS-titolo-05"/>
      </w:pPr>
      <w:bookmarkStart w:id="6" w:name="_Toc495994887"/>
      <w:r w:rsidRPr="004774AC">
        <w:t>Eccedenza massimale</w:t>
      </w:r>
      <w:bookmarkEnd w:id="6"/>
      <w:r w:rsidRPr="004774AC">
        <w:t xml:space="preserve"> </w:t>
      </w:r>
    </w:p>
    <w:p w:rsidR="003D7FDC" w:rsidRPr="004774AC" w:rsidRDefault="00E235D3" w:rsidP="003D7FDC">
      <w:pPr>
        <w:pStyle w:val="CorpoAltF0"/>
        <w:spacing w:before="120"/>
      </w:pPr>
      <w:r w:rsidRPr="004774AC">
        <w:rPr>
          <w:b/>
        </w:rPr>
        <w:t>Casistica</w:t>
      </w:r>
    </w:p>
    <w:p w:rsidR="00E1430D" w:rsidRPr="004774AC" w:rsidRDefault="00F24AE4" w:rsidP="00E1430D">
      <w:pPr>
        <w:pStyle w:val="CorpoAltF0"/>
        <w:numPr>
          <w:ilvl w:val="0"/>
          <w:numId w:val="24"/>
        </w:numPr>
        <w:spacing w:before="60"/>
        <w:ind w:left="284" w:hanging="284"/>
      </w:pPr>
      <w:r w:rsidRPr="004774AC">
        <w:t>d</w:t>
      </w:r>
      <w:r w:rsidR="00E1430D" w:rsidRPr="004774AC">
        <w:t xml:space="preserve">ipendente </w:t>
      </w:r>
      <w:r w:rsidRPr="004774AC">
        <w:t>con</w:t>
      </w:r>
      <w:r w:rsidR="00FB7582" w:rsidRPr="004774AC">
        <w:t xml:space="preserve"> qualifica di </w:t>
      </w:r>
      <w:r w:rsidR="00724A1D" w:rsidRPr="004774AC">
        <w:t>equiparato/intermedio</w:t>
      </w:r>
      <w:r w:rsidRPr="004774AC">
        <w:t xml:space="preserve"> </w:t>
      </w:r>
      <w:r w:rsidR="00724A1D" w:rsidRPr="004774AC">
        <w:t xml:space="preserve">(codice </w:t>
      </w:r>
      <w:r w:rsidR="00724A1D" w:rsidRPr="004774AC">
        <w:rPr>
          <w:b/>
        </w:rPr>
        <w:t>7</w:t>
      </w:r>
      <w:r w:rsidR="00724A1D" w:rsidRPr="004774AC">
        <w:t xml:space="preserve"> al campo </w:t>
      </w:r>
      <w:r w:rsidRPr="004774AC">
        <w:t>“</w:t>
      </w:r>
      <w:r w:rsidRPr="004774AC">
        <w:rPr>
          <w:i/>
        </w:rPr>
        <w:t>Q</w:t>
      </w:r>
      <w:r w:rsidR="00E1430D" w:rsidRPr="004774AC">
        <w:rPr>
          <w:i/>
        </w:rPr>
        <w:t xml:space="preserve">ualifica INPS </w:t>
      </w:r>
      <w:r w:rsidRPr="004774AC">
        <w:rPr>
          <w:i/>
        </w:rPr>
        <w:t xml:space="preserve">– </w:t>
      </w:r>
      <w:r w:rsidR="00E1430D" w:rsidRPr="004774AC">
        <w:rPr>
          <w:i/>
        </w:rPr>
        <w:t>1</w:t>
      </w:r>
      <w:r w:rsidRPr="004774AC">
        <w:t xml:space="preserve">” </w:t>
      </w:r>
      <w:r w:rsidR="00724A1D" w:rsidRPr="004774AC">
        <w:t xml:space="preserve">&gt; </w:t>
      </w:r>
      <w:r w:rsidRPr="004774AC">
        <w:t>scheda “</w:t>
      </w:r>
      <w:r w:rsidRPr="004774AC">
        <w:rPr>
          <w:i/>
        </w:rPr>
        <w:t>Dati generali</w:t>
      </w:r>
      <w:r w:rsidRPr="004774AC">
        <w:t xml:space="preserve">” di </w:t>
      </w:r>
      <w:r w:rsidRPr="004774AC">
        <w:rPr>
          <w:b/>
        </w:rPr>
        <w:t>DIPE</w:t>
      </w:r>
      <w:r w:rsidRPr="004774AC">
        <w:t>);</w:t>
      </w:r>
    </w:p>
    <w:p w:rsidR="003D7FDC" w:rsidRPr="004774AC" w:rsidRDefault="00E1430D" w:rsidP="00E1430D">
      <w:pPr>
        <w:pStyle w:val="CorpoAltF0"/>
        <w:numPr>
          <w:ilvl w:val="0"/>
          <w:numId w:val="24"/>
        </w:numPr>
        <w:spacing w:before="60"/>
        <w:ind w:left="284" w:hanging="284"/>
      </w:pPr>
      <w:r w:rsidRPr="004774AC">
        <w:t>superamento del mas</w:t>
      </w:r>
      <w:r w:rsidR="00D83987" w:rsidRPr="004774AC">
        <w:t>simale contributivo IVS</w:t>
      </w:r>
      <w:r w:rsidR="00F24AE4" w:rsidRPr="004774AC">
        <w:t>.</w:t>
      </w:r>
    </w:p>
    <w:p w:rsidR="00935A29" w:rsidRPr="004774AC" w:rsidRDefault="00935A29">
      <w:pPr>
        <w:pStyle w:val="CorpoAltF0"/>
      </w:pPr>
    </w:p>
    <w:p w:rsidR="00935A29" w:rsidRPr="004774AC" w:rsidRDefault="00F24AE4">
      <w:pPr>
        <w:pStyle w:val="CorpoAltF0"/>
      </w:pPr>
      <w:r w:rsidRPr="004774AC">
        <w:rPr>
          <w:b/>
        </w:rPr>
        <w:t>Anomalia</w:t>
      </w:r>
    </w:p>
    <w:p w:rsidR="003D7FDC" w:rsidRPr="004774AC" w:rsidRDefault="00F24AE4" w:rsidP="00F24AE4">
      <w:pPr>
        <w:pStyle w:val="CorpoAltF0"/>
        <w:spacing w:before="60"/>
      </w:pPr>
      <w:r w:rsidRPr="004774AC">
        <w:t>Il programma all’interno della sezione “</w:t>
      </w:r>
      <w:r w:rsidRPr="004774AC">
        <w:rPr>
          <w:i/>
        </w:rPr>
        <w:t>Eccedenza massimale</w:t>
      </w:r>
      <w:r w:rsidRPr="004774AC">
        <w:t>” (scheda “</w:t>
      </w:r>
      <w:r w:rsidRPr="004774AC">
        <w:rPr>
          <w:i/>
        </w:rPr>
        <w:t>Retribuzioni</w:t>
      </w:r>
      <w:r w:rsidRPr="004774AC">
        <w:t>” &gt; pulsante “</w:t>
      </w:r>
      <w:r w:rsidRPr="004774AC">
        <w:rPr>
          <w:i/>
        </w:rPr>
        <w:t>Funzioni</w:t>
      </w:r>
      <w:r w:rsidRPr="004774AC">
        <w:t>” &gt; “</w:t>
      </w:r>
      <w:proofErr w:type="spellStart"/>
      <w:r w:rsidRPr="004774AC">
        <w:rPr>
          <w:i/>
        </w:rPr>
        <w:t>Retr</w:t>
      </w:r>
      <w:proofErr w:type="spellEnd"/>
      <w:r w:rsidRPr="004774AC">
        <w:rPr>
          <w:i/>
        </w:rPr>
        <w:t>. particolari</w:t>
      </w:r>
      <w:r w:rsidRPr="004774AC">
        <w:t>” della “</w:t>
      </w:r>
      <w:r w:rsidRPr="004774AC">
        <w:rPr>
          <w:i/>
        </w:rPr>
        <w:t>Gestione denuncia individuale EMENS</w:t>
      </w:r>
      <w:r w:rsidRPr="004774AC">
        <w:t>”)</w:t>
      </w:r>
      <w:r w:rsidR="00361D8D" w:rsidRPr="004774AC">
        <w:t xml:space="preserve"> non indicava l’imponibile e </w:t>
      </w:r>
      <w:r w:rsidR="00DC44F5" w:rsidRPr="004774AC">
        <w:t>il</w:t>
      </w:r>
      <w:r w:rsidR="004A1538" w:rsidRPr="004774AC">
        <w:t xml:space="preserve"> </w:t>
      </w:r>
      <w:r w:rsidR="00361D8D" w:rsidRPr="004774AC">
        <w:t>contributo</w:t>
      </w:r>
      <w:r w:rsidR="004A1538" w:rsidRPr="004774AC">
        <w:t xml:space="preserve"> </w:t>
      </w:r>
      <w:r w:rsidR="000C3114" w:rsidRPr="004774AC">
        <w:t>relativo al</w:t>
      </w:r>
      <w:r w:rsidR="00B5357D" w:rsidRPr="004774AC">
        <w:t>l’</w:t>
      </w:r>
      <w:r w:rsidR="00361D8D" w:rsidRPr="004774AC">
        <w:t>eccedenza del massimale contributivo IVS.</w:t>
      </w:r>
      <w:bookmarkStart w:id="7" w:name="_GoBack"/>
      <w:bookmarkEnd w:id="7"/>
    </w:p>
    <w:p w:rsidR="003D7FDC" w:rsidRPr="004774AC" w:rsidRDefault="003D7FDC">
      <w:pPr>
        <w:pStyle w:val="CorpoAltF0"/>
      </w:pPr>
    </w:p>
    <w:p w:rsidR="003A35C4" w:rsidRPr="004774AC" w:rsidRDefault="00DA0585">
      <w:pPr>
        <w:pStyle w:val="TS-titolo-04"/>
      </w:pPr>
      <w:bookmarkStart w:id="8" w:name="_Toc495994888"/>
      <w:r w:rsidRPr="004774AC">
        <w:t>EME301 – Generazione dati &lt;</w:t>
      </w:r>
      <w:proofErr w:type="spellStart"/>
      <w:r w:rsidRPr="004774AC">
        <w:rPr>
          <w:i/>
        </w:rPr>
        <w:t>ListaPosPA</w:t>
      </w:r>
      <w:proofErr w:type="spellEnd"/>
      <w:r w:rsidRPr="004774AC">
        <w:t>&gt;</w:t>
      </w:r>
      <w:bookmarkEnd w:id="8"/>
      <w:r w:rsidRPr="004774AC">
        <w:t xml:space="preserve"> </w:t>
      </w:r>
    </w:p>
    <w:p w:rsidR="003A35C4" w:rsidRPr="004774AC" w:rsidRDefault="00DA0585">
      <w:pPr>
        <w:pStyle w:val="corpoAltF"/>
        <w:spacing w:before="120"/>
      </w:pPr>
      <w:r w:rsidRPr="004774AC">
        <w:t>Il programma di generazi</w:t>
      </w:r>
      <w:r w:rsidR="00E235FB">
        <w:t>one del telematico non valorizzava</w:t>
      </w:r>
      <w:r w:rsidRPr="004774AC">
        <w:t xml:space="preserve"> correttamente l’elemento &lt;</w:t>
      </w:r>
      <w:proofErr w:type="spellStart"/>
      <w:r w:rsidRPr="004774AC">
        <w:rPr>
          <w:i/>
        </w:rPr>
        <w:t>CodMotivoUtilizzo</w:t>
      </w:r>
      <w:proofErr w:type="spellEnd"/>
      <w:r w:rsidRPr="004774AC">
        <w:t>&gt; di &lt;</w:t>
      </w:r>
      <w:r w:rsidRPr="004774AC">
        <w:rPr>
          <w:i/>
        </w:rPr>
        <w:t>V1_PeriodoPrecedente</w:t>
      </w:r>
      <w:r w:rsidRPr="004774AC">
        <w:t>&gt;, in caso di compilazione del</w:t>
      </w:r>
      <w:r w:rsidR="00E235FB">
        <w:t xml:space="preserve"> corrispondente campo</w:t>
      </w:r>
      <w:r w:rsidRPr="004774AC">
        <w:t xml:space="preserve"> della gestione </w:t>
      </w:r>
      <w:r w:rsidRPr="004774AC">
        <w:rPr>
          <w:b/>
        </w:rPr>
        <w:t>DMA</w:t>
      </w:r>
      <w:r w:rsidRPr="004774AC">
        <w:t xml:space="preserve"> </w:t>
      </w:r>
      <w:r w:rsidR="00E235FB">
        <w:t>(“</w:t>
      </w:r>
      <w:r w:rsidR="00E235FB" w:rsidRPr="00E235FB">
        <w:rPr>
          <w:i/>
        </w:rPr>
        <w:t>Codice utilizzo</w:t>
      </w:r>
      <w:r w:rsidR="00E235FB">
        <w:t>”), in “</w:t>
      </w:r>
      <w:r w:rsidR="00E235FB" w:rsidRPr="00E235FB">
        <w:rPr>
          <w:i/>
        </w:rPr>
        <w:t>V1 – Retribuzioni periodi pregressi</w:t>
      </w:r>
      <w:r w:rsidR="00E235FB">
        <w:t>” &gt; “</w:t>
      </w:r>
      <w:r w:rsidR="00E235FB" w:rsidRPr="00E235FB">
        <w:rPr>
          <w:i/>
        </w:rPr>
        <w:t>Inquadramento</w:t>
      </w:r>
      <w:r w:rsidR="00E235FB">
        <w:t>”, con i codici “10” / “11”.</w:t>
      </w:r>
    </w:p>
    <w:p w:rsidR="003A35C4" w:rsidRPr="004774AC" w:rsidRDefault="003A35C4">
      <w:pPr>
        <w:pStyle w:val="CorpoAltF0"/>
      </w:pPr>
    </w:p>
    <w:p w:rsidR="003A35C4" w:rsidRPr="004774AC" w:rsidRDefault="00DA0585">
      <w:pPr>
        <w:pStyle w:val="TS-titolo-04"/>
      </w:pPr>
      <w:bookmarkStart w:id="9" w:name="_Toc495994889"/>
      <w:r w:rsidRPr="004774AC">
        <w:t>EME401 – Stampa analitica</w:t>
      </w:r>
      <w:bookmarkEnd w:id="9"/>
      <w:r w:rsidRPr="004774AC">
        <w:t xml:space="preserve"> </w:t>
      </w:r>
    </w:p>
    <w:p w:rsidR="003A35C4" w:rsidRDefault="00DA0585">
      <w:pPr>
        <w:pStyle w:val="corpoAltF"/>
        <w:spacing w:before="120"/>
      </w:pPr>
      <w:r w:rsidRPr="004774AC">
        <w:t>In presenza di congedo parentale ad ore il programma non esponeva al campo “</w:t>
      </w:r>
      <w:r w:rsidRPr="004774AC">
        <w:rPr>
          <w:i/>
        </w:rPr>
        <w:t>Identificativo evento</w:t>
      </w:r>
      <w:r w:rsidRPr="004774AC">
        <w:t>” il codice fiscale del figlio per il quale si usufruisce dell’astensione.</w:t>
      </w:r>
    </w:p>
    <w:p w:rsidR="00251F7F" w:rsidRDefault="00251F7F">
      <w:pPr>
        <w:pStyle w:val="corpoAltF"/>
      </w:pPr>
    </w:p>
    <w:p w:rsidR="003A35C4" w:rsidRDefault="00DA0585">
      <w:pPr>
        <w:pStyle w:val="WWTipoDocumento"/>
        <w:rPr>
          <w:sz w:val="20"/>
          <w:szCs w:val="20"/>
        </w:rPr>
      </w:pPr>
      <w:r>
        <w:t>----------------------------------</w:t>
      </w:r>
    </w:p>
    <w:p w:rsidR="003A35C4" w:rsidRDefault="003A35C4">
      <w:pPr>
        <w:pStyle w:val="CorpoAltF0"/>
      </w:pPr>
    </w:p>
    <w:sectPr w:rsidR="003A35C4"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5C4" w:rsidRDefault="00DA0585">
      <w:r>
        <w:separator/>
      </w:r>
    </w:p>
  </w:endnote>
  <w:endnote w:type="continuationSeparator" w:id="0">
    <w:p w:rsidR="003A35C4" w:rsidRDefault="00D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C4" w:rsidRDefault="00DA0585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3A35C4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3A35C4" w:rsidRDefault="003A35C4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3A35C4" w:rsidRDefault="00DA0585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3A35C4" w:rsidRDefault="0066458A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2017.2.0</w:t>
          </w:r>
        </w:p>
      </w:tc>
      <w:tc>
        <w:tcPr>
          <w:tcW w:w="1701" w:type="dxa"/>
        </w:tcPr>
        <w:p w:rsidR="003A35C4" w:rsidRDefault="00DA0585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E2C6C"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3A35C4" w:rsidRDefault="003A35C4"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C4" w:rsidRDefault="003A35C4">
    <w:pPr>
      <w:pStyle w:val="CorpoAltF0"/>
      <w:jc w:val="right"/>
      <w:rPr>
        <w:noProof/>
      </w:rPr>
    </w:pPr>
  </w:p>
  <w:p w:rsidR="003A35C4" w:rsidRDefault="00DA0585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3A35C4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3A35C4" w:rsidRDefault="00DA0585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3A35C4" w:rsidRDefault="00DA0585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3A35C4" w:rsidRDefault="00DA0585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</w:t>
          </w:r>
          <w:r w:rsidR="0066458A">
            <w:rPr>
              <w:rFonts w:ascii="Arial" w:hAnsi="Arial" w:cs="Arial"/>
              <w:i/>
              <w:sz w:val="20"/>
              <w:szCs w:val="20"/>
            </w:rPr>
            <w:t>2.0</w:t>
          </w:r>
        </w:p>
      </w:tc>
      <w:tc>
        <w:tcPr>
          <w:tcW w:w="1701" w:type="dxa"/>
        </w:tcPr>
        <w:p w:rsidR="003A35C4" w:rsidRDefault="00DA0585"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E2C6C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 w:rsidR="003A35C4" w:rsidRDefault="00FE2C6C"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>
              <v:roundrect id="AutoShape 1" o:spid="_x0000_s5121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style="mso-next-textbox:#AutoShape 1" inset=",.3mm,,.3mm">
                  <w:txbxContent>
                    <w:p w:rsidR="003A35C4" w:rsidRDefault="00FE2C6C"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 w:rsidR="00DA0585"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 w:rsidR="003A35C4" w:rsidRDefault="003A35C4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5C4" w:rsidRDefault="00DA0585">
      <w:r>
        <w:separator/>
      </w:r>
    </w:p>
  </w:footnote>
  <w:footnote w:type="continuationSeparator" w:id="0">
    <w:p w:rsidR="003A35C4" w:rsidRDefault="00DA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3A35C4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A35C4" w:rsidRDefault="00DA0585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7" name="Immagine 7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A35C4" w:rsidRDefault="00DA0585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A35C4" w:rsidRDefault="003A35C4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3A35C4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A35C4" w:rsidRDefault="003A35C4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3A35C4" w:rsidRDefault="00DA0585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3A35C4" w:rsidRDefault="003A35C4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3A35C4" w:rsidRDefault="003A35C4"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3A35C4">
      <w:trPr>
        <w:trHeight w:hRule="exact" w:val="567"/>
      </w:trPr>
      <w:tc>
        <w:tcPr>
          <w:tcW w:w="9639" w:type="dxa"/>
        </w:tcPr>
        <w:p w:rsidR="003A35C4" w:rsidRDefault="00DA0585"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EMENS – ANOMALIE CORRETTE</w:t>
          </w:r>
        </w:p>
      </w:tc>
    </w:tr>
  </w:tbl>
  <w:p w:rsidR="003A35C4" w:rsidRDefault="003A35C4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17D"/>
    <w:multiLevelType w:val="hybridMultilevel"/>
    <w:tmpl w:val="27CAEA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F57E6"/>
    <w:multiLevelType w:val="hybridMultilevel"/>
    <w:tmpl w:val="C8BC70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1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5639F"/>
    <w:multiLevelType w:val="hybridMultilevel"/>
    <w:tmpl w:val="78CCB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90E2F"/>
    <w:multiLevelType w:val="hybridMultilevel"/>
    <w:tmpl w:val="A6AA60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B3922"/>
    <w:multiLevelType w:val="hybridMultilevel"/>
    <w:tmpl w:val="F4841B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768BA"/>
    <w:multiLevelType w:val="hybridMultilevel"/>
    <w:tmpl w:val="D336654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0"/>
  </w:num>
  <w:num w:numId="5">
    <w:abstractNumId w:val="6"/>
  </w:num>
  <w:num w:numId="6">
    <w:abstractNumId w:val="16"/>
  </w:num>
  <w:num w:numId="7">
    <w:abstractNumId w:val="8"/>
  </w:num>
  <w:num w:numId="8">
    <w:abstractNumId w:val="10"/>
  </w:num>
  <w:num w:numId="9">
    <w:abstractNumId w:val="15"/>
  </w:num>
  <w:num w:numId="10">
    <w:abstractNumId w:val="7"/>
  </w:num>
  <w:num w:numId="11">
    <w:abstractNumId w:val="11"/>
  </w:num>
  <w:num w:numId="12">
    <w:abstractNumId w:val="9"/>
  </w:num>
  <w:num w:numId="13">
    <w:abstractNumId w:val="22"/>
  </w:num>
  <w:num w:numId="14">
    <w:abstractNumId w:val="2"/>
  </w:num>
  <w:num w:numId="15">
    <w:abstractNumId w:val="18"/>
  </w:num>
  <w:num w:numId="16">
    <w:abstractNumId w:val="19"/>
  </w:num>
  <w:num w:numId="17">
    <w:abstractNumId w:val="14"/>
  </w:num>
  <w:num w:numId="18">
    <w:abstractNumId w:val="24"/>
  </w:num>
  <w:num w:numId="19">
    <w:abstractNumId w:val="12"/>
  </w:num>
  <w:num w:numId="20">
    <w:abstractNumId w:val="23"/>
  </w:num>
  <w:num w:numId="21">
    <w:abstractNumId w:val="17"/>
  </w:num>
  <w:num w:numId="22">
    <w:abstractNumId w:val="13"/>
  </w:num>
  <w:num w:numId="23">
    <w:abstractNumId w:val="21"/>
  </w:num>
  <w:num w:numId="24">
    <w:abstractNumId w:val="0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5123" fill="f" fillcolor="white" strokecolor="red">
      <v:fill color="white" on="f"/>
      <v:stroke color="red" weight="1.25pt"/>
      <o:colormenu v:ext="edit" strokecolor="none [2404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5C4"/>
    <w:rsid w:val="00014E05"/>
    <w:rsid w:val="000C130A"/>
    <w:rsid w:val="000C3114"/>
    <w:rsid w:val="00251F7F"/>
    <w:rsid w:val="002B13C9"/>
    <w:rsid w:val="002D6FA6"/>
    <w:rsid w:val="00335E61"/>
    <w:rsid w:val="00361D8D"/>
    <w:rsid w:val="003A35C4"/>
    <w:rsid w:val="003D7FDC"/>
    <w:rsid w:val="004774AC"/>
    <w:rsid w:val="004A1538"/>
    <w:rsid w:val="0066458A"/>
    <w:rsid w:val="00724A1D"/>
    <w:rsid w:val="00765E01"/>
    <w:rsid w:val="007B10D6"/>
    <w:rsid w:val="008A117E"/>
    <w:rsid w:val="008D3A07"/>
    <w:rsid w:val="00935A29"/>
    <w:rsid w:val="009E44CA"/>
    <w:rsid w:val="00B5357D"/>
    <w:rsid w:val="00CA6B39"/>
    <w:rsid w:val="00D11804"/>
    <w:rsid w:val="00D83987"/>
    <w:rsid w:val="00DA0585"/>
    <w:rsid w:val="00DC44F5"/>
    <w:rsid w:val="00E1430D"/>
    <w:rsid w:val="00E235D3"/>
    <w:rsid w:val="00E235FB"/>
    <w:rsid w:val="00E36686"/>
    <w:rsid w:val="00E64125"/>
    <w:rsid w:val="00EE3F1B"/>
    <w:rsid w:val="00F24AE4"/>
    <w:rsid w:val="00FB7582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 fill="f" fillcolor="white" strokecolor="red">
      <v:fill color="white" on="f"/>
      <v:stroke color="red" weight="1.25pt"/>
      <o:colormenu v:ext="edit" strokecolor="none [2404]"/>
    </o:shapedefaults>
    <o:shapelayout v:ext="edit">
      <o:idmap v:ext="edit" data="1"/>
    </o:shapelayout>
  </w:shapeDefaults>
  <w:decimalSymbol w:val=","/>
  <w:listSeparator w:val=";"/>
  <w14:docId w14:val="1FD67426"/>
  <w15:docId w15:val="{A7005579-2D43-4869-AB8A-F21D55B3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3482-929C-4CE4-9C8E-8DBABCD1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1005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3268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Giulia Mancini</cp:lastModifiedBy>
  <cp:revision>285</cp:revision>
  <cp:lastPrinted>2017-10-17T07:12:00Z</cp:lastPrinted>
  <dcterms:created xsi:type="dcterms:W3CDTF">2016-01-18T18:01:00Z</dcterms:created>
  <dcterms:modified xsi:type="dcterms:W3CDTF">2017-10-17T07:13:00Z</dcterms:modified>
</cp:coreProperties>
</file>