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2017.2.2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GECOM EMENS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2017.2.2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31.10.2017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.2.2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.2.0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.4.0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.2.1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</w:pPr>
            <w:r>
              <w:rPr>
                <w:b/>
                <w:sz w:val="22"/>
                <w:szCs w:val="22"/>
              </w:rPr>
              <w:t>Con il presente aggiornamento la procedura viene allineata alla versione PAGHE 2017.2.2 con riferimento alle modifiche che riguarda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no i lavoratori dello spettacolo e sportivi professionisti.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ind w:left="454" w:right="170"/>
            </w:pPr>
            <w:r>
              <w:t>È stata corretta la seguente anomalia.</w:t>
            </w:r>
          </w:p>
          <w:p>
            <w:pPr>
              <w:pStyle w:val="corpoAltF"/>
              <w:numPr>
                <w:ilvl w:val="0"/>
                <w:numId w:val="37"/>
              </w:numPr>
              <w:spacing w:before="60"/>
              <w:ind w:right="170"/>
              <w:rPr>
                <w:b/>
                <w:u w:val="single"/>
              </w:rPr>
            </w:pPr>
            <w:r>
              <w:rPr>
                <w:b/>
                <w:u w:val="single"/>
              </w:rPr>
              <w:t>EME202 – Prelievo dati denuncia</w:t>
            </w:r>
          </w:p>
          <w:p>
            <w:pPr>
              <w:pStyle w:val="corpoAltF"/>
              <w:ind w:left="816" w:right="170"/>
            </w:pPr>
            <w:r>
              <w:t>Il programma non considerava le eventuali personalizzazioni create per i giustificativi degli eventi in tabella “</w:t>
            </w:r>
            <w:r>
              <w:rPr>
                <w:i/>
              </w:rPr>
              <w:t>Dati presenze</w:t>
            </w:r>
            <w:r>
              <w:t>” (</w:t>
            </w:r>
            <w:r>
              <w:rPr>
                <w:b/>
              </w:rPr>
              <w:t>TB1102</w:t>
            </w:r>
            <w:r>
              <w:t xml:space="preserve">) della procedura </w:t>
            </w:r>
            <w:r>
              <w:rPr>
                <w:b/>
              </w:rPr>
              <w:t>PAGHE</w:t>
            </w:r>
            <w:r>
              <w:t>.</w:t>
            </w:r>
          </w:p>
          <w:p>
            <w:pPr>
              <w:pStyle w:val="corpoAltF"/>
              <w:ind w:left="816" w:right="170"/>
            </w:pPr>
          </w:p>
          <w:p>
            <w:pPr>
              <w:pStyle w:val="corpoAltF"/>
              <w:ind w:left="816" w:right="170"/>
            </w:pPr>
          </w:p>
        </w:tc>
      </w:tr>
    </w:tbl>
    <w:p>
      <w:pPr>
        <w:pStyle w:val="CorpoAltF0"/>
      </w:pPr>
      <w:bookmarkStart w:id="1" w:name="_Toc33011301"/>
      <w:r>
        <w:br w:type="page"/>
      </w:r>
      <w:bookmarkEnd w:id="1"/>
    </w:p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>
      <w:pPr>
        <w:pStyle w:val="Ignora"/>
        <w:rPr>
          <w:sz w:val="10"/>
          <w:szCs w:val="10"/>
          <w:lang w:val="en-GB"/>
        </w:rPr>
      </w:pPr>
    </w:p>
    <w:p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33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>
      <w:pPr>
        <w:pStyle w:val="CorpoAltF0"/>
        <w:rPr>
          <w:sz w:val="10"/>
          <w:szCs w:val="10"/>
        </w:rPr>
      </w:pPr>
    </w:p>
    <w:p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>In alternativa a TeamLinux si suggerisce l’utilizzo dei seguenti sistemi operativi:</w:t>
      </w:r>
    </w:p>
    <w:p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>
        <w:rPr>
          <w:rFonts w:ascii="LFT Etica Lt" w:hAnsi="LFT Etica Lt"/>
          <w:b/>
          <w:sz w:val="18"/>
          <w:szCs w:val="18"/>
        </w:rPr>
        <w:t>Ubuntu 16.04 LTS 64 bit</w:t>
      </w:r>
    </w:p>
    <w:p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CentOS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7.3 64 bit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Gecom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TeamPortal ultima versione rilasciata</w:t>
      </w:r>
    </w:p>
    <w:p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 xml:space="preserve">Sysint/W 20140100 </w:t>
      </w:r>
    </w:p>
    <w:p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SysIntGateway ultima versione rilasciata</w:t>
      </w:r>
    </w:p>
    <w:p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Runtime Cobol 812-20160100</w:t>
      </w:r>
    </w:p>
    <w:p>
      <w:pPr>
        <w:pStyle w:val="Ignora"/>
        <w:rPr>
          <w:sz w:val="10"/>
          <w:szCs w:val="10"/>
        </w:rPr>
      </w:pPr>
    </w:p>
    <w:p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AcuXDBC </w:t>
      </w: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</w:p>
    <w:sectPr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2017.2.2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4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0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161"/>
    <w:multiLevelType w:val="hybridMultilevel"/>
    <w:tmpl w:val="ABEE5832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AC144C2"/>
    <w:multiLevelType w:val="hybridMultilevel"/>
    <w:tmpl w:val="4E22C1C0"/>
    <w:lvl w:ilvl="0" w:tplc="5A5CF5DA">
      <w:start w:val="20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07B63"/>
    <w:multiLevelType w:val="hybridMultilevel"/>
    <w:tmpl w:val="B948AEDC"/>
    <w:lvl w:ilvl="0" w:tplc="20A26936">
      <w:start w:val="20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5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41052"/>
    <w:multiLevelType w:val="hybridMultilevel"/>
    <w:tmpl w:val="BB926B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6" w15:restartNumberingAfterBreak="0">
    <w:nsid w:val="5CDA6D84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E3CE8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1"/>
  </w:num>
  <w:num w:numId="5">
    <w:abstractNumId w:val="9"/>
  </w:num>
  <w:num w:numId="6">
    <w:abstractNumId w:val="22"/>
  </w:num>
  <w:num w:numId="7">
    <w:abstractNumId w:val="11"/>
  </w:num>
  <w:num w:numId="8">
    <w:abstractNumId w:val="14"/>
  </w:num>
  <w:num w:numId="9">
    <w:abstractNumId w:val="21"/>
  </w:num>
  <w:num w:numId="10">
    <w:abstractNumId w:val="10"/>
  </w:num>
  <w:num w:numId="11">
    <w:abstractNumId w:val="15"/>
  </w:num>
  <w:num w:numId="12">
    <w:abstractNumId w:val="13"/>
  </w:num>
  <w:num w:numId="13">
    <w:abstractNumId w:val="32"/>
  </w:num>
  <w:num w:numId="14">
    <w:abstractNumId w:val="3"/>
  </w:num>
  <w:num w:numId="15">
    <w:abstractNumId w:val="29"/>
  </w:num>
  <w:num w:numId="16">
    <w:abstractNumId w:val="30"/>
  </w:num>
  <w:num w:numId="17">
    <w:abstractNumId w:val="19"/>
  </w:num>
  <w:num w:numId="18">
    <w:abstractNumId w:val="35"/>
  </w:num>
  <w:num w:numId="19">
    <w:abstractNumId w:val="16"/>
  </w:num>
  <w:num w:numId="20">
    <w:abstractNumId w:val="24"/>
  </w:num>
  <w:num w:numId="21">
    <w:abstractNumId w:val="18"/>
  </w:num>
  <w:num w:numId="22">
    <w:abstractNumId w:val="34"/>
  </w:num>
  <w:num w:numId="23">
    <w:abstractNumId w:val="7"/>
  </w:num>
  <w:num w:numId="24">
    <w:abstractNumId w:val="12"/>
  </w:num>
  <w:num w:numId="25">
    <w:abstractNumId w:val="27"/>
  </w:num>
  <w:num w:numId="26">
    <w:abstractNumId w:va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</w:num>
  <w:num w:numId="29">
    <w:abstractNumId w:val="0"/>
  </w:num>
  <w:num w:numId="30">
    <w:abstractNumId w:val="1"/>
  </w:num>
  <w:num w:numId="31">
    <w:abstractNumId w:val="26"/>
  </w:num>
  <w:num w:numId="32">
    <w:abstractNumId w:val="23"/>
  </w:num>
  <w:num w:numId="33">
    <w:abstractNumId w:val="17"/>
  </w:num>
  <w:num w:numId="34">
    <w:abstractNumId w:val="28"/>
  </w:num>
  <w:num w:numId="35">
    <w:abstractNumId w:val="25"/>
  </w:num>
  <w:num w:numId="36">
    <w:abstractNumId w:val="33"/>
  </w:num>
  <w:num w:numId="3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9148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7497774E-B564-40B1-B974-7F14158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5D25-7799-4F92-A028-566DC3B1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PAGHE.dot</Template>
  <TotalTime>706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Luca Moricoli</cp:lastModifiedBy>
  <cp:revision>157</cp:revision>
  <cp:lastPrinted>2017-07-26T08:28:00Z</cp:lastPrinted>
  <dcterms:created xsi:type="dcterms:W3CDTF">2016-01-20T10:44:00Z</dcterms:created>
  <dcterms:modified xsi:type="dcterms:W3CDTF">2017-10-31T13:38:00Z</dcterms:modified>
</cp:coreProperties>
</file>