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2017.0.0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GECOM PAGENTRY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2017.0.0 (Versione completa)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31.05.2017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2017.1.0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Export su griglie</w:t>
            </w:r>
          </w:p>
          <w:p>
            <w:pPr>
              <w:pStyle w:val="corpoAltF"/>
              <w:ind w:left="454" w:right="170"/>
            </w:pPr>
            <w:r>
              <w:t>Implementato il programma per consentire di effettuare l’export delle griglie presenti nella procedura, direttamente all’interno della gestione.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ind w:left="454" w:right="170"/>
            </w:pPr>
            <w:r>
              <w:t>Correzione anomalie varie.</w:t>
            </w:r>
          </w:p>
          <w:p>
            <w:pPr>
              <w:pStyle w:val="corpoAltF"/>
              <w:ind w:left="454" w:right="170"/>
            </w:pPr>
          </w:p>
          <w:p>
            <w:pPr>
              <w:pStyle w:val="corpoAltF"/>
              <w:ind w:left="454" w:right="170"/>
            </w:pPr>
          </w:p>
        </w:tc>
      </w:tr>
    </w:tbl>
    <w:p>
      <w:pPr>
        <w:pStyle w:val="CorpoAltF0"/>
      </w:pPr>
    </w:p>
    <w:p>
      <w:pPr>
        <w:pStyle w:val="CorpoAltF0"/>
        <w:jc w:val="left"/>
      </w:pPr>
      <w:bookmarkStart w:id="0" w:name="_Toc33011301"/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Avvertenze / Operazioni manuali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0"/>
            </w:pPr>
          </w:p>
          <w:p>
            <w:pPr>
              <w:pStyle w:val="corpoAltF"/>
              <w:numPr>
                <w:ilvl w:val="0"/>
                <w:numId w:val="19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partire dalla presente versione il funzionamento dell’applicativo PAGENTRY sarà subordinato alla presenza della licenza d’uso relativa all’anno 2017.</w:t>
            </w:r>
          </w:p>
          <w:p>
            <w:pPr>
              <w:pStyle w:val="corpoAltF"/>
              <w:spacing w:before="120"/>
              <w:ind w:left="454"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ricorda che nelle installazioni su server separati, ai fini della convalida della licenza è necessaria la presenza del software di base SysintGateway.</w:t>
            </w:r>
          </w:p>
          <w:p>
            <w:pPr>
              <w:pStyle w:val="CorpoAltF0"/>
            </w:pPr>
          </w:p>
          <w:p>
            <w:pPr>
              <w:jc w:val="both"/>
              <w:textAlignment w:val="baseline"/>
            </w:pPr>
          </w:p>
        </w:tc>
      </w:tr>
    </w:tbl>
    <w:p>
      <w:pPr>
        <w:pStyle w:val="CorpoAltF0"/>
      </w:pPr>
      <w:r>
        <w:br w:type="page"/>
      </w:r>
    </w:p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  <w:bookmarkEnd w:id="0"/>
    </w:tbl>
    <w:p>
      <w:pPr>
        <w:pStyle w:val="CorpoAltF0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835"/>
        <w:gridCol w:w="6804"/>
      </w:tblGrid>
      <w:tr>
        <w:trPr>
          <w:trHeight w:val="205"/>
        </w:trPr>
        <w:tc>
          <w:tcPr>
            <w:tcW w:w="9639" w:type="dxa"/>
            <w:gridSpan w:val="2"/>
            <w:shd w:val="clear" w:color="auto" w:fill="DBDBDB"/>
          </w:tcPr>
          <w:p>
            <w:pPr>
              <w:pStyle w:val="CorpoAltF0"/>
              <w:rPr>
                <w:b/>
              </w:rPr>
            </w:pPr>
            <w:r>
              <w:rPr>
                <w:b/>
              </w:rPr>
              <w:t>Tabella riepilogativa Sistemi Operativi supportati al 29/02/2016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83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Sistema Operativo</w:t>
            </w:r>
          </w:p>
        </w:tc>
        <w:tc>
          <w:tcPr>
            <w:tcW w:w="680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4"/>
        </w:trPr>
        <w:tc>
          <w:tcPr>
            <w:tcW w:w="28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Windows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4"/>
                <w:szCs w:val="16"/>
              </w:rPr>
              <w:t>(1)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XP Professional SP3 </w:t>
            </w:r>
            <w:r>
              <w:rPr>
                <w:rFonts w:cs="Arial"/>
                <w:i/>
                <w:sz w:val="14"/>
                <w:szCs w:val="16"/>
                <w:lang w:val="en-US"/>
              </w:rPr>
              <w:t>(2)</w:t>
            </w:r>
          </w:p>
          <w:p>
            <w:pPr>
              <w:pStyle w:val="CorpoAltF0"/>
              <w:ind w:left="142"/>
              <w:rPr>
                <w:rFonts w:cs="Arial"/>
                <w:i/>
                <w:sz w:val="14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2003 Server SP2 </w:t>
            </w:r>
            <w:r>
              <w:rPr>
                <w:rFonts w:cs="Arial"/>
                <w:i/>
                <w:sz w:val="14"/>
                <w:szCs w:val="16"/>
                <w:lang w:val="en-US"/>
              </w:rPr>
              <w:t>(3)</w:t>
            </w:r>
          </w:p>
          <w:p>
            <w:pPr>
              <w:pStyle w:val="CorpoAltF0"/>
              <w:ind w:left="142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SBS 2003 Server SP2 </w:t>
            </w:r>
            <w:r>
              <w:rPr>
                <w:rFonts w:cs="Arial"/>
                <w:i/>
                <w:sz w:val="14"/>
                <w:szCs w:val="16"/>
                <w:lang w:val="en-US"/>
              </w:rPr>
              <w:t>(3)</w:t>
            </w:r>
          </w:p>
          <w:p>
            <w:pPr>
              <w:pStyle w:val="CorpoAltF0"/>
              <w:ind w:left="142"/>
              <w:rPr>
                <w:rFonts w:cs="Arial"/>
                <w:i/>
                <w:sz w:val="14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2008 Server SP2 </w:t>
            </w:r>
            <w:r>
              <w:rPr>
                <w:rFonts w:cs="Arial"/>
                <w:i/>
                <w:sz w:val="14"/>
                <w:szCs w:val="16"/>
                <w:lang w:val="en-US"/>
              </w:rPr>
              <w:t>(4)</w:t>
            </w:r>
          </w:p>
          <w:p>
            <w:pPr>
              <w:pStyle w:val="CorpoAltF0"/>
              <w:ind w:left="142"/>
              <w:rPr>
                <w:rFonts w:cs="Arial"/>
                <w:i/>
                <w:sz w:val="14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2008 R2 SP1 </w:t>
            </w:r>
            <w:r>
              <w:rPr>
                <w:rFonts w:cs="Arial"/>
                <w:i/>
                <w:sz w:val="14"/>
                <w:szCs w:val="16"/>
                <w:lang w:val="en-US"/>
              </w:rPr>
              <w:t>(4)</w:t>
            </w:r>
          </w:p>
          <w:p>
            <w:pPr>
              <w:pStyle w:val="CorpoAltF0"/>
              <w:ind w:left="142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SBS 2008 Server SP2</w:t>
            </w:r>
          </w:p>
          <w:p>
            <w:pPr>
              <w:pStyle w:val="CorpoAltF0"/>
              <w:ind w:left="142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Windows 7 Professional</w:t>
            </w:r>
          </w:p>
          <w:p>
            <w:pPr>
              <w:pStyle w:val="CorpoAltF0"/>
              <w:ind w:left="142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SBS 2011 Server</w:t>
            </w:r>
          </w:p>
          <w:p>
            <w:pPr>
              <w:pStyle w:val="CorpoAltF0"/>
              <w:ind w:left="142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Server 2012, 2012 R2</w:t>
            </w:r>
          </w:p>
          <w:p>
            <w:pPr>
              <w:pStyle w:val="CorpoAltF0"/>
              <w:ind w:left="142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8.1 Pro 64bit</w:t>
            </w:r>
          </w:p>
          <w:p>
            <w:pPr>
              <w:pStyle w:val="CorpoAltF0"/>
              <w:ind w:left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Pro 64bit e 32bit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TeamLinux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2.10 </w:t>
            </w:r>
            <w:r>
              <w:rPr>
                <w:rFonts w:cs="Arial"/>
                <w:i/>
                <w:sz w:val="14"/>
                <w:szCs w:val="16"/>
              </w:rPr>
              <w:t>(5)</w:t>
            </w:r>
            <w:r>
              <w:rPr>
                <w:rFonts w:cs="Arial"/>
                <w:sz w:val="16"/>
                <w:szCs w:val="16"/>
              </w:rPr>
              <w:t>, 3.2, 4.2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Suse Linux Enterprise Server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11-SP1, 11-SP3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Ubuntu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12.4 LTS </w:t>
            </w:r>
            <w:r>
              <w:rPr>
                <w:rFonts w:cs="Arial"/>
                <w:i/>
                <w:sz w:val="14"/>
                <w:szCs w:val="16"/>
                <w:lang w:val="en-US"/>
              </w:rPr>
              <w:t>(6)</w:t>
            </w:r>
            <w:r>
              <w:rPr>
                <w:rFonts w:cs="Arial"/>
                <w:sz w:val="16"/>
                <w:szCs w:val="16"/>
                <w:lang w:val="en-US"/>
              </w:rPr>
              <w:t>, 14.4 64bit LTS, 14.10 64bit, 15.04 64bit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Fedora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 64bit, 22 64bit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CentOS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</w:t>
            </w:r>
            <w:r>
              <w:rPr>
                <w:rFonts w:cs="Arial"/>
                <w:i/>
                <w:sz w:val="14"/>
                <w:szCs w:val="16"/>
              </w:rPr>
              <w:t>(5</w:t>
            </w:r>
            <w:r>
              <w:rPr>
                <w:rFonts w:cs="Arial"/>
                <w:sz w:val="16"/>
                <w:szCs w:val="16"/>
              </w:rPr>
              <w:t>), 6.4, 6.5, 6.6 64bit, 7 64bit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3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Linux PowerPC</w:t>
            </w:r>
          </w:p>
        </w:tc>
        <w:tc>
          <w:tcPr>
            <w:tcW w:w="680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CorpoAltF0"/>
              <w:ind w:left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OpenSuse 10.3</w:t>
            </w:r>
          </w:p>
          <w:p>
            <w:pPr>
              <w:pStyle w:val="CorpoAltF0"/>
              <w:ind w:left="1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SLES 11.3, 11.4</w:t>
            </w:r>
          </w:p>
        </w:tc>
      </w:tr>
    </w:tbl>
    <w:p>
      <w:pPr>
        <w:pStyle w:val="CorpoAltF0"/>
        <w:numPr>
          <w:ilvl w:val="0"/>
          <w:numId w:val="26"/>
        </w:numPr>
        <w:spacing w:before="60"/>
        <w:ind w:left="567" w:hanging="35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Sono escluse tutte le versioni dei sistemi operativi destinate ad un’utenza ‘Home’.</w:t>
      </w:r>
    </w:p>
    <w:p>
      <w:pPr>
        <w:pStyle w:val="CorpoAltF0"/>
        <w:numPr>
          <w:ilvl w:val="0"/>
          <w:numId w:val="26"/>
        </w:numPr>
        <w:ind w:left="56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Supporto al Sistema Operativo in fase di dismissione</w:t>
      </w:r>
      <w:r>
        <w:rPr>
          <w:rFonts w:cs="Arial"/>
          <w:i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(termine improrogabile: Giugno 2016)</w:t>
      </w:r>
    </w:p>
    <w:p>
      <w:pPr>
        <w:pStyle w:val="CorpoAltF0"/>
        <w:ind w:left="56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ATTENZIONE: Sistema già dismesso da Microsoft</w:t>
      </w:r>
    </w:p>
    <w:p>
      <w:pPr>
        <w:pStyle w:val="CorpoAltF0"/>
        <w:numPr>
          <w:ilvl w:val="0"/>
          <w:numId w:val="26"/>
        </w:numPr>
        <w:ind w:left="56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Supporto al Sistema Operativo in fase di dismissione</w:t>
      </w:r>
      <w:r>
        <w:rPr>
          <w:rFonts w:cs="Arial"/>
          <w:i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(termine previsto: Giugno 2016)</w:t>
      </w:r>
    </w:p>
    <w:p>
      <w:pPr>
        <w:pStyle w:val="CorpoAltF0"/>
        <w:ind w:left="56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ATTENZIONE: Sistema già dismesso da Microsoft</w:t>
      </w:r>
    </w:p>
    <w:p>
      <w:pPr>
        <w:pStyle w:val="CorpoAltF0"/>
        <w:numPr>
          <w:ilvl w:val="0"/>
          <w:numId w:val="26"/>
        </w:numPr>
        <w:ind w:left="56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>
      <w:pPr>
        <w:pStyle w:val="CorpoAltF0"/>
        <w:ind w:left="56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A parità di hardware, impianto e operatività utente, il problema non si riscontra con S.O. Windows 2012R2  </w:t>
      </w:r>
    </w:p>
    <w:p>
      <w:pPr>
        <w:pStyle w:val="CorpoAltF0"/>
        <w:ind w:left="567"/>
        <w:rPr>
          <w:rFonts w:cs="Arial"/>
          <w:i/>
          <w:sz w:val="14"/>
          <w:szCs w:val="14"/>
          <w:lang w:val="en-US"/>
        </w:rPr>
      </w:pPr>
      <w:r>
        <w:rPr>
          <w:rFonts w:cs="Arial"/>
          <w:i/>
          <w:sz w:val="14"/>
          <w:szCs w:val="14"/>
          <w:lang w:val="en-US"/>
        </w:rPr>
        <w:t>(Windows 2012R2, Remote Desktop Services Overview: https://technet.microsoft.com/en-us/library/hh831447.aspx)</w:t>
      </w:r>
    </w:p>
    <w:p>
      <w:pPr>
        <w:pStyle w:val="CorpoAltF0"/>
        <w:numPr>
          <w:ilvl w:val="0"/>
          <w:numId w:val="26"/>
        </w:numPr>
        <w:ind w:left="56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Supporto al Sistema Operativo in fase di dismissione (termine previsto: Ottobre 2016)</w:t>
      </w:r>
    </w:p>
    <w:p>
      <w:pPr>
        <w:pStyle w:val="CorpoAltF0"/>
        <w:numPr>
          <w:ilvl w:val="0"/>
          <w:numId w:val="26"/>
        </w:numPr>
        <w:ind w:left="56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Supporto al Sistema Operativo fino ad Aprile 2017</w:t>
      </w:r>
    </w:p>
    <w:p>
      <w:pPr>
        <w:pStyle w:val="CorpoAltF0"/>
        <w:spacing w:before="240"/>
        <w:rPr>
          <w:rFonts w:cs="Arial"/>
          <w:i/>
          <w:sz w:val="14"/>
          <w:szCs w:val="14"/>
        </w:rPr>
      </w:pPr>
      <w:r>
        <w:rPr>
          <w:rFonts w:cs="Arial"/>
          <w:b/>
          <w:sz w:val="14"/>
          <w:szCs w:val="14"/>
        </w:rPr>
        <w:t>Release Software di base richieste da linea LYNFA Studio e LYNFA Azienda</w:t>
      </w:r>
    </w:p>
    <w:p>
      <w:pPr>
        <w:pStyle w:val="CorpoAltF0"/>
        <w:numPr>
          <w:ilvl w:val="0"/>
          <w:numId w:val="28"/>
        </w:numPr>
        <w:ind w:left="283" w:hanging="215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POLYEDRO ultima versione rilasciata</w:t>
      </w:r>
    </w:p>
    <w:p>
      <w:pPr>
        <w:pStyle w:val="CorpoAltF0"/>
        <w:spacing w:before="240"/>
        <w:rPr>
          <w:rFonts w:cs="Arial"/>
          <w:sz w:val="14"/>
          <w:szCs w:val="14"/>
        </w:rPr>
      </w:pPr>
      <w:r>
        <w:rPr>
          <w:rFonts w:cs="Arial"/>
          <w:b/>
          <w:sz w:val="14"/>
          <w:szCs w:val="14"/>
        </w:rPr>
        <w:t>Release Software di base richieste da linea Gecom e Gamma Plus</w:t>
      </w:r>
    </w:p>
    <w:p>
      <w:pPr>
        <w:pStyle w:val="CorpoAltF0"/>
        <w:numPr>
          <w:ilvl w:val="0"/>
          <w:numId w:val="28"/>
        </w:numPr>
        <w:ind w:left="283" w:hanging="215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TeamPortal ultima versione rilasciata</w:t>
      </w:r>
    </w:p>
    <w:p>
      <w:pPr>
        <w:pStyle w:val="CorpoAltF0"/>
        <w:numPr>
          <w:ilvl w:val="0"/>
          <w:numId w:val="28"/>
        </w:numPr>
        <w:ind w:left="283" w:hanging="215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Moduli di software di base per ambienti Integrazione non più necessari per ambienti Nativi Procedure Gestionali: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Sysint/W 20140100 (Windows) o SysInt/U 4.4 (Linux)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  <w:lang w:val="en-US"/>
        </w:rPr>
      </w:pPr>
      <w:proofErr w:type="spellStart"/>
      <w:r>
        <w:rPr>
          <w:rFonts w:cs="Arial"/>
          <w:sz w:val="14"/>
          <w:szCs w:val="14"/>
          <w:lang w:val="en-US"/>
        </w:rPr>
        <w:t>SysIntGateway</w:t>
      </w:r>
      <w:proofErr w:type="spellEnd"/>
      <w:r>
        <w:rPr>
          <w:rFonts w:cs="Arial"/>
          <w:sz w:val="14"/>
          <w:szCs w:val="14"/>
          <w:lang w:val="en-US"/>
        </w:rPr>
        <w:t xml:space="preserve"> 20150400 (</w:t>
      </w:r>
      <w:proofErr w:type="spellStart"/>
      <w:r>
        <w:rPr>
          <w:rFonts w:cs="Arial"/>
          <w:sz w:val="14"/>
          <w:szCs w:val="14"/>
          <w:lang w:val="en-US"/>
        </w:rPr>
        <w:t>Supporto</w:t>
      </w:r>
      <w:proofErr w:type="spellEnd"/>
      <w:r>
        <w:rPr>
          <w:rFonts w:cs="Arial"/>
          <w:sz w:val="14"/>
          <w:szCs w:val="14"/>
          <w:lang w:val="en-US"/>
        </w:rPr>
        <w:t xml:space="preserve"> </w:t>
      </w:r>
      <w:proofErr w:type="spellStart"/>
      <w:r>
        <w:rPr>
          <w:rFonts w:cs="Arial"/>
          <w:sz w:val="14"/>
          <w:szCs w:val="14"/>
          <w:lang w:val="en-US"/>
        </w:rPr>
        <w:t>SysintGateway</w:t>
      </w:r>
      <w:proofErr w:type="spellEnd"/>
      <w:r>
        <w:rPr>
          <w:rFonts w:cs="Arial"/>
          <w:sz w:val="14"/>
          <w:szCs w:val="14"/>
          <w:lang w:val="en-US"/>
        </w:rPr>
        <w:t xml:space="preserve"> Daemon </w:t>
      </w:r>
      <w:proofErr w:type="spellStart"/>
      <w:r>
        <w:rPr>
          <w:rFonts w:cs="Arial"/>
          <w:sz w:val="14"/>
          <w:szCs w:val="14"/>
          <w:lang w:val="en-US"/>
        </w:rPr>
        <w:t>dismesso</w:t>
      </w:r>
      <w:proofErr w:type="spellEnd"/>
      <w:r>
        <w:rPr>
          <w:rFonts w:cs="Arial"/>
          <w:sz w:val="14"/>
          <w:szCs w:val="14"/>
          <w:lang w:val="en-US"/>
        </w:rPr>
        <w:t>)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Runtime 812-20140200 o Runtime 722-20090100</w:t>
      </w:r>
    </w:p>
    <w:p>
      <w:pPr>
        <w:pStyle w:val="CorpoAltF0"/>
        <w:ind w:left="48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Supporto al Runtime 722-20090100 in fase di dismissione (termine previsto: - Giugno 2016) </w:t>
      </w:r>
    </w:p>
    <w:p>
      <w:pPr>
        <w:pStyle w:val="CorpoAltF0"/>
        <w:ind w:left="48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ATTENZIONE: Questa Runtime non è certificata per sistemi operativi successivi a Windows Server 2003</w:t>
      </w:r>
    </w:p>
    <w:p>
      <w:pPr>
        <w:pStyle w:val="CorpoAltF0"/>
        <w:spacing w:before="120"/>
        <w:rPr>
          <w:rFonts w:cs="Arial"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>Note:</w:t>
      </w:r>
    </w:p>
    <w:p>
      <w:pPr>
        <w:pStyle w:val="CorpoAltF0"/>
        <w:numPr>
          <w:ilvl w:val="0"/>
          <w:numId w:val="28"/>
        </w:numPr>
        <w:ind w:left="283" w:hanging="215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La release dei moduli Acucobol 8.1.2, a partire dalla versione 8.1.2-20130300: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introduce il supporto ufficiale a Windows 8 Pro e Windows Server 2012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include il servizio AcuXDBC in ambiente TeamPortal</w:t>
      </w:r>
    </w:p>
    <w:p>
      <w:pPr>
        <w:pStyle w:val="CorpoAltF0"/>
        <w:ind w:left="48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N.B.: Il modulo client AcuXDBC è 32bit. Si ricorda che alcune applicazioni 64bit </w:t>
      </w:r>
    </w:p>
    <w:p>
      <w:pPr>
        <w:pStyle w:val="CorpoAltF0"/>
        <w:ind w:left="48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potrebbero non riuscire ad accedere al DSN driver 32bit (es.: Office 2010 64bit)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non supporta l’ambiente AcuServer </w:t>
      </w:r>
    </w:p>
    <w:p>
      <w:pPr>
        <w:pStyle w:val="CorpoAltF0"/>
        <w:ind w:left="48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(come da Circolare 2010.02.32 Software Partner TeamSystem Pesaro, 15 Novembre 2010)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non supporta l’ambiente a carattere</w:t>
      </w:r>
    </w:p>
    <w:p>
      <w:pPr>
        <w:pStyle w:val="CorpoAltF0"/>
        <w:numPr>
          <w:ilvl w:val="0"/>
          <w:numId w:val="28"/>
        </w:numPr>
        <w:ind w:left="283" w:hanging="215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La release dei moduli Acucobol 8.1.2LF, a partire dalla versione 8.1.2-20140100: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introduce il supporto ufficiale al nuovo Look &amp; Feel prodotti linea Lynfa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- supporta il servizio TS_Sql ( basato su tecnologia C-tree ACE by Faircom ) comprensivo di client odbc 32/64bit. </w:t>
      </w:r>
    </w:p>
    <w:p>
      <w:pPr>
        <w:pStyle w:val="CorpoAltF0"/>
        <w:numPr>
          <w:ilvl w:val="0"/>
          <w:numId w:val="27"/>
        </w:numPr>
        <w:ind w:left="482" w:hanging="14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Richiede specifica licenza</w:t>
      </w:r>
      <w:bookmarkStart w:id="1" w:name="_GoBack"/>
      <w:bookmarkEnd w:id="1"/>
    </w:p>
    <w:sectPr>
      <w:headerReference w:type="default" r:id="rId10"/>
      <w:footerReference w:type="default" r:id="rId11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2017.0.0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82C70"/>
    <w:multiLevelType w:val="hybridMultilevel"/>
    <w:tmpl w:val="822A0D1C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2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E3868"/>
    <w:multiLevelType w:val="hybridMultilevel"/>
    <w:tmpl w:val="66F4F840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58A576D8"/>
    <w:multiLevelType w:val="hybridMultilevel"/>
    <w:tmpl w:val="10108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C707508"/>
    <w:multiLevelType w:val="hybridMultilevel"/>
    <w:tmpl w:val="B41400A8"/>
    <w:lvl w:ilvl="0" w:tplc="105AB2E8">
      <w:numFmt w:val="bullet"/>
      <w:lvlText w:val="-"/>
      <w:lvlJc w:val="left"/>
      <w:pPr>
        <w:ind w:left="1174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DBE0CA2"/>
    <w:multiLevelType w:val="hybridMultilevel"/>
    <w:tmpl w:val="06A2F3F4"/>
    <w:lvl w:ilvl="0" w:tplc="B672CED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6"/>
  </w:num>
  <w:num w:numId="5">
    <w:abstractNumId w:val="6"/>
  </w:num>
  <w:num w:numId="6">
    <w:abstractNumId w:val="17"/>
  </w:num>
  <w:num w:numId="7">
    <w:abstractNumId w:val="8"/>
  </w:num>
  <w:num w:numId="8">
    <w:abstractNumId w:val="11"/>
  </w:num>
  <w:num w:numId="9">
    <w:abstractNumId w:val="16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"/>
  </w:num>
  <w:num w:numId="15">
    <w:abstractNumId w:val="24"/>
  </w:num>
  <w:num w:numId="16">
    <w:abstractNumId w:val="25"/>
  </w:num>
  <w:num w:numId="17">
    <w:abstractNumId w:val="15"/>
  </w:num>
  <w:num w:numId="18">
    <w:abstractNumId w:val="29"/>
  </w:num>
  <w:num w:numId="19">
    <w:abstractNumId w:val="13"/>
  </w:num>
  <w:num w:numId="20">
    <w:abstractNumId w:val="20"/>
  </w:num>
  <w:num w:numId="21">
    <w:abstractNumId w:val="14"/>
  </w:num>
  <w:num w:numId="22">
    <w:abstractNumId w:val="28"/>
  </w:num>
  <w:num w:numId="23">
    <w:abstractNumId w:val="4"/>
  </w:num>
  <w:num w:numId="24">
    <w:abstractNumId w:val="18"/>
  </w:num>
  <w:num w:numId="25">
    <w:abstractNumId w:val="21"/>
  </w:num>
  <w:num w:numId="26">
    <w:abstractNumId w:val="9"/>
  </w:num>
  <w:num w:numId="27">
    <w:abstractNumId w:val="23"/>
  </w:num>
  <w:num w:numId="28">
    <w:abstractNumId w:val="5"/>
  </w:num>
  <w:num w:numId="29">
    <w:abstractNumId w:val="19"/>
  </w:num>
  <w:num w:numId="30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57345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8238-F5DE-46CB-AB79-784C93B9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217</TotalTime>
  <Pages>2</Pages>
  <Words>664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Barbara Mandolini</cp:lastModifiedBy>
  <cp:revision>89</cp:revision>
  <cp:lastPrinted>2017-05-31T14:45:00Z</cp:lastPrinted>
  <dcterms:created xsi:type="dcterms:W3CDTF">2016-02-29T12:29:00Z</dcterms:created>
  <dcterms:modified xsi:type="dcterms:W3CDTF">2017-05-31T14:46:00Z</dcterms:modified>
</cp:coreProperties>
</file>