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WWTipoDocumento"/>
      </w:pPr>
      <w:bookmarkStart w:id="0" w:name="_Toc33011301"/>
      <w:bookmarkStart w:id="1" w:name="_GoBack"/>
      <w:bookmarkEnd w:id="1"/>
      <w:r>
        <w:t>ANOMALIE CORRETTE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3544"/>
        <w:gridCol w:w="3831"/>
      </w:tblGrid>
      <w:tr>
        <w:trPr>
          <w:cantSplit/>
          <w:trHeight w:val="221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pStyle w:val="CorpoAltF0"/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158875" cy="1384300"/>
                  <wp:effectExtent l="0" t="0" r="3175" b="6350"/>
                  <wp:docPr id="8" name="Immagine 1" descr="PAGHE_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>
            <w:pPr>
              <w:pStyle w:val="CorpoAltF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RELEASE </w:t>
            </w:r>
            <w:proofErr w:type="spellStart"/>
            <w:r>
              <w:rPr>
                <w:rFonts w:cs="Arial"/>
                <w:b/>
                <w:lang w:val="en-US"/>
              </w:rPr>
              <w:t>Versione</w:t>
            </w:r>
            <w:proofErr w:type="spellEnd"/>
            <w:r>
              <w:rPr>
                <w:rFonts w:cs="Arial"/>
                <w:b/>
                <w:lang w:val="en-US"/>
              </w:rPr>
              <w:t xml:space="preserve"> 2017.2.0</w:t>
            </w:r>
          </w:p>
        </w:tc>
      </w:tr>
      <w:tr>
        <w:trPr>
          <w:cantSplit/>
          <w:trHeight w:val="268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Applicativo: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GECOM PAGHE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Oggetto: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Aggiornamento procedura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Versione: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2017.2.0 (Versione completa)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di rilascio: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17.10.2017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Riferimento: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Anomalie Corrette</w:t>
            </w:r>
          </w:p>
        </w:tc>
      </w:tr>
      <w:tr>
        <w:trPr>
          <w:cantSplit/>
          <w:trHeight w:val="266"/>
          <w:jc w:val="center"/>
        </w:trPr>
        <w:tc>
          <w:tcPr>
            <w:tcW w:w="2273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ind w:right="227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Classificazione:</w:t>
            </w:r>
          </w:p>
        </w:tc>
        <w:tc>
          <w:tcPr>
            <w:tcW w:w="383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 utente</w:t>
            </w:r>
          </w:p>
        </w:tc>
      </w:tr>
    </w:tbl>
    <w:p>
      <w:pPr>
        <w:pStyle w:val="Ignora"/>
      </w:pPr>
    </w:p>
    <w:p>
      <w:pPr>
        <w:pStyle w:val="Ignora"/>
      </w:pPr>
    </w:p>
    <w:p>
      <w:pPr>
        <w:pStyle w:val="WWNewPage"/>
      </w:pPr>
    </w:p>
    <w:p>
      <w:pPr>
        <w:pStyle w:val="corpoAltF"/>
        <w:pBdr>
          <w:top w:val="single" w:sz="12" w:space="1" w:color="365F91"/>
          <w:left w:val="single" w:sz="12" w:space="4" w:color="365F91"/>
          <w:bottom w:val="single" w:sz="18" w:space="1" w:color="365F91"/>
          <w:right w:val="single" w:sz="18" w:space="4" w:color="365F91"/>
        </w:pBdr>
        <w:ind w:left="142" w:right="141"/>
        <w:jc w:val="center"/>
        <w:rPr>
          <w:b/>
          <w:i/>
          <w:spacing w:val="14"/>
          <w:sz w:val="28"/>
          <w:szCs w:val="28"/>
        </w:rPr>
      </w:pPr>
      <w:bookmarkStart w:id="2" w:name="INDICE"/>
      <w:bookmarkEnd w:id="2"/>
      <w:r>
        <w:rPr>
          <w:b/>
          <w:i/>
          <w:spacing w:val="14"/>
          <w:sz w:val="28"/>
          <w:szCs w:val="28"/>
        </w:rPr>
        <w:t>ANOMALIE CORRETTE</w:t>
      </w:r>
    </w:p>
    <w:p>
      <w:pPr>
        <w:pStyle w:val="Ignora"/>
      </w:pPr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r>
        <w:rPr>
          <w:rStyle w:val="Collegamentoipertestuale"/>
          <w:i w:val="0"/>
          <w:iCs/>
          <w:noProof w:val="0"/>
          <w:color w:val="auto"/>
          <w:spacing w:val="-20"/>
          <w:szCs w:val="28"/>
          <w:u w:val="none"/>
        </w:rPr>
        <w:fldChar w:fldCharType="begin"/>
      </w:r>
      <w:r>
        <w:rPr>
          <w:rStyle w:val="Collegamentoipertestuale"/>
          <w:iCs/>
          <w:color w:val="auto"/>
          <w:spacing w:val="-20"/>
          <w:szCs w:val="28"/>
          <w:u w:val="none"/>
        </w:rPr>
        <w:instrText xml:space="preserve"> TOC \h \z \t "TS-titolo-01;1;TS-titolo-04;4;TS-titolo-Comando;2;TS-titolo-05;5;WW_NormativaSoftware;3" </w:instrText>
      </w:r>
      <w:r>
        <w:rPr>
          <w:rStyle w:val="Collegamentoipertestuale"/>
          <w:i w:val="0"/>
          <w:iCs/>
          <w:noProof w:val="0"/>
          <w:color w:val="auto"/>
          <w:spacing w:val="-20"/>
          <w:szCs w:val="28"/>
          <w:u w:val="none"/>
        </w:rPr>
        <w:fldChar w:fldCharType="separate"/>
      </w:r>
      <w:hyperlink w:anchor="_Toc496020888" w:history="1">
        <w:r>
          <w:rPr>
            <w:rStyle w:val="Collegamentoipertestuale"/>
          </w:rPr>
          <w:t>CEDOL – Gestione cedolini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_Toc496020888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96020889" w:history="1">
        <w:r>
          <w:rPr>
            <w:rStyle w:val="Collegamentoipertestuale"/>
            <w:noProof/>
          </w:rPr>
          <w:t>CDS ex D.Lgs. 148/2015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_Toc496020889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96020890" w:history="1">
        <w:r>
          <w:rPr>
            <w:rStyle w:val="Collegamentoipertestuale"/>
            <w:noProof/>
          </w:rPr>
          <w:t>Calendario sfasato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_Toc496020890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96020891" w:history="1">
        <w:r>
          <w:rPr>
            <w:rStyle w:val="Collegamentoipertestuale"/>
            <w:noProof/>
          </w:rPr>
          <w:t>Esonero contributivo assunzioni a tempo indeterminato anni 2017 e 2018 (BASL)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_Toc496020891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Sommario5"/>
        <w:tabs>
          <w:tab w:val="right" w:leader="dot" w:pos="9629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96020892" w:history="1">
        <w:r>
          <w:rPr>
            <w:rStyle w:val="Collegamentoipertestuale"/>
            <w:noProof/>
          </w:rPr>
          <w:t>Incentivo occupazione sud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_Toc496020892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6020893" w:history="1">
        <w:r>
          <w:rPr>
            <w:rStyle w:val="Collegamentoipertestuale"/>
          </w:rPr>
          <w:t>STCED – Stampa cedolini / CEDCTR – Controllo cedolini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_Toc496020893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6020894" w:history="1">
        <w:r>
          <w:rPr>
            <w:rStyle w:val="Collegamentoipertestuale"/>
          </w:rPr>
          <w:t>CEDCTR – Controllo cedolini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_Toc496020894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6020895" w:history="1">
        <w:r>
          <w:rPr>
            <w:rStyle w:val="Collegamentoipertestuale"/>
          </w:rPr>
          <w:t>DIPE &gt; scheda “Prestiti”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_Toc496020895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6020896" w:history="1">
        <w:r>
          <w:rPr>
            <w:rStyle w:val="Collegamentoipertestuale"/>
          </w:rPr>
          <w:t>UTY1715B – Arretrati fondo territoriale di Bolzano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_Toc496020896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6020897" w:history="1">
        <w:r>
          <w:rPr>
            <w:rStyle w:val="Collegamentoipertestuale"/>
          </w:rPr>
          <w:t>PDFPAG &gt; Archiviazione LUL KNOS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_Toc496020897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Sommario4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96020898" w:history="1">
        <w:r>
          <w:rPr>
            <w:rStyle w:val="Collegamentoipertestuale"/>
          </w:rPr>
          <w:t>STVARSTO &gt; Variazioni storiche Dipendente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_Toc496020898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>
      <w:pPr>
        <w:pStyle w:val="corpoAltF"/>
        <w:rPr>
          <w:rStyle w:val="Collegamentoipertestuale"/>
          <w:i/>
          <w:iCs/>
          <w:noProof/>
          <w:color w:val="auto"/>
          <w:spacing w:val="-20"/>
          <w:szCs w:val="28"/>
          <w:u w:val="none"/>
        </w:rPr>
      </w:pPr>
      <w:r>
        <w:rPr>
          <w:rStyle w:val="Collegamentoipertestuale"/>
          <w:b/>
          <w:i/>
          <w:iCs/>
          <w:noProof/>
          <w:color w:val="auto"/>
          <w:spacing w:val="-20"/>
          <w:szCs w:val="28"/>
          <w:u w:val="none"/>
        </w:rPr>
        <w:fldChar w:fldCharType="end"/>
      </w:r>
    </w:p>
    <w:p>
      <w:pPr>
        <w:pStyle w:val="Ignora"/>
        <w:rPr>
          <w:rStyle w:val="Collegamentoipertestuale"/>
          <w:color w:val="auto"/>
          <w:u w:val="none"/>
        </w:rPr>
      </w:pPr>
    </w:p>
    <w:p>
      <w:pPr>
        <w:pStyle w:val="Ignora"/>
      </w:pPr>
    </w:p>
    <w:p>
      <w:pPr>
        <w:pStyle w:val="Ignora"/>
        <w:sectPr>
          <w:headerReference w:type="default" r:id="rId9"/>
          <w:footerReference w:type="default" r:id="rId10"/>
          <w:pgSz w:w="11907" w:h="16840" w:code="9"/>
          <w:pgMar w:top="567" w:right="1134" w:bottom="1134" w:left="1134" w:header="397" w:footer="397" w:gutter="0"/>
          <w:pgNumType w:chapStyle="1" w:chapSep="period"/>
          <w:cols w:space="720"/>
          <w:noEndnote/>
        </w:sectPr>
      </w:pPr>
    </w:p>
    <w:bookmarkEnd w:id="0"/>
    <w:p>
      <w:pPr>
        <w:pStyle w:val="Ignora"/>
      </w:pPr>
    </w:p>
    <w:p>
      <w:pPr>
        <w:pStyle w:val="TS-titolo-04"/>
      </w:pPr>
      <w:bookmarkStart w:id="3" w:name="_Toc496020888"/>
      <w:r>
        <w:t>CEDOL – Gestione cedolini</w:t>
      </w:r>
      <w:bookmarkEnd w:id="3"/>
    </w:p>
    <w:p>
      <w:pPr>
        <w:pStyle w:val="TS-titolo-05"/>
      </w:pPr>
      <w:bookmarkStart w:id="4" w:name="_Toc496020889"/>
      <w:r>
        <w:t xml:space="preserve">CDS ex </w:t>
      </w:r>
      <w:proofErr w:type="gramStart"/>
      <w:r>
        <w:t>D.Lgs</w:t>
      </w:r>
      <w:proofErr w:type="gramEnd"/>
      <w:r>
        <w:t>. 148/2015</w:t>
      </w:r>
      <w:bookmarkEnd w:id="4"/>
    </w:p>
    <w:p>
      <w:pPr>
        <w:pStyle w:val="CorpoAltF0"/>
        <w:numPr>
          <w:ilvl w:val="0"/>
          <w:numId w:val="34"/>
        </w:numPr>
        <w:spacing w:before="120"/>
        <w:ind w:left="284" w:hanging="284"/>
      </w:pPr>
      <w:r>
        <w:t xml:space="preserve">In presenza di dipendente interessato da 2 contratti di solidarietà ex </w:t>
      </w:r>
      <w:proofErr w:type="gramStart"/>
      <w:r>
        <w:t>D.Lgs</w:t>
      </w:r>
      <w:proofErr w:type="gramEnd"/>
      <w:r>
        <w:t>.148/2015, di cui uno terminato e con TFR c/INPS già recuperato, in fase di recupero delle quote di TFR relative alla seconda domanda (licenziamento o termine della CDS), il programma recuperava nuovamente l’importo del TFR c/INPS relativo alla prima domanda.</w:t>
      </w:r>
    </w:p>
    <w:p>
      <w:pPr>
        <w:pStyle w:val="CorpoAltF0"/>
        <w:numPr>
          <w:ilvl w:val="0"/>
          <w:numId w:val="34"/>
        </w:numPr>
        <w:spacing w:before="120"/>
        <w:ind w:left="284" w:hanging="284"/>
      </w:pPr>
      <w:r>
        <w:t xml:space="preserve">Nel caso di CDS ex </w:t>
      </w:r>
      <w:proofErr w:type="gramStart"/>
      <w:r>
        <w:t>D.Lgs</w:t>
      </w:r>
      <w:proofErr w:type="gramEnd"/>
      <w:r>
        <w:t>.148/2015, senza anticipazione da parte della ditta, non ancora autorizzata e con abbattimento dei ratei di mensilità aggiuntive (“</w:t>
      </w:r>
      <w:r>
        <w:rPr>
          <w:b/>
        </w:rPr>
        <w:t>Si</w:t>
      </w:r>
      <w:r>
        <w:t>” al campo “</w:t>
      </w:r>
      <w:r>
        <w:rPr>
          <w:i/>
        </w:rPr>
        <w:t xml:space="preserve">Riduzione ratei </w:t>
      </w:r>
      <w:proofErr w:type="spellStart"/>
      <w:r>
        <w:rPr>
          <w:i/>
        </w:rPr>
        <w:t>mens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agg</w:t>
      </w:r>
      <w:proofErr w:type="spellEnd"/>
      <w:r>
        <w:rPr>
          <w:i/>
        </w:rPr>
        <w:t>.</w:t>
      </w:r>
      <w:r>
        <w:t xml:space="preserve">” di </w:t>
      </w:r>
      <w:r>
        <w:rPr>
          <w:b/>
        </w:rPr>
        <w:t>AZIE</w:t>
      </w:r>
      <w:r>
        <w:t xml:space="preserve"> &gt; “</w:t>
      </w:r>
      <w:r>
        <w:rPr>
          <w:i/>
        </w:rPr>
        <w:t>Dati contrattuali</w:t>
      </w:r>
      <w:r>
        <w:t xml:space="preserve"> &gt; </w:t>
      </w:r>
      <w:r>
        <w:rPr>
          <w:i/>
        </w:rPr>
        <w:t>Gestione CIG/CDS</w:t>
      </w:r>
      <w:r>
        <w:t xml:space="preserve"> &gt; </w:t>
      </w:r>
      <w:r>
        <w:rPr>
          <w:i/>
        </w:rPr>
        <w:t xml:space="preserve">Gestione CDS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148/2015</w:t>
      </w:r>
      <w:r>
        <w:t>”) il programma non calcolava l’importo di TFR c/INPS relativo alle quote di mensilità aggiuntive perse per CDS.</w:t>
      </w:r>
    </w:p>
    <w:p>
      <w:pPr>
        <w:pStyle w:val="TS-titolo-05"/>
      </w:pPr>
      <w:bookmarkStart w:id="5" w:name="_Toc494790032"/>
      <w:bookmarkStart w:id="6" w:name="_Toc496020890"/>
      <w:r>
        <w:t>Calendario sfasato</w:t>
      </w:r>
      <w:bookmarkEnd w:id="5"/>
      <w:bookmarkEnd w:id="6"/>
    </w:p>
    <w:p>
      <w:pPr>
        <w:pStyle w:val="CorpoAltF0"/>
        <w:spacing w:before="120"/>
      </w:pPr>
      <w:r>
        <w:rPr>
          <w:b/>
        </w:rPr>
        <w:t>Casistica</w:t>
      </w:r>
    </w:p>
    <w:p>
      <w:pPr>
        <w:pStyle w:val="CorpoAltF0"/>
        <w:numPr>
          <w:ilvl w:val="0"/>
          <w:numId w:val="26"/>
        </w:numPr>
        <w:spacing w:before="60"/>
        <w:ind w:left="283" w:hanging="289"/>
      </w:pPr>
      <w:r>
        <w:t>Elaborazione del cedolino in modalità sfasata;</w:t>
      </w:r>
    </w:p>
    <w:p>
      <w:pPr>
        <w:pStyle w:val="CorpoAltF0"/>
        <w:numPr>
          <w:ilvl w:val="0"/>
          <w:numId w:val="26"/>
        </w:numPr>
        <w:spacing w:before="60"/>
        <w:ind w:left="283" w:hanging="289"/>
      </w:pPr>
      <w:r>
        <w:rPr>
          <w:rFonts w:cs="Arial"/>
        </w:rPr>
        <w:t>controllo dello straordinario/supplementare su base settimanale;</w:t>
      </w:r>
    </w:p>
    <w:p>
      <w:pPr>
        <w:pStyle w:val="CorpoAltF0"/>
        <w:numPr>
          <w:ilvl w:val="0"/>
          <w:numId w:val="26"/>
        </w:numPr>
        <w:spacing w:before="60"/>
        <w:ind w:left="283" w:hanging="289"/>
      </w:pPr>
      <w:r>
        <w:t>straordinario “automatico” (codice “</w:t>
      </w:r>
      <w:r>
        <w:rPr>
          <w:b/>
        </w:rPr>
        <w:t>N</w:t>
      </w:r>
      <w:r>
        <w:t>” al campo “</w:t>
      </w:r>
      <w:r>
        <w:rPr>
          <w:i/>
        </w:rPr>
        <w:t>Straordinario manuale</w:t>
      </w:r>
      <w:r>
        <w:t xml:space="preserve">” di </w:t>
      </w:r>
      <w:r>
        <w:rPr>
          <w:b/>
        </w:rPr>
        <w:t>TB1104</w:t>
      </w:r>
      <w:r>
        <w:t>);</w:t>
      </w:r>
    </w:p>
    <w:p>
      <w:pPr>
        <w:pStyle w:val="CorpoAltF0"/>
        <w:numPr>
          <w:ilvl w:val="0"/>
          <w:numId w:val="26"/>
        </w:numPr>
        <w:spacing w:before="60"/>
        <w:ind w:left="283" w:hanging="289"/>
      </w:pPr>
      <w:r>
        <w:t>presenza di ore di straordinario/supplementare e ore di assenza nella stessa settimana</w:t>
      </w:r>
      <w:r>
        <w:rPr>
          <w:rFonts w:cs="Arial"/>
        </w:rPr>
        <w:t>.</w:t>
      </w:r>
    </w:p>
    <w:p>
      <w:pPr>
        <w:pStyle w:val="CorpoAltF0"/>
        <w:spacing w:before="60"/>
      </w:pPr>
      <w:r>
        <w:rPr>
          <w:b/>
        </w:rPr>
        <w:t>Anomalia</w:t>
      </w:r>
    </w:p>
    <w:p>
      <w:pPr>
        <w:pStyle w:val="CorpoAltF0"/>
        <w:spacing w:before="60"/>
      </w:pPr>
      <w:r>
        <w:t>Il programma inseriva 2 volte la voce di lavoro ordinario ed accantonamento TFR relative alle ore di straordinario/supplementare.</w:t>
      </w:r>
    </w:p>
    <w:p>
      <w:pPr>
        <w:pStyle w:val="TS-titolo-05"/>
      </w:pPr>
      <w:bookmarkStart w:id="7" w:name="_Toc488772380"/>
      <w:bookmarkStart w:id="8" w:name="_Toc488773437"/>
      <w:bookmarkStart w:id="9" w:name="_Toc493242816"/>
      <w:bookmarkStart w:id="10" w:name="_Toc493752272"/>
      <w:bookmarkStart w:id="11" w:name="_Toc496020891"/>
      <w:r>
        <w:t>Esonero contributivo assunzioni a tempo indeterminato anni 2017 e 2018</w:t>
      </w:r>
      <w:bookmarkEnd w:id="7"/>
      <w:bookmarkEnd w:id="8"/>
      <w:r>
        <w:t xml:space="preserve"> (BASL)</w:t>
      </w:r>
      <w:bookmarkEnd w:id="9"/>
      <w:bookmarkEnd w:id="10"/>
      <w:bookmarkEnd w:id="11"/>
    </w:p>
    <w:p>
      <w:pPr>
        <w:pStyle w:val="CorpoAltF0"/>
        <w:spacing w:before="120"/>
      </w:pPr>
      <w:r>
        <w:t>Nel caso di dipendente trasformato a tempo indeterminato in corso di mese interessato dall’esonero contributivo in oggetto, nel calcolo dei contributi agevolabili il programma considerava anche quelli relativi alla parte di mese precedente la trasformazione.</w:t>
      </w:r>
    </w:p>
    <w:p>
      <w:pPr>
        <w:pStyle w:val="TS-titolo-05"/>
      </w:pPr>
      <w:bookmarkStart w:id="12" w:name="_Toc488772427"/>
      <w:bookmarkStart w:id="13" w:name="_Toc496020892"/>
      <w:r>
        <w:t>Incentivo occupazione sud</w:t>
      </w:r>
      <w:bookmarkEnd w:id="12"/>
      <w:bookmarkEnd w:id="13"/>
    </w:p>
    <w:p>
      <w:pPr>
        <w:pStyle w:val="CorpoAltF0"/>
        <w:spacing w:before="120"/>
      </w:pPr>
      <w:r>
        <w:t xml:space="preserve">L’elaborazione del cedolino di giugno per un dipendente interessato dall’incentivo in oggetto effettuava il recupero dello 0,50% sul TFR maturato relativo alle mensilità arretrate (gennaio – marzo), anche se già recuperato mediante il comando </w:t>
      </w:r>
      <w:r>
        <w:rPr>
          <w:b/>
        </w:rPr>
        <w:t>UTY1708</w:t>
      </w:r>
      <w:r>
        <w:t xml:space="preserve"> nei mesi di aprile o maggio.</w:t>
      </w:r>
    </w:p>
    <w:p>
      <w:pPr>
        <w:pStyle w:val="Ignora"/>
      </w:pPr>
    </w:p>
    <w:p>
      <w:pPr>
        <w:pStyle w:val="TS-titolo-04"/>
      </w:pPr>
      <w:bookmarkStart w:id="14" w:name="_Toc496020893"/>
      <w:r>
        <w:t>STCED – Stampa cedolini / CEDCTR – Controllo cedolini</w:t>
      </w:r>
      <w:bookmarkEnd w:id="14"/>
    </w:p>
    <w:p>
      <w:pPr>
        <w:pStyle w:val="CorpoAltF0"/>
        <w:spacing w:before="120"/>
      </w:pPr>
      <w:r>
        <w:t>Il programma effettuava la stampa con numerazione anche dei cedolini per i quali, nel report dei controlli (</w:t>
      </w:r>
      <w:r>
        <w:rPr>
          <w:b/>
        </w:rPr>
        <w:t>CEDCTR</w:t>
      </w:r>
      <w:r>
        <w:t>), erano presenti segnalazioni da autorizzare.</w:t>
      </w:r>
    </w:p>
    <w:p>
      <w:pPr>
        <w:pStyle w:val="Ignora"/>
      </w:pPr>
    </w:p>
    <w:p>
      <w:pPr>
        <w:pStyle w:val="TS-titolo-04"/>
      </w:pPr>
      <w:bookmarkStart w:id="15" w:name="_Toc496020894"/>
      <w:r>
        <w:t>CEDCTR – Controllo cedolini</w:t>
      </w:r>
      <w:bookmarkEnd w:id="15"/>
    </w:p>
    <w:p>
      <w:pPr>
        <w:pStyle w:val="CorpoAltF0"/>
        <w:spacing w:before="120"/>
      </w:pPr>
      <w:r>
        <w:t>Il programma non ignorava le eventuali voci di calcolo appartenenti al raggruppamento zero inserite nella sezione “</w:t>
      </w:r>
      <w:r>
        <w:rPr>
          <w:i/>
        </w:rPr>
        <w:t>Voci da non includere</w:t>
      </w:r>
      <w:r>
        <w:t xml:space="preserve">” di </w:t>
      </w:r>
      <w:r>
        <w:rPr>
          <w:b/>
        </w:rPr>
        <w:t>TB1601</w:t>
      </w:r>
      <w:r>
        <w:t>.</w:t>
      </w:r>
    </w:p>
    <w:p>
      <w:pPr>
        <w:pStyle w:val="Ignora"/>
      </w:pPr>
    </w:p>
    <w:p>
      <w:pPr>
        <w:pStyle w:val="TS-titolo-04"/>
      </w:pPr>
      <w:bookmarkStart w:id="16" w:name="_Toc495924315"/>
      <w:bookmarkStart w:id="17" w:name="_Toc496020895"/>
      <w:r>
        <w:t>DIPE &gt; scheda “</w:t>
      </w:r>
      <w:r>
        <w:rPr>
          <w:i/>
        </w:rPr>
        <w:t>Prestiti</w:t>
      </w:r>
      <w:r>
        <w:t>”</w:t>
      </w:r>
      <w:bookmarkEnd w:id="16"/>
      <w:bookmarkEnd w:id="17"/>
      <w:r>
        <w:t xml:space="preserve"> </w:t>
      </w:r>
    </w:p>
    <w:p>
      <w:pPr>
        <w:pStyle w:val="CorpoAltF0"/>
        <w:spacing w:before="120"/>
      </w:pPr>
      <w:r>
        <w:t>Entrando nella scheda “</w:t>
      </w:r>
      <w:r>
        <w:rPr>
          <w:i/>
        </w:rPr>
        <w:t>Prestiti</w:t>
      </w:r>
      <w:r>
        <w:t xml:space="preserve">” di </w:t>
      </w:r>
      <w:r>
        <w:rPr>
          <w:b/>
        </w:rPr>
        <w:t>DIPE</w:t>
      </w:r>
      <w:r>
        <w:t>, per la tipologia di pignoramento a percentuale, il programma esponeva per il campo utile all’indicazione della percentuale la descrizione “</w:t>
      </w:r>
      <w:proofErr w:type="spellStart"/>
      <w:r>
        <w:rPr>
          <w:i/>
        </w:rPr>
        <w:t>Imp</w:t>
      </w:r>
      <w:proofErr w:type="spellEnd"/>
      <w:r>
        <w:rPr>
          <w:i/>
        </w:rPr>
        <w:t>. rata</w:t>
      </w:r>
      <w:r>
        <w:t>” in luogo di “</w:t>
      </w:r>
      <w:proofErr w:type="spellStart"/>
      <w:r>
        <w:rPr>
          <w:i/>
        </w:rPr>
        <w:t>Perc</w:t>
      </w:r>
      <w:proofErr w:type="spellEnd"/>
      <w:r>
        <w:rPr>
          <w:i/>
        </w:rPr>
        <w:t>. rata</w:t>
      </w:r>
      <w:r>
        <w:t>”.</w:t>
      </w:r>
    </w:p>
    <w:p>
      <w:pPr>
        <w:pStyle w:val="Ignora"/>
      </w:pPr>
      <w:r>
        <w:br w:type="page"/>
      </w:r>
    </w:p>
    <w:p>
      <w:pPr>
        <w:pStyle w:val="Ignora"/>
      </w:pPr>
    </w:p>
    <w:p>
      <w:pPr>
        <w:pStyle w:val="TS-titolo-04"/>
      </w:pPr>
      <w:bookmarkStart w:id="18" w:name="_Toc495924319"/>
      <w:bookmarkStart w:id="19" w:name="_Toc496020896"/>
      <w:r>
        <w:t>UTY1715B – Arretrati fondo territoriale di Bolzano</w:t>
      </w:r>
      <w:bookmarkEnd w:id="18"/>
      <w:bookmarkEnd w:id="19"/>
      <w:r>
        <w:t xml:space="preserve"> </w:t>
      </w:r>
    </w:p>
    <w:p>
      <w:pPr>
        <w:pStyle w:val="Ignora"/>
        <w:spacing w:before="120"/>
      </w:pPr>
      <w:r>
        <w:rPr>
          <w:b/>
        </w:rPr>
        <w:t>Casistica</w:t>
      </w:r>
    </w:p>
    <w:p>
      <w:pPr>
        <w:pStyle w:val="Ignora"/>
        <w:numPr>
          <w:ilvl w:val="0"/>
          <w:numId w:val="35"/>
        </w:numPr>
        <w:spacing w:before="60"/>
        <w:ind w:left="284" w:hanging="284"/>
      </w:pPr>
      <w:r>
        <w:t>gestione automatica della contribuzione al Fondo di solidarietà di Bolzano – Alto Adige (campo “</w:t>
      </w:r>
      <w:r>
        <w:rPr>
          <w:i/>
        </w:rPr>
        <w:t>Calcolo contr. fondo solidarietà</w:t>
      </w:r>
      <w:r>
        <w:t>” &gt; scheda “</w:t>
      </w:r>
      <w:r>
        <w:rPr>
          <w:i/>
        </w:rPr>
        <w:t>Dati contributivi</w:t>
      </w:r>
      <w:r>
        <w:t xml:space="preserve">” di </w:t>
      </w:r>
      <w:r>
        <w:rPr>
          <w:b/>
        </w:rPr>
        <w:t>AZIE</w:t>
      </w:r>
      <w:r>
        <w:t xml:space="preserve"> valorizzato rispettivamente con “</w:t>
      </w:r>
      <w:r>
        <w:rPr>
          <w:i/>
        </w:rPr>
        <w:t>Spazio</w:t>
      </w:r>
      <w:r>
        <w:t xml:space="preserve">” </w:t>
      </w:r>
      <w:proofErr w:type="gramStart"/>
      <w:r>
        <w:t>e “</w:t>
      </w:r>
      <w:proofErr w:type="gramEnd"/>
      <w:r>
        <w:rPr>
          <w:i/>
        </w:rPr>
        <w:t>P.A. Bolzano</w:t>
      </w:r>
      <w:r>
        <w:t>”);</w:t>
      </w:r>
    </w:p>
    <w:p>
      <w:pPr>
        <w:pStyle w:val="Ignora"/>
        <w:numPr>
          <w:ilvl w:val="0"/>
          <w:numId w:val="35"/>
        </w:numPr>
        <w:spacing w:before="60"/>
        <w:ind w:left="284" w:hanging="284"/>
      </w:pPr>
      <w:r>
        <w:t>azienda con raggiungimento del requisito dimensionale (più di 5 dipendenti) successivamente al primo mese di arretrato (marzo 2017).</w:t>
      </w:r>
    </w:p>
    <w:p>
      <w:pPr>
        <w:pStyle w:val="Ignora"/>
        <w:spacing w:before="60"/>
      </w:pPr>
      <w:r>
        <w:rPr>
          <w:b/>
        </w:rPr>
        <w:t>Anomalia</w:t>
      </w:r>
    </w:p>
    <w:p>
      <w:pPr>
        <w:pStyle w:val="Ignora"/>
        <w:spacing w:before="60"/>
      </w:pPr>
      <w:r>
        <w:t>Il programma non eseguiva il calcolo dell’importo dei contributi dovuti al Fondo di solidarietà di Bolzano – Alto Adige a titolo di arretrato e il recupero dell’eventuale contribuzione al FIS versata indebitamente nello stesso periodo.</w:t>
      </w:r>
    </w:p>
    <w:p>
      <w:pPr>
        <w:pStyle w:val="CorpoAltF0"/>
        <w:spacing w:before="60"/>
      </w:pPr>
      <w:r>
        <w:t xml:space="preserve">Per le aziende interessate dalla casistica sopra descritta è possibile rieseguire il comando </w:t>
      </w:r>
      <w:r>
        <w:rPr>
          <w:b/>
        </w:rPr>
        <w:t>UTY1715B</w:t>
      </w:r>
      <w:r>
        <w:t xml:space="preserve"> con riferimento al mese di ottobre.</w:t>
      </w:r>
    </w:p>
    <w:p>
      <w:pPr>
        <w:pStyle w:val="CorpoAltF0"/>
        <w:spacing w:before="60"/>
      </w:pPr>
      <w:r>
        <w:t>Si ricorda che il programma provvede in automatico ad escludere dall’elaborazione le aziende per le quali il calcolo risulta già effettuato.</w:t>
      </w:r>
    </w:p>
    <w:p>
      <w:pPr>
        <w:pStyle w:val="Ignora"/>
      </w:pPr>
    </w:p>
    <w:p>
      <w:pPr>
        <w:pStyle w:val="TS-titolo-04"/>
      </w:pPr>
      <w:bookmarkStart w:id="20" w:name="_Toc495924317"/>
      <w:bookmarkStart w:id="21" w:name="_Toc496020897"/>
      <w:r>
        <w:t>PDFPAG &gt; Archiviazione LUL KNOS</w:t>
      </w:r>
      <w:bookmarkEnd w:id="20"/>
      <w:bookmarkEnd w:id="21"/>
    </w:p>
    <w:p>
      <w:pPr>
        <w:pStyle w:val="Ignora"/>
        <w:spacing w:before="120"/>
      </w:pPr>
      <w:r>
        <w:t>Alla conferma della videata “</w:t>
      </w:r>
      <w:r>
        <w:rPr>
          <w:i/>
        </w:rPr>
        <w:t>Selezione parametri archiviazione LUL</w:t>
      </w:r>
      <w:r>
        <w:t>” il programma restituiva il messaggio bloccante “</w:t>
      </w:r>
      <w:r>
        <w:rPr>
          <w:i/>
        </w:rPr>
        <w:t>Parametri inseriti non validi</w:t>
      </w:r>
      <w:r>
        <w:t>” anche se selezionato l’intermediario e la tipologia di documenti da archiviare.</w:t>
      </w:r>
    </w:p>
    <w:p>
      <w:pPr>
        <w:pStyle w:val="Ignora"/>
      </w:pPr>
    </w:p>
    <w:p>
      <w:pPr>
        <w:pStyle w:val="TS-titolo-04"/>
      </w:pPr>
      <w:bookmarkStart w:id="22" w:name="_Toc495924316"/>
      <w:bookmarkStart w:id="23" w:name="_Toc496020898"/>
      <w:r>
        <w:t>STVARSTO</w:t>
      </w:r>
      <w:bookmarkEnd w:id="22"/>
      <w:r>
        <w:t xml:space="preserve"> &gt; Variazioni storiche Dipendente</w:t>
      </w:r>
      <w:bookmarkEnd w:id="23"/>
    </w:p>
    <w:p>
      <w:pPr>
        <w:pStyle w:val="CorpoAltF0"/>
        <w:spacing w:before="120"/>
      </w:pPr>
      <w:r>
        <w:t xml:space="preserve">Per la scelta in oggetto del comando </w:t>
      </w:r>
      <w:r>
        <w:rPr>
          <w:b/>
        </w:rPr>
        <w:t>STVARSTO</w:t>
      </w:r>
      <w:r>
        <w:t xml:space="preserve"> il programma indicava una data e un utente errato per l’ultima variazione storica del periodo impostato nei limiti di stampa.</w:t>
      </w:r>
    </w:p>
    <w:p>
      <w:pPr>
        <w:pStyle w:val="Ignora"/>
      </w:pPr>
    </w:p>
    <w:p>
      <w:pPr>
        <w:pStyle w:val="Ignora"/>
      </w:pPr>
    </w:p>
    <w:p>
      <w:pPr>
        <w:pStyle w:val="WWTipoDocumento"/>
        <w:rPr>
          <w:sz w:val="20"/>
          <w:szCs w:val="20"/>
        </w:rPr>
      </w:pPr>
      <w:r>
        <w:t>----------------------------------</w:t>
      </w:r>
    </w:p>
    <w:p>
      <w:pPr>
        <w:pStyle w:val="Ignora"/>
      </w:pPr>
    </w:p>
    <w:sectPr>
      <w:headerReference w:type="default" r:id="rId11"/>
      <w:footerReference w:type="default" r:id="rId12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2017.2.0</w:t>
          </w:r>
        </w:p>
      </w:tc>
      <w:tc>
        <w:tcPr>
          <w:tcW w:w="1701" w:type="dxa"/>
        </w:tcPr>
        <w:p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1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>
    <w:pPr>
      <w:pStyle w:val="corpoAltF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AltF0"/>
      <w:jc w:val="right"/>
      <w:rPr>
        <w:noProof/>
      </w:rPr>
    </w:pPr>
  </w:p>
  <w:p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12800" cy="349200"/>
                <wp:effectExtent l="0" t="0" r="0" b="0"/>
                <wp:docPr id="9" name="Immagine 9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2017.2.0</w:t>
          </w:r>
        </w:p>
      </w:tc>
      <w:tc>
        <w:tcPr>
          <w:tcW w:w="1701" w:type="dxa"/>
        </w:tcPr>
        <w:p>
          <w:pPr>
            <w:spacing w:line="240" w:lineRule="atLeast"/>
            <w:ind w:right="213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  <w:sz w:val="20"/>
            </w:rPr>
            <w:t>3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  <w:p>
          <w:pPr>
            <w:spacing w:line="240" w:lineRule="atLeast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</w:r>
          <w:r>
            <w:rPr>
              <w:rStyle w:val="Numeropagina"/>
              <w:rFonts w:ascii="Arial" w:hAnsi="Arial" w:cs="Arial"/>
              <w:sz w:val="20"/>
            </w:rPr>
            <w:pict>
              <v:roundrect id="AutoShape 1" o:spid="_x0000_s2049" style="width:68.6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filled="f" fillcolor="#365f91" strokecolor="#365f91 [2404]">
                <v:textbox inset=",.3mm,,.3mm">
                  <w:txbxContent>
                    <w:p>
                      <w:pPr>
                        <w:jc w:val="center"/>
                        <w:rPr>
                          <w:rFonts w:ascii="Verdana" w:hAnsi="Verdana"/>
                          <w:b/>
                          <w:color w:val="365F91"/>
                          <w:sz w:val="12"/>
                          <w:szCs w:val="12"/>
                        </w:rPr>
                      </w:pPr>
                      <w:hyperlink w:anchor="INDICE" w:history="1">
                        <w:r>
                          <w:rPr>
                            <w:rStyle w:val="Collegamentoipertestuale"/>
                            <w:rFonts w:ascii="Verdana" w:hAnsi="Verdana"/>
                            <w:b/>
                            <w:color w:val="365F91"/>
                            <w:sz w:val="12"/>
                            <w:szCs w:val="12"/>
                          </w:rPr>
                          <w:t>Torna all’indice</w:t>
                        </w:r>
                      </w:hyperlink>
                    </w:p>
                  </w:txbxContent>
                </v:textbox>
                <w10:wrap type="none"/>
                <w10:anchorlock/>
              </v:roundrect>
            </w:pict>
          </w:r>
        </w:p>
      </w:tc>
    </w:tr>
  </w:tbl>
  <w:p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>
          <w:pPr>
            <w:pStyle w:val="Intestazione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>
    <w:pPr>
      <w:pStyle w:val="CorpoAltF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>
      <w:trPr>
        <w:trHeight w:hRule="exact" w:val="567"/>
      </w:trPr>
      <w:tc>
        <w:tcPr>
          <w:tcW w:w="9639" w:type="dxa"/>
        </w:tcPr>
        <w:p>
          <w:pPr>
            <w:pStyle w:val="TS-testata-01"/>
            <w:tabs>
              <w:tab w:val="clear" w:pos="9638"/>
            </w:tabs>
            <w:rPr>
              <w:b w:val="0"/>
              <w:color w:val="FFFFFF"/>
              <w:sz w:val="32"/>
            </w:rPr>
          </w:pPr>
          <w:r>
            <w:t>PAGHE – ANOMALIE CORRETTE</w:t>
          </w:r>
        </w:p>
      </w:tc>
    </w:tr>
  </w:tbl>
  <w:p>
    <w:pPr>
      <w:pStyle w:val="corpoAlt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09D"/>
    <w:multiLevelType w:val="hybridMultilevel"/>
    <w:tmpl w:val="6748AA7C"/>
    <w:lvl w:ilvl="0" w:tplc="1EB8005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0A4EEE"/>
    <w:multiLevelType w:val="hybridMultilevel"/>
    <w:tmpl w:val="8F3208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05B8"/>
    <w:multiLevelType w:val="hybridMultilevel"/>
    <w:tmpl w:val="0F7A1414"/>
    <w:lvl w:ilvl="0" w:tplc="4F447CC4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A420A6"/>
    <w:multiLevelType w:val="hybridMultilevel"/>
    <w:tmpl w:val="302678F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603DE9"/>
    <w:multiLevelType w:val="hybridMultilevel"/>
    <w:tmpl w:val="BEF2CE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6C74"/>
    <w:multiLevelType w:val="hybridMultilevel"/>
    <w:tmpl w:val="EF2E4F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1A8C"/>
    <w:multiLevelType w:val="hybridMultilevel"/>
    <w:tmpl w:val="53D21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8186B"/>
    <w:multiLevelType w:val="hybridMultilevel"/>
    <w:tmpl w:val="FB78CB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A490E33"/>
    <w:multiLevelType w:val="hybridMultilevel"/>
    <w:tmpl w:val="D97AA0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81D63"/>
    <w:multiLevelType w:val="hybridMultilevel"/>
    <w:tmpl w:val="300221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B3601"/>
    <w:multiLevelType w:val="hybridMultilevel"/>
    <w:tmpl w:val="F4108B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42755"/>
    <w:multiLevelType w:val="hybridMultilevel"/>
    <w:tmpl w:val="31F28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34453"/>
    <w:multiLevelType w:val="hybridMultilevel"/>
    <w:tmpl w:val="D50815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53CA0"/>
    <w:multiLevelType w:val="hybridMultilevel"/>
    <w:tmpl w:val="2F8688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D7EE0"/>
    <w:multiLevelType w:val="hybridMultilevel"/>
    <w:tmpl w:val="607C0B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C72B1"/>
    <w:multiLevelType w:val="hybridMultilevel"/>
    <w:tmpl w:val="8842C1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65B16"/>
    <w:multiLevelType w:val="hybridMultilevel"/>
    <w:tmpl w:val="ACAAAB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16BBA"/>
    <w:multiLevelType w:val="hybridMultilevel"/>
    <w:tmpl w:val="F5C4FC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51B79"/>
    <w:multiLevelType w:val="hybridMultilevel"/>
    <w:tmpl w:val="6E90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B0174"/>
    <w:multiLevelType w:val="hybridMultilevel"/>
    <w:tmpl w:val="CB4CBB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11B9D"/>
    <w:multiLevelType w:val="hybridMultilevel"/>
    <w:tmpl w:val="17FEB2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405A0"/>
    <w:multiLevelType w:val="hybridMultilevel"/>
    <w:tmpl w:val="DF240B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2040A"/>
    <w:multiLevelType w:val="hybridMultilevel"/>
    <w:tmpl w:val="6520D2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F05FA"/>
    <w:multiLevelType w:val="hybridMultilevel"/>
    <w:tmpl w:val="C9A072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135E2"/>
    <w:multiLevelType w:val="hybridMultilevel"/>
    <w:tmpl w:val="9B72F1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948DF"/>
    <w:multiLevelType w:val="hybridMultilevel"/>
    <w:tmpl w:val="61F8CB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33F5D"/>
    <w:multiLevelType w:val="hybridMultilevel"/>
    <w:tmpl w:val="43E4EA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57C4D"/>
    <w:multiLevelType w:val="hybridMultilevel"/>
    <w:tmpl w:val="CDE464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D78D1"/>
    <w:multiLevelType w:val="hybridMultilevel"/>
    <w:tmpl w:val="B2A6385A"/>
    <w:lvl w:ilvl="0" w:tplc="38F44E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16C5D"/>
    <w:multiLevelType w:val="hybridMultilevel"/>
    <w:tmpl w:val="0EE24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3611D"/>
    <w:multiLevelType w:val="hybridMultilevel"/>
    <w:tmpl w:val="C3FC3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47BC4"/>
    <w:multiLevelType w:val="hybridMultilevel"/>
    <w:tmpl w:val="CF30E2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523B1"/>
    <w:multiLevelType w:val="hybridMultilevel"/>
    <w:tmpl w:val="F460D0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B1612"/>
    <w:multiLevelType w:val="hybridMultilevel"/>
    <w:tmpl w:val="E3AA8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6"/>
  </w:num>
  <w:num w:numId="4">
    <w:abstractNumId w:val="2"/>
  </w:num>
  <w:num w:numId="5">
    <w:abstractNumId w:val="0"/>
  </w:num>
  <w:num w:numId="6">
    <w:abstractNumId w:val="14"/>
  </w:num>
  <w:num w:numId="7">
    <w:abstractNumId w:val="1"/>
  </w:num>
  <w:num w:numId="8">
    <w:abstractNumId w:val="28"/>
  </w:num>
  <w:num w:numId="9">
    <w:abstractNumId w:val="33"/>
  </w:num>
  <w:num w:numId="10">
    <w:abstractNumId w:val="19"/>
  </w:num>
  <w:num w:numId="11">
    <w:abstractNumId w:val="15"/>
  </w:num>
  <w:num w:numId="12">
    <w:abstractNumId w:val="12"/>
  </w:num>
  <w:num w:numId="13">
    <w:abstractNumId w:val="18"/>
  </w:num>
  <w:num w:numId="14">
    <w:abstractNumId w:val="10"/>
  </w:num>
  <w:num w:numId="15">
    <w:abstractNumId w:val="20"/>
  </w:num>
  <w:num w:numId="16">
    <w:abstractNumId w:val="34"/>
  </w:num>
  <w:num w:numId="17">
    <w:abstractNumId w:val="13"/>
  </w:num>
  <w:num w:numId="18">
    <w:abstractNumId w:val="25"/>
  </w:num>
  <w:num w:numId="19">
    <w:abstractNumId w:val="6"/>
  </w:num>
  <w:num w:numId="20">
    <w:abstractNumId w:val="31"/>
  </w:num>
  <w:num w:numId="21">
    <w:abstractNumId w:val="11"/>
  </w:num>
  <w:num w:numId="22">
    <w:abstractNumId w:val="4"/>
  </w:num>
  <w:num w:numId="23">
    <w:abstractNumId w:val="24"/>
  </w:num>
  <w:num w:numId="24">
    <w:abstractNumId w:val="7"/>
  </w:num>
  <w:num w:numId="25">
    <w:abstractNumId w:val="16"/>
  </w:num>
  <w:num w:numId="26">
    <w:abstractNumId w:val="22"/>
  </w:num>
  <w:num w:numId="27">
    <w:abstractNumId w:val="5"/>
  </w:num>
  <w:num w:numId="28">
    <w:abstractNumId w:val="27"/>
  </w:num>
  <w:num w:numId="29">
    <w:abstractNumId w:val="3"/>
  </w:num>
  <w:num w:numId="30">
    <w:abstractNumId w:val="29"/>
  </w:num>
  <w:num w:numId="31">
    <w:abstractNumId w:val="21"/>
  </w:num>
  <w:num w:numId="32">
    <w:abstractNumId w:val="17"/>
  </w:num>
  <w:num w:numId="33">
    <w:abstractNumId w:val="23"/>
  </w:num>
  <w:num w:numId="34">
    <w:abstractNumId w:val="30"/>
  </w:num>
  <w:num w:numId="35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51" fill="f" fillcolor="white" strokecolor="red">
      <v:fill color="white" on="f"/>
      <v:stroke color="red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5:docId w15:val="{E19A0BB9-EAEB-4FD7-9C43-2718ABFF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double" w:sz="4" w:space="1" w:color="365F91"/>
        <w:bottom w:val="double" w:sz="4" w:space="0" w:color="365F91"/>
      </w:pBdr>
      <w:shd w:val="clear" w:color="auto" w:fill="365F91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FFFFFF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rFonts w:cs="Arial"/>
      <w:bCs/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pBdr>
        <w:top w:val="single" w:sz="4" w:space="1" w:color="365F91"/>
        <w:bottom w:val="single" w:sz="4" w:space="0" w:color="365F91"/>
      </w:pBdr>
      <w:shd w:val="clear" w:color="auto" w:fill="auto"/>
      <w:spacing w:before="120"/>
      <w:ind w:left="113"/>
    </w:pPr>
    <w:rPr>
      <w:color w:val="auto"/>
    </w:r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Sommario2"/>
    <w:next w:val="CorpoAltF0"/>
    <w:autoRedefine/>
    <w:uiPriority w:val="39"/>
    <w:pPr>
      <w:pBdr>
        <w:top w:val="none" w:sz="0" w:space="0" w:color="auto"/>
        <w:bottom w:val="none" w:sz="0" w:space="0" w:color="auto"/>
      </w:pBdr>
      <w:shd w:val="clear" w:color="auto" w:fill="D9D9D9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 w:cs="Arial"/>
      <w:b/>
      <w:bCs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NormativaSoftware">
    <w:name w:val="WW_NormativaSoftware"/>
    <w:basedOn w:val="TS-titolo-Comando"/>
    <w:next w:val="CorpoAltF0"/>
    <w:qFormat/>
    <w:pPr>
      <w:spacing w:before="60"/>
      <w:jc w:val="left"/>
    </w:pPr>
    <w:rPr>
      <w:color w:val="17365D"/>
      <w:sz w:val="28"/>
    </w:rPr>
  </w:style>
  <w:style w:type="paragraph" w:customStyle="1" w:styleId="WWAnomalie">
    <w:name w:val="WW_Anomalie"/>
    <w:basedOn w:val="WWNormativaSoftware"/>
    <w:next w:val="CorpoAltF0"/>
    <w:link w:val="WWAnomalieCarattere"/>
    <w:pPr>
      <w:ind w:left="176"/>
    </w:pPr>
  </w:style>
  <w:style w:type="character" w:customStyle="1" w:styleId="WWAnomalieCarattere">
    <w:name w:val="WW_Anomalie Carattere"/>
    <w:link w:val="WWAnomalie"/>
    <w:rPr>
      <w:rFonts w:ascii="Arial" w:hAnsi="Arial"/>
      <w:b/>
      <w:bCs/>
      <w:color w:val="17365D"/>
      <w:sz w:val="28"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styleId="CodiceHTML">
    <w:name w:val="HTML Code"/>
    <w:basedOn w:val="Carpredefinitoparagrafo"/>
    <w:uiPriority w:val="99"/>
    <w:semiHidden/>
    <w:unhideWhenUsed/>
    <w:rPr>
      <w:rFonts w:ascii="Consolas" w:eastAsia="Times New Roman" w:hAnsi="Consolas" w:cs="Consolas" w:hint="default"/>
      <w:sz w:val="20"/>
      <w:szCs w:val="20"/>
    </w:rPr>
  </w:style>
  <w:style w:type="character" w:customStyle="1" w:styleId="diffout1">
    <w:name w:val="diff_out1"/>
    <w:basedOn w:val="Carpredefinitoparagrafo"/>
    <w:rPr>
      <w:shd w:val="clear" w:color="auto" w:fill="FFCCCC"/>
    </w:rPr>
  </w:style>
  <w:style w:type="character" w:customStyle="1" w:styleId="diffin1">
    <w:name w:val="diff_in1"/>
    <w:basedOn w:val="Carpredefinitoparagrafo"/>
    <w:rPr>
      <w:shd w:val="clear" w:color="auto" w:fill="CCFFCC"/>
    </w:rPr>
  </w:style>
  <w:style w:type="paragraph" w:customStyle="1" w:styleId="Ignora">
    <w:name w:val="Ignora"/>
    <w:basedOn w:val="CorpoAltF0"/>
    <w:qFormat/>
  </w:style>
  <w:style w:type="paragraph" w:styleId="Paragrafoelenco">
    <w:name w:val="List Paragraph"/>
    <w:basedOn w:val="Normale"/>
    <w:uiPriority w:val="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2850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2321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0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2576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71003324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8166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1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0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4863">
              <w:marLeft w:val="1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7445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6893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1737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05473854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7298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1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4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28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0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943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48964071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7129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3792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203275333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209481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3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0204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86791081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7670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4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6435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28319295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19041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3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2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0781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3769263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8704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5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5139">
                      <w:marLeft w:val="15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191990081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4084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1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74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adsen\Winny\Paghe\Documentale\MODELLI%20NOTE\PAGHE_AAAAXXYY_A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5C62-394B-44E8-A51B-2D6B273D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PAGHE_AAAAXXYY_AN.dotx</Template>
  <TotalTime>1868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5457</CharactersWithSpaces>
  <SharedDoc>false</SharedDoc>
  <HLinks>
    <vt:vector size="84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_Toc425959737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_Toc425959736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_Toc425959735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_Toc425959734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_Toc425959733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_Toc425959732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_Toc425959731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_Toc425959730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_Toc425959729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_Toc425959728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_Toc425959727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_Toc425959726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_Toc425959725</vt:lpwstr>
      </vt:variant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INDICE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Luca Moricoli</dc:creator>
  <cp:lastModifiedBy>Luca Moricoli</cp:lastModifiedBy>
  <cp:revision>104</cp:revision>
  <cp:lastPrinted>2017-10-17T15:41:00Z</cp:lastPrinted>
  <dcterms:created xsi:type="dcterms:W3CDTF">2017-07-12T16:23:00Z</dcterms:created>
  <dcterms:modified xsi:type="dcterms:W3CDTF">2017-10-17T15:41:00Z</dcterms:modified>
</cp:coreProperties>
</file>