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CorpoAltF0"/>
        <w:rPr>
          <w:sz w:val="10"/>
          <w:szCs w:val="10"/>
        </w:rPr>
      </w:pPr>
    </w:p>
    <w:tbl>
      <w:tblPr>
        <w:tblStyle w:val="Grigliatabella"/>
        <w:tblW w:w="9639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>
        <w:trPr>
          <w:jc w:val="center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>
            <w:pPr>
              <w:pStyle w:val="WWRelease"/>
              <w:jc w:val="center"/>
              <w:rPr>
                <w:lang w:val="en-US"/>
              </w:rPr>
            </w:pPr>
            <w:r>
              <w:rPr>
                <w:lang w:val="en-US"/>
              </w:rPr>
              <w:t>RELEASE Versione 2017.2.0</w:t>
            </w:r>
          </w:p>
        </w:tc>
      </w:tr>
    </w:tbl>
    <w:p>
      <w:pPr>
        <w:pStyle w:val="CorpoAltF0"/>
        <w:rPr>
          <w:sz w:val="10"/>
          <w:szCs w:val="1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1974"/>
        <w:gridCol w:w="3854"/>
      </w:tblGrid>
      <w:tr>
        <w:trPr>
          <w:cantSplit/>
          <w:trHeight w:val="340"/>
          <w:jc w:val="center"/>
        </w:trPr>
        <w:tc>
          <w:tcPr>
            <w:tcW w:w="3820" w:type="dxa"/>
            <w:vMerge w:val="restart"/>
            <w:tcBorders>
              <w:top w:val="nil"/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pStyle w:val="WWTipoDocumento"/>
            </w:pPr>
            <w:r>
              <w:t>CONTENUTO DEL RILASCIO</w:t>
            </w:r>
          </w:p>
          <w:p>
            <w:pPr>
              <w:pStyle w:val="CorpoAltF0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2350135" cy="2820670"/>
                  <wp:effectExtent l="0" t="0" r="0" b="0"/>
                  <wp:docPr id="3" name="Immagine 3" descr="PAGHE_splash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HE_splash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135" cy="282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Applicativo: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GECOM PAGHE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Oggetto: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</w:rPr>
            </w:pPr>
            <w:r>
              <w:rPr>
                <w:rFonts w:cs="Arial"/>
              </w:rPr>
              <w:t>Aggiornamento procedura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2017.2.0 (Versione completa)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di rilascio: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17.10.2017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Riferimento: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Contenuto del Rilascio</w:t>
            </w:r>
          </w:p>
        </w:tc>
      </w:tr>
      <w:tr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Classificazione: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Guida utente</w:t>
            </w:r>
          </w:p>
        </w:tc>
      </w:tr>
      <w:tr>
        <w:trPr>
          <w:cantSplit/>
          <w:trHeight w:hRule="exact" w:val="113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5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</w:tr>
      <w:tr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CCCCC"/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COMPATIBILITA’</w:t>
            </w:r>
          </w:p>
        </w:tc>
      </w:tr>
      <w:tr>
        <w:trPr>
          <w:cantSplit/>
          <w:trHeight w:val="348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PAGHE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Versione  2017</w:t>
            </w:r>
            <w:proofErr w:type="gramEnd"/>
            <w:r>
              <w:rPr>
                <w:rFonts w:ascii="Arial" w:hAnsi="Arial" w:cs="Arial"/>
                <w:b/>
              </w:rPr>
              <w:t>.1.5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EMENS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Versione  2017</w:t>
            </w:r>
            <w:proofErr w:type="gramEnd"/>
            <w:r>
              <w:rPr>
                <w:rFonts w:ascii="Arial" w:hAnsi="Arial" w:cs="Arial"/>
                <w:b/>
              </w:rPr>
              <w:t>.2.0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F24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Versione  2017</w:t>
            </w:r>
            <w:proofErr w:type="gramEnd"/>
            <w:r>
              <w:rPr>
                <w:rFonts w:ascii="Arial" w:hAnsi="Arial" w:cs="Arial"/>
                <w:b/>
              </w:rPr>
              <w:t>.1.5</w:t>
            </w:r>
          </w:p>
        </w:tc>
      </w:tr>
      <w:tr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STUDIO PAGHE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Versione  2017</w:t>
            </w:r>
            <w:proofErr w:type="gramEnd"/>
            <w:r>
              <w:rPr>
                <w:rFonts w:ascii="Arial" w:hAnsi="Arial" w:cs="Arial"/>
                <w:b/>
              </w:rPr>
              <w:t>.3.2</w:t>
            </w:r>
          </w:p>
        </w:tc>
      </w:tr>
      <w:tr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shd w:val="clear" w:color="auto" w:fill="auto"/>
            <w:tcMar>
              <w:left w:w="28" w:type="dxa"/>
              <w:right w:w="28" w:type="dxa"/>
            </w:tcMar>
          </w:tcPr>
          <w:p>
            <w:pPr>
              <w:pStyle w:val="Titoloindice"/>
              <w:rPr>
                <w:color w:val="000000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 il dettaglio dei requisiti e delle versioni minime inerenti software di base e sistemi operativi consultare la tabella in coda al presente documento</w:t>
            </w:r>
          </w:p>
        </w:tc>
      </w:tr>
    </w:tbl>
    <w:p>
      <w:pPr>
        <w:pStyle w:val="CorpoAltF0"/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71"/>
      </w:tblGrid>
      <w:tr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>
            <w:pPr>
              <w:pStyle w:val="WWContenutoRilascio"/>
            </w:pPr>
            <w:r>
              <w:t>Contenuto del rilascio</w:t>
            </w:r>
          </w:p>
        </w:tc>
      </w:tr>
      <w:tr>
        <w:trPr>
          <w:jc w:val="center"/>
        </w:trPr>
        <w:tc>
          <w:tcPr>
            <w:tcW w:w="9671" w:type="dxa"/>
          </w:tcPr>
          <w:p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Fondo </w:t>
            </w:r>
            <w:proofErr w:type="spellStart"/>
            <w:r>
              <w:rPr>
                <w:b/>
                <w:sz w:val="22"/>
                <w:szCs w:val="22"/>
              </w:rPr>
              <w:t>Metasalute</w:t>
            </w:r>
            <w:proofErr w:type="spellEnd"/>
            <w:r>
              <w:rPr>
                <w:b/>
                <w:sz w:val="22"/>
                <w:szCs w:val="22"/>
              </w:rPr>
              <w:t xml:space="preserve"> – Nuova disciplina: regolamento fase transitoria</w:t>
            </w:r>
          </w:p>
          <w:p>
            <w:pPr>
              <w:pStyle w:val="corpoAltF"/>
              <w:ind w:left="454" w:right="170"/>
            </w:pPr>
            <w:r>
              <w:t xml:space="preserve">Modificato il programma per gestire il calcolo ed il versamento della contribuzione al Fondo </w:t>
            </w:r>
            <w:proofErr w:type="spellStart"/>
            <w:r>
              <w:t>Metasalute</w:t>
            </w:r>
            <w:proofErr w:type="spellEnd"/>
            <w:r>
              <w:t xml:space="preserve"> per il periodo dal 1° settembre 2017 al 31 dicembre 2017, come da Regolamento pubblicato sul proprio sito il 25 luglio 2017.</w:t>
            </w:r>
          </w:p>
          <w:p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UTYCTRAE – Rimozione tabella altri contributi dipendente</w:t>
            </w:r>
          </w:p>
          <w:p>
            <w:pPr>
              <w:pStyle w:val="corpoAltF"/>
              <w:ind w:left="454" w:right="170"/>
              <w:rPr>
                <w:b/>
              </w:rPr>
            </w:pPr>
            <w:r>
              <w:t xml:space="preserve">Utility per rimuovere massivamente dall’anagrafica dei dipendenti il collegamento ad una determinata tabella </w:t>
            </w:r>
            <w:r>
              <w:rPr>
                <w:b/>
              </w:rPr>
              <w:t>TB0306</w:t>
            </w:r>
            <w:r>
              <w:t xml:space="preserve"> – “</w:t>
            </w:r>
            <w:r>
              <w:rPr>
                <w:i/>
              </w:rPr>
              <w:t>Contributi altri enti azienda/dipendente</w:t>
            </w:r>
            <w:r>
              <w:t>”.</w:t>
            </w:r>
          </w:p>
          <w:p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Aziende agricole</w:t>
            </w:r>
          </w:p>
          <w:p>
            <w:pPr>
              <w:pStyle w:val="corpoAltF"/>
              <w:ind w:left="454" w:right="170"/>
            </w:pPr>
            <w:r>
              <w:t>Implementato calcolo degli elementi territoriali della retribuzione per gli operai agricoli in funzione della provincia/regione di riferimento del fondo agricolo di lavoro.</w:t>
            </w:r>
          </w:p>
          <w:p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CCNL Turismo ANPIT – Indennità Annuale di Mancata Contrattazione</w:t>
            </w:r>
          </w:p>
          <w:p>
            <w:pPr>
              <w:pStyle w:val="corpoAltF"/>
              <w:ind w:left="454" w:right="170"/>
            </w:pPr>
            <w:r>
              <w:t>Con riferimento al CCNL in oggetto (</w:t>
            </w:r>
            <w:r>
              <w:rPr>
                <w:b/>
              </w:rPr>
              <w:t>CONTRA</w:t>
            </w:r>
            <w:r>
              <w:t xml:space="preserve"> codici </w:t>
            </w:r>
            <w:r>
              <w:rPr>
                <w:b/>
              </w:rPr>
              <w:t>8189/8190</w:t>
            </w:r>
            <w:r>
              <w:t xml:space="preserve">) modificato il comando </w:t>
            </w:r>
            <w:r>
              <w:rPr>
                <w:b/>
              </w:rPr>
              <w:t>UTYIAMC</w:t>
            </w:r>
            <w:r>
              <w:t xml:space="preserve"> per consentire l’erogazione delle quote maturate relative al 2017 (gennaio – aprile).</w:t>
            </w:r>
          </w:p>
          <w:p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AZIE / DIPE – Gestione storico</w:t>
            </w:r>
          </w:p>
          <w:p>
            <w:pPr>
              <w:pStyle w:val="CorpoAltF0"/>
              <w:ind w:left="448"/>
              <w:rPr>
                <w:rFonts w:cs="Arial"/>
              </w:rPr>
            </w:pPr>
            <w:r>
              <w:t>La “</w:t>
            </w:r>
            <w:r>
              <w:rPr>
                <w:i/>
              </w:rPr>
              <w:t>Gestione storico</w:t>
            </w:r>
            <w:r>
              <w:t>” (pulsante “</w:t>
            </w:r>
            <w:r>
              <w:rPr>
                <w:i/>
              </w:rPr>
              <w:t>Funzioni</w:t>
            </w:r>
            <w:r>
              <w:t xml:space="preserve">” di </w:t>
            </w:r>
            <w:r>
              <w:rPr>
                <w:b/>
              </w:rPr>
              <w:t>AZIE</w:t>
            </w:r>
            <w:r>
              <w:t xml:space="preserve"> e </w:t>
            </w:r>
            <w:r>
              <w:rPr>
                <w:b/>
              </w:rPr>
              <w:t>DIPE</w:t>
            </w:r>
            <w:r>
              <w:t xml:space="preserve">) è stata implementata al fine di memorizzare, </w:t>
            </w:r>
            <w:r>
              <w:rPr>
                <w:rFonts w:cs="Arial"/>
              </w:rPr>
              <w:t xml:space="preserve">per ogni periodo storicizzato, </w:t>
            </w:r>
            <w:r>
              <w:t>la data e l’utente</w:t>
            </w:r>
            <w:r>
              <w:rPr>
                <w:rFonts w:cs="Arial"/>
              </w:rPr>
              <w:t xml:space="preserve"> che ha apportato l’ultima modifica anagrafica senza generare un nuovo periodo di validità.</w:t>
            </w:r>
          </w:p>
          <w:p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TB0307 – Tabella contributi cassa edile</w:t>
            </w:r>
          </w:p>
          <w:p>
            <w:pPr>
              <w:pStyle w:val="corpoAltF"/>
              <w:ind w:left="454" w:right="170"/>
            </w:pPr>
            <w:r>
              <w:t>Modificato il calcolo associato al “</w:t>
            </w:r>
            <w:r>
              <w:rPr>
                <w:i/>
              </w:rPr>
              <w:t>Codice calcolo particolare</w:t>
            </w:r>
            <w:r>
              <w:t xml:space="preserve">” </w:t>
            </w:r>
            <w:r>
              <w:rPr>
                <w:b/>
              </w:rPr>
              <w:t>PR00</w:t>
            </w:r>
            <w:r>
              <w:t xml:space="preserve"> (Cassa Edile di Parma).</w:t>
            </w:r>
          </w:p>
          <w:p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41" w:right="170" w:hanging="28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TB1223 – Selezione scadenze automatiche</w:t>
            </w:r>
          </w:p>
          <w:p>
            <w:pPr>
              <w:pStyle w:val="CorpoAltF0"/>
              <w:ind w:left="442"/>
            </w:pPr>
            <w:r>
              <w:t xml:space="preserve">Inserita la possibilità di escludere </w:t>
            </w:r>
            <w:r>
              <w:t>una delle scadenze previste</w:t>
            </w:r>
            <w:r>
              <w:t xml:space="preserve"> dalla gestione delle scadenze automatiche</w:t>
            </w:r>
            <w:r>
              <w:rPr>
                <w:rFonts w:cs="Arial"/>
              </w:rPr>
              <w:t>.</w:t>
            </w:r>
          </w:p>
          <w:p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STEDIL – Cassa Edile di Torino</w:t>
            </w:r>
          </w:p>
          <w:p>
            <w:pPr>
              <w:pStyle w:val="corpoAltF"/>
              <w:ind w:left="454" w:right="170"/>
            </w:pPr>
            <w:r>
              <w:t>Modificata la modalità di compilazione del campo &lt;</w:t>
            </w:r>
            <w:proofErr w:type="spellStart"/>
            <w:r>
              <w:t>TFR_PagaOraria</w:t>
            </w:r>
            <w:proofErr w:type="spellEnd"/>
            <w:r>
              <w:t>&gt; del file telematico MUT e della stampa “</w:t>
            </w:r>
            <w:r>
              <w:rPr>
                <w:i/>
              </w:rPr>
              <w:t>Elenco dei lavoratori oc</w:t>
            </w:r>
            <w:bookmarkStart w:id="0" w:name="_GoBack"/>
            <w:bookmarkEnd w:id="0"/>
            <w:r>
              <w:rPr>
                <w:i/>
              </w:rPr>
              <w:t>cupati</w:t>
            </w:r>
            <w:r>
              <w:t>”.</w:t>
            </w:r>
          </w:p>
          <w:p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UTYINC &gt; Calcolo recupero</w:t>
            </w:r>
          </w:p>
          <w:p>
            <w:pPr>
              <w:pStyle w:val="corpoAltF"/>
              <w:ind w:left="454" w:right="170"/>
            </w:pPr>
            <w:r>
              <w:t>Relativamente all’incentivo occupazione giovani implementata la scelta in oggetto al fine di effettuare il ricalcolo dell’incentivo per tutte le mensilità spettanti precedenti quella corrente.</w:t>
            </w:r>
          </w:p>
          <w:p>
            <w:pPr>
              <w:pStyle w:val="corpoAltF"/>
              <w:ind w:left="441" w:right="170"/>
            </w:pPr>
          </w:p>
          <w:p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20"/>
              <w:ind w:left="443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Anomalie risolte</w:t>
            </w:r>
          </w:p>
          <w:p>
            <w:pPr>
              <w:pStyle w:val="corpoAltF"/>
              <w:ind w:left="441" w:right="170"/>
            </w:pPr>
            <w:r>
              <w:t>Correzione anomalie varie.</w:t>
            </w:r>
          </w:p>
          <w:p>
            <w:pPr>
              <w:pStyle w:val="corpoAltF"/>
            </w:pPr>
          </w:p>
        </w:tc>
      </w:tr>
    </w:tbl>
    <w:p>
      <w:pPr>
        <w:pStyle w:val="CorpoAltF0"/>
      </w:pPr>
    </w:p>
    <w:p>
      <w:pPr>
        <w:pStyle w:val="CorpoAltF0"/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71"/>
      </w:tblGrid>
      <w:tr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>
            <w:pPr>
              <w:pStyle w:val="WWContenutoRilascio"/>
              <w:rPr>
                <w:rFonts w:cs="Arial"/>
              </w:rPr>
            </w:pPr>
            <w:r>
              <w:rPr>
                <w:rFonts w:cs="Arial"/>
              </w:rPr>
              <w:t>Avvertenze / Operazioni manuali</w:t>
            </w:r>
          </w:p>
        </w:tc>
      </w:tr>
      <w:tr>
        <w:trPr>
          <w:jc w:val="center"/>
        </w:trPr>
        <w:tc>
          <w:tcPr>
            <w:tcW w:w="9671" w:type="dxa"/>
          </w:tcPr>
          <w:p>
            <w:pPr>
              <w:pStyle w:val="corpoAltF"/>
              <w:ind w:left="454" w:right="170"/>
              <w:rPr>
                <w:b/>
                <w:sz w:val="22"/>
                <w:szCs w:val="22"/>
              </w:rPr>
            </w:pPr>
          </w:p>
          <w:p>
            <w:pPr>
              <w:pStyle w:val="corpoAltF"/>
              <w:numPr>
                <w:ilvl w:val="0"/>
                <w:numId w:val="6"/>
              </w:numPr>
              <w:tabs>
                <w:tab w:val="clear" w:pos="720"/>
              </w:tabs>
              <w:spacing w:before="12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Dopo l’installazione della presente versione, è necessario effettuare il comando di conversione</w:t>
            </w:r>
          </w:p>
          <w:p>
            <w:pPr>
              <w:pStyle w:val="corpoAltF"/>
              <w:ind w:left="68" w:right="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CONVERS</w:t>
            </w:r>
          </w:p>
          <w:p>
            <w:pPr>
              <w:pStyle w:val="corpoAltF"/>
              <w:ind w:left="454" w:right="170"/>
              <w:rPr>
                <w:b/>
                <w:sz w:val="22"/>
                <w:szCs w:val="22"/>
              </w:rPr>
            </w:pPr>
          </w:p>
          <w:p>
            <w:pPr>
              <w:pStyle w:val="corpoAltF"/>
              <w:ind w:left="454" w:right="170"/>
              <w:rPr>
                <w:b/>
                <w:sz w:val="22"/>
                <w:szCs w:val="22"/>
              </w:rPr>
            </w:pPr>
          </w:p>
          <w:p>
            <w:pPr>
              <w:pStyle w:val="corpoAltF"/>
              <w:numPr>
                <w:ilvl w:val="0"/>
                <w:numId w:val="6"/>
              </w:numPr>
              <w:tabs>
                <w:tab w:val="clear" w:pos="720"/>
              </w:tabs>
              <w:spacing w:before="120"/>
              <w:ind w:left="454" w:right="170" w:hanging="284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Compatibilità con procedure UNICA e G770</w:t>
            </w:r>
          </w:p>
          <w:p>
            <w:pPr>
              <w:pStyle w:val="corpoAltF"/>
              <w:spacing w:before="40"/>
              <w:ind w:left="454" w:righ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 funzione delle modifiche apportate con il presente aggiornamento, non sarà possibile effettuare il prelievo dei dati PAGHE nei modelli CU e 770, fino al rilascio dei rispettivi aggiornamenti UNICA 2017.1.0 e G770 2017.1.0.</w:t>
            </w:r>
          </w:p>
          <w:p>
            <w:pPr>
              <w:pStyle w:val="corpoAltF"/>
              <w:ind w:left="454" w:right="170"/>
              <w:rPr>
                <w:b/>
                <w:sz w:val="22"/>
                <w:szCs w:val="22"/>
              </w:rPr>
            </w:pPr>
          </w:p>
          <w:p>
            <w:pPr>
              <w:pStyle w:val="CorpoAltF0"/>
            </w:pPr>
          </w:p>
        </w:tc>
      </w:tr>
    </w:tbl>
    <w:p>
      <w:pPr>
        <w:pStyle w:val="CorpoAltF0"/>
      </w:pPr>
      <w:bookmarkStart w:id="1" w:name="_Toc33011301"/>
      <w:r>
        <w:br w:type="page"/>
      </w:r>
    </w:p>
    <w:p>
      <w:pPr>
        <w:pStyle w:val="CorpoAltF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1E0" w:firstRow="1" w:lastRow="1" w:firstColumn="1" w:lastColumn="1" w:noHBand="0" w:noVBand="0"/>
      </w:tblPr>
      <w:tblGrid>
        <w:gridCol w:w="9671"/>
      </w:tblGrid>
      <w:tr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>
            <w:pPr>
              <w:pStyle w:val="WWContenutoRilascio"/>
              <w:rPr>
                <w:rFonts w:cs="Arial"/>
              </w:rPr>
            </w:pPr>
            <w:r>
              <w:rPr>
                <w:rFonts w:cs="Arial"/>
              </w:rPr>
              <w:t>Note di installazione</w:t>
            </w:r>
          </w:p>
        </w:tc>
      </w:tr>
    </w:tbl>
    <w:p>
      <w:pPr>
        <w:pStyle w:val="CorpoAltF0"/>
        <w:rPr>
          <w:sz w:val="10"/>
          <w:szCs w:val="10"/>
        </w:rPr>
      </w:pPr>
    </w:p>
    <w:tbl>
      <w:tblPr>
        <w:tblW w:w="9646" w:type="dxa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25"/>
        <w:gridCol w:w="4821"/>
      </w:tblGrid>
      <w:tr>
        <w:trPr>
          <w:jc w:val="center"/>
        </w:trPr>
        <w:tc>
          <w:tcPr>
            <w:tcW w:w="4825" w:type="dxa"/>
            <w:shd w:val="clear" w:color="auto" w:fill="BFBFBF"/>
          </w:tcPr>
          <w:p>
            <w:pPr>
              <w:pStyle w:val="corpoAltF"/>
              <w:ind w:left="4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Ambiente WINDOWS</w:t>
            </w:r>
          </w:p>
        </w:tc>
        <w:tc>
          <w:tcPr>
            <w:tcW w:w="4821" w:type="dxa"/>
            <w:shd w:val="clear" w:color="auto" w:fill="BFBFBF"/>
          </w:tcPr>
          <w:p>
            <w:pPr>
              <w:pStyle w:val="corpoAlt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Ambiente LINUX</w:t>
            </w:r>
          </w:p>
        </w:tc>
      </w:tr>
      <w:tr>
        <w:trPr>
          <w:jc w:val="center"/>
        </w:trPr>
        <w:tc>
          <w:tcPr>
            <w:tcW w:w="4825" w:type="dxa"/>
          </w:tcPr>
          <w:p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L’applicativo potrà essere installato a seconda della modalità di distribuzione.</w:t>
            </w:r>
          </w:p>
          <w:p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Modulo autoscompattante “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autoinst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”: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Selezionare il bottone “installa”</w:t>
            </w:r>
          </w:p>
          <w:p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CDROM applicativi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TeamCD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Inserire il CD-ROM nel drive del server e confermare l’avvio dell’installazione</w:t>
            </w:r>
          </w:p>
          <w:p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4"/>
                <w:szCs w:val="14"/>
              </w:rPr>
            </w:pPr>
          </w:p>
        </w:tc>
        <w:tc>
          <w:tcPr>
            <w:tcW w:w="4821" w:type="dxa"/>
          </w:tcPr>
          <w:p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Dalla console, come super-utente (root), digitare il comando AGGTAR.</w:t>
            </w:r>
          </w:p>
          <w:p>
            <w:pPr>
              <w:autoSpaceDE w:val="0"/>
              <w:autoSpaceDN w:val="0"/>
              <w:adjustRightInd w:val="0"/>
              <w:ind w:left="142" w:right="142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 modalità di installazione rese disponibili da questo comando saranno: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CD-ROM: Inserire il CD-ROM nel drive del server e confermare l’avvio dell’installazione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EXE: Scaricare i file in arrivo da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TeamCast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e confermare l’avvio dell’installazione</w:t>
            </w:r>
          </w:p>
          <w:p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4"/>
                <w:szCs w:val="14"/>
              </w:rPr>
            </w:pPr>
          </w:p>
        </w:tc>
      </w:tr>
    </w:tbl>
    <w:p>
      <w:pPr>
        <w:pStyle w:val="CorpoAltF0"/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2665"/>
        <w:gridCol w:w="6974"/>
      </w:tblGrid>
      <w:tr>
        <w:trPr>
          <w:trHeight w:val="397"/>
          <w:jc w:val="center"/>
        </w:trPr>
        <w:tc>
          <w:tcPr>
            <w:tcW w:w="9639" w:type="dxa"/>
            <w:gridSpan w:val="2"/>
            <w:shd w:val="clear" w:color="auto" w:fill="DBDBDB"/>
            <w:vAlign w:val="center"/>
          </w:tcPr>
          <w:p>
            <w:pPr>
              <w:pStyle w:val="Intestazione"/>
              <w:ind w:left="-108"/>
              <w:jc w:val="center"/>
              <w:rPr>
                <w:rFonts w:ascii="LFT Etica Lt" w:hAnsi="LFT Etica Lt" w:cs="Arial"/>
                <w:b/>
                <w:sz w:val="26"/>
                <w:szCs w:val="26"/>
              </w:rPr>
            </w:pPr>
            <w:r>
              <w:rPr>
                <w:rFonts w:ascii="LFT Etica Lt" w:hAnsi="LFT Etica Lt" w:cs="Arial"/>
                <w:b/>
                <w:sz w:val="26"/>
                <w:szCs w:val="26"/>
              </w:rPr>
              <w:t>Tabella riepilogativa Sistemi Operativi supportati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2665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Sistema Operativo</w:t>
            </w:r>
          </w:p>
        </w:tc>
        <w:tc>
          <w:tcPr>
            <w:tcW w:w="697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Versione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1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pStyle w:val="Titolo2"/>
              <w:jc w:val="center"/>
              <w:rPr>
                <w:rFonts w:ascii="LFT Etica Lt" w:hAnsi="LFT Etica Lt"/>
                <w:b w:val="0"/>
                <w:sz w:val="18"/>
                <w:szCs w:val="16"/>
              </w:rPr>
            </w:pPr>
            <w:r>
              <w:rPr>
                <w:rFonts w:ascii="LFT Etica Lt" w:hAnsi="LFT Etica Lt"/>
                <w:sz w:val="18"/>
                <w:szCs w:val="16"/>
              </w:rPr>
              <w:t xml:space="preserve">Windows </w:t>
            </w:r>
            <w:r>
              <w:rPr>
                <w:rFonts w:ascii="LFT Etica Lt" w:hAnsi="LFT Etica Lt"/>
                <w:b w:val="0"/>
                <w:sz w:val="18"/>
                <w:szCs w:val="16"/>
              </w:rPr>
              <w:t>(1)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2008 Server SP2 </w:t>
            </w:r>
            <w: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  <w:t>(2)</w:t>
            </w:r>
          </w:p>
          <w:p>
            <w:pP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2008 R2 SP1 </w:t>
            </w:r>
            <w: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  <w:t>(2)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SBS 2008 Server SP2 (2)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7 Professional 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SBS 2011 Server (2)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Server 2012, 2012 R2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8.1 Pro 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10 Pro 30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Server 2016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7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>Linux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SLES 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11-SP3, 11-SP4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Ubuntu 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14.04 LTS, 16.04 LTS, 17.04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>Fedora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22, 25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CentOS 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6.4, 6.5, 6.6, 7.3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PowerPC - </w:t>
            </w:r>
            <w:r>
              <w:rPr>
                <w:rFonts w:ascii="LFT Etica Lt" w:hAnsi="LFT Etica Lt" w:cs="Arial"/>
                <w:b/>
                <w:sz w:val="18"/>
                <w:szCs w:val="16"/>
                <w:lang w:val="en-GB"/>
              </w:rPr>
              <w:t>OpenSuse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10.3</w:t>
            </w:r>
          </w:p>
          <w:p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PowerPC - </w:t>
            </w:r>
            <w:r>
              <w:rPr>
                <w:rFonts w:ascii="LFT Etica Lt" w:hAnsi="LFT Etica Lt" w:cs="Arial"/>
                <w:b/>
                <w:sz w:val="18"/>
                <w:szCs w:val="16"/>
                <w:lang w:val="en-GB"/>
              </w:rPr>
              <w:t>SLES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11-SP3, 11-SP4</w:t>
            </w:r>
          </w:p>
        </w:tc>
      </w:tr>
    </w:tbl>
    <w:p>
      <w:pPr>
        <w:pStyle w:val="CorpoAltF0"/>
        <w:rPr>
          <w:sz w:val="10"/>
          <w:szCs w:val="10"/>
          <w:lang w:val="en-GB"/>
        </w:rPr>
      </w:pPr>
    </w:p>
    <w:p>
      <w:pPr>
        <w:numPr>
          <w:ilvl w:val="0"/>
          <w:numId w:val="5"/>
        </w:numPr>
        <w:ind w:left="284" w:hanging="284"/>
        <w:jc w:val="both"/>
        <w:rPr>
          <w:rFonts w:ascii="LFT Etica Lt" w:hAnsi="LFT Etica Lt" w:cs="Arial"/>
          <w:sz w:val="18"/>
          <w:szCs w:val="16"/>
        </w:rPr>
      </w:pPr>
      <w:r>
        <w:rPr>
          <w:rFonts w:ascii="LFT Etica Lt" w:hAnsi="LFT Etica Lt" w:cs="Arial"/>
          <w:sz w:val="18"/>
          <w:szCs w:val="18"/>
        </w:rPr>
        <w:t>Sono escluse tutte le versioni dei sistemi operativi destinate ad un’utenza ‘Home’.</w:t>
      </w:r>
    </w:p>
    <w:p>
      <w:pPr>
        <w:numPr>
          <w:ilvl w:val="0"/>
          <w:numId w:val="8"/>
        </w:numPr>
        <w:ind w:left="284" w:hanging="284"/>
        <w:jc w:val="both"/>
        <w:rPr>
          <w:rFonts w:ascii="LFT Etica Lt" w:hAnsi="LFT Etica Lt" w:cs="Arial"/>
          <w:sz w:val="18"/>
          <w:szCs w:val="16"/>
        </w:rPr>
      </w:pPr>
      <w:r>
        <w:rPr>
          <w:rFonts w:ascii="LFT Etica Lt" w:hAnsi="LFT Etica Lt" w:cs="Arial"/>
          <w:sz w:val="18"/>
          <w:szCs w:val="16"/>
        </w:rPr>
        <w:t>ATTENZIONE: si consiglia l’utilizzo della versione Windows Server 2012 e successive</w:t>
      </w:r>
    </w:p>
    <w:p>
      <w:pPr>
        <w:pStyle w:val="CorpoAltF0"/>
        <w:rPr>
          <w:sz w:val="10"/>
          <w:szCs w:val="10"/>
        </w:rPr>
      </w:pPr>
    </w:p>
    <w:p>
      <w:pPr>
        <w:pStyle w:val="CorpoAltF0"/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2665"/>
        <w:gridCol w:w="6974"/>
      </w:tblGrid>
      <w:tr>
        <w:trPr>
          <w:trHeight w:val="397"/>
          <w:jc w:val="center"/>
        </w:trPr>
        <w:tc>
          <w:tcPr>
            <w:tcW w:w="9639" w:type="dxa"/>
            <w:gridSpan w:val="2"/>
            <w:shd w:val="clear" w:color="auto" w:fill="DBDBDB"/>
            <w:vAlign w:val="center"/>
          </w:tcPr>
          <w:p>
            <w:pPr>
              <w:pStyle w:val="Intestazione"/>
              <w:ind w:left="-108"/>
              <w:jc w:val="center"/>
              <w:rPr>
                <w:rFonts w:ascii="LFT Etica Lt" w:hAnsi="LFT Etica Lt" w:cs="Arial"/>
                <w:b/>
                <w:sz w:val="26"/>
                <w:szCs w:val="26"/>
              </w:rPr>
            </w:pPr>
            <w:r>
              <w:rPr>
                <w:rFonts w:ascii="LFT Etica Lt" w:hAnsi="LFT Etica Lt" w:cs="Arial"/>
                <w:b/>
                <w:sz w:val="26"/>
                <w:szCs w:val="26"/>
              </w:rPr>
              <w:t>Tabella riepilogativa Sistemi Operativi in dismissione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2665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Sistema Operativo</w:t>
            </w:r>
          </w:p>
        </w:tc>
        <w:tc>
          <w:tcPr>
            <w:tcW w:w="697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Versione</w:t>
            </w:r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7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>Linux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LFT Etica Lt" w:hAnsi="LFT Etica Lt" w:cs="Arial"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r>
              <w:rPr>
                <w:rFonts w:ascii="LFT Etica Lt" w:hAnsi="LFT Etica Lt" w:cs="Arial"/>
                <w:sz w:val="18"/>
                <w:szCs w:val="16"/>
              </w:rPr>
              <w:t xml:space="preserve"> 3.2: verrà dismesso il supporto il 31 luglio 2018</w:t>
            </w:r>
          </w:p>
          <w:p>
            <w:pPr>
              <w:rPr>
                <w:rFonts w:ascii="LFT Etica Lt" w:hAnsi="LFT Etica Lt" w:cs="Arial"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r>
              <w:rPr>
                <w:rFonts w:ascii="LFT Etica Lt" w:hAnsi="LFT Etica Lt" w:cs="Arial"/>
                <w:sz w:val="18"/>
                <w:szCs w:val="16"/>
              </w:rPr>
              <w:t xml:space="preserve"> 4.2: verrà dismesso il supporto il 31 dicembre 2018</w:t>
            </w:r>
          </w:p>
          <w:p>
            <w:pPr>
              <w:rPr>
                <w:rFonts w:ascii="LFT Etica Lt" w:hAnsi="LFT Etica Lt" w:cs="Arial"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r>
              <w:rPr>
                <w:rFonts w:ascii="LFT Etica Lt" w:hAnsi="LFT Etica Lt" w:cs="Arial"/>
                <w:sz w:val="18"/>
                <w:szCs w:val="16"/>
              </w:rPr>
              <w:t xml:space="preserve"> 4.4: verrà dismesso il supporto il 31 dicembre 2018</w:t>
            </w:r>
          </w:p>
          <w:p>
            <w:pPr>
              <w:rPr>
                <w:rFonts w:ascii="LFT Etica Lt" w:hAnsi="LFT Etica Lt" w:cs="Arial"/>
                <w:sz w:val="12"/>
                <w:szCs w:val="16"/>
              </w:rPr>
            </w:pPr>
          </w:p>
          <w:p>
            <w:pPr>
              <w:rPr>
                <w:rFonts w:ascii="LFT Etica Lt" w:hAnsi="LFT Etica Lt" w:cs="Arial"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 xml:space="preserve">SLES </w:t>
            </w:r>
            <w:r>
              <w:rPr>
                <w:rFonts w:ascii="LFT Etica Lt" w:hAnsi="LFT Etica Lt" w:cs="Arial"/>
                <w:sz w:val="18"/>
                <w:szCs w:val="16"/>
              </w:rPr>
              <w:t>11-SP1: verrà dismesso il supporto il 31 luglio 2018</w:t>
            </w:r>
          </w:p>
          <w:p>
            <w:pPr>
              <w:rPr>
                <w:rFonts w:ascii="LFT Etica Lt" w:hAnsi="LFT Etica Lt" w:cs="Arial"/>
                <w:sz w:val="12"/>
                <w:szCs w:val="16"/>
              </w:rPr>
            </w:pPr>
          </w:p>
          <w:p>
            <w:pPr>
              <w:rPr>
                <w:rFonts w:ascii="LFT Etica Lt" w:hAnsi="LFT Etica Lt" w:cs="Arial"/>
                <w:sz w:val="12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>Ubuntu</w:t>
            </w:r>
            <w:r>
              <w:rPr>
                <w:rFonts w:ascii="LFT Etica Lt" w:hAnsi="LFT Etica Lt" w:cs="Arial"/>
                <w:sz w:val="18"/>
                <w:szCs w:val="16"/>
              </w:rPr>
              <w:t xml:space="preserve"> 14.10 e 15.04: verrà dismesso il supporto il 31 luglio 2018 </w:t>
            </w:r>
          </w:p>
          <w:p>
            <w:pPr>
              <w:rPr>
                <w:rFonts w:ascii="LFT Etica Lt" w:hAnsi="LFT Etica Lt" w:cs="Arial"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 xml:space="preserve">Fedora </w:t>
            </w:r>
            <w:r>
              <w:rPr>
                <w:rFonts w:ascii="LFT Etica Lt" w:hAnsi="LFT Etica Lt" w:cs="Arial"/>
                <w:sz w:val="18"/>
                <w:szCs w:val="16"/>
              </w:rPr>
              <w:t>20: verrà dismesso il supporto il 31 luglio 2018</w:t>
            </w:r>
          </w:p>
        </w:tc>
      </w:tr>
    </w:tbl>
    <w:p>
      <w:pPr>
        <w:pStyle w:val="CorpoAltF0"/>
        <w:rPr>
          <w:sz w:val="10"/>
          <w:szCs w:val="10"/>
        </w:rPr>
      </w:pPr>
    </w:p>
    <w:p>
      <w:pPr>
        <w:jc w:val="both"/>
        <w:rPr>
          <w:rFonts w:ascii="LFT Etica Lt" w:hAnsi="LFT Etica Lt"/>
          <w:sz w:val="18"/>
          <w:szCs w:val="18"/>
        </w:rPr>
      </w:pPr>
      <w:r>
        <w:rPr>
          <w:rFonts w:ascii="LFT Etica Lt" w:hAnsi="LFT Etica Lt"/>
          <w:sz w:val="18"/>
          <w:szCs w:val="18"/>
        </w:rPr>
        <w:t>In alternativa a TeamLinux si suggerisce l’utilizzo dei seguenti sistemi operativi:</w:t>
      </w:r>
    </w:p>
    <w:p>
      <w:pPr>
        <w:pStyle w:val="Paragrafoelenco"/>
        <w:numPr>
          <w:ilvl w:val="0"/>
          <w:numId w:val="9"/>
        </w:numPr>
        <w:ind w:left="426" w:hanging="284"/>
        <w:jc w:val="both"/>
        <w:rPr>
          <w:rFonts w:ascii="LFT Etica Lt" w:hAnsi="LFT Etica Lt"/>
          <w:b/>
          <w:sz w:val="18"/>
          <w:szCs w:val="18"/>
        </w:rPr>
      </w:pPr>
      <w:r>
        <w:rPr>
          <w:rFonts w:ascii="LFT Etica Lt" w:hAnsi="LFT Etica Lt"/>
          <w:b/>
          <w:sz w:val="18"/>
          <w:szCs w:val="18"/>
        </w:rPr>
        <w:t>Ubuntu 16.04 LTS 64 bit</w:t>
      </w:r>
    </w:p>
    <w:p>
      <w:pPr>
        <w:pStyle w:val="Paragrafoelenco"/>
        <w:numPr>
          <w:ilvl w:val="0"/>
          <w:numId w:val="9"/>
        </w:numPr>
        <w:ind w:left="426" w:hanging="284"/>
        <w:jc w:val="both"/>
        <w:rPr>
          <w:rFonts w:ascii="LFT Etica Lt" w:hAnsi="LFT Etica Lt"/>
          <w:b/>
          <w:sz w:val="18"/>
          <w:szCs w:val="18"/>
        </w:rPr>
      </w:pPr>
      <w:proofErr w:type="spellStart"/>
      <w:r>
        <w:rPr>
          <w:rFonts w:ascii="LFT Etica Lt" w:hAnsi="LFT Etica Lt"/>
          <w:b/>
          <w:sz w:val="18"/>
          <w:szCs w:val="18"/>
        </w:rPr>
        <w:t>CentOS</w:t>
      </w:r>
      <w:proofErr w:type="spellEnd"/>
      <w:r>
        <w:rPr>
          <w:rFonts w:ascii="LFT Etica Lt" w:hAnsi="LFT Etica Lt"/>
          <w:b/>
          <w:sz w:val="18"/>
          <w:szCs w:val="18"/>
        </w:rPr>
        <w:t xml:space="preserve"> 7.3 64 bit</w:t>
      </w:r>
    </w:p>
    <w:p>
      <w:pPr>
        <w:pStyle w:val="CorpoAltF0"/>
        <w:rPr>
          <w:sz w:val="10"/>
          <w:szCs w:val="10"/>
          <w:lang w:val="en-GB"/>
        </w:rPr>
      </w:pPr>
    </w:p>
    <w:p>
      <w:pPr>
        <w:jc w:val="both"/>
        <w:rPr>
          <w:rFonts w:ascii="LFT Etica Lt" w:hAnsi="LFT Etica Lt" w:cs="Arial"/>
          <w:i/>
          <w:sz w:val="18"/>
          <w:szCs w:val="18"/>
        </w:rPr>
      </w:pPr>
      <w:r>
        <w:rPr>
          <w:rFonts w:ascii="LFT Etica Lt" w:hAnsi="LFT Etica Lt" w:cs="Arial"/>
          <w:b/>
          <w:sz w:val="18"/>
          <w:szCs w:val="18"/>
        </w:rPr>
        <w:t xml:space="preserve">Release Software di base richieste dalla linea LYNFA </w:t>
      </w:r>
    </w:p>
    <w:p>
      <w:pPr>
        <w:numPr>
          <w:ilvl w:val="0"/>
          <w:numId w:val="7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>POLYEDRO ultima versione rilasciata</w:t>
      </w:r>
    </w:p>
    <w:p>
      <w:pPr>
        <w:pStyle w:val="CorpoAltF0"/>
        <w:rPr>
          <w:sz w:val="10"/>
          <w:szCs w:val="10"/>
          <w:lang w:val="en-GB"/>
        </w:rPr>
      </w:pPr>
    </w:p>
    <w:p>
      <w:pPr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b/>
          <w:sz w:val="18"/>
          <w:szCs w:val="18"/>
        </w:rPr>
        <w:t xml:space="preserve">Release Software di base richieste da linea Gecom e Gamma </w:t>
      </w:r>
      <w:proofErr w:type="spellStart"/>
      <w:r>
        <w:rPr>
          <w:rFonts w:ascii="LFT Etica Lt" w:hAnsi="LFT Etica Lt" w:cs="Arial"/>
          <w:b/>
          <w:sz w:val="18"/>
          <w:szCs w:val="18"/>
        </w:rPr>
        <w:t>Evolution</w:t>
      </w:r>
      <w:proofErr w:type="spellEnd"/>
    </w:p>
    <w:p>
      <w:pPr>
        <w:numPr>
          <w:ilvl w:val="0"/>
          <w:numId w:val="7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>TeamPortal ultima versione rilasciata</w:t>
      </w:r>
    </w:p>
    <w:p>
      <w:pPr>
        <w:numPr>
          <w:ilvl w:val="0"/>
          <w:numId w:val="7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>Moduli software di base per Ambienti Integrazione:</w:t>
      </w:r>
    </w:p>
    <w:p>
      <w:pPr>
        <w:pStyle w:val="Paragrafoelenco"/>
        <w:numPr>
          <w:ilvl w:val="0"/>
          <w:numId w:val="10"/>
        </w:numPr>
        <w:ind w:left="851" w:hanging="284"/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 xml:space="preserve">Sysint/W 20140100 </w:t>
      </w:r>
    </w:p>
    <w:p>
      <w:pPr>
        <w:pStyle w:val="Paragrafoelenco"/>
        <w:numPr>
          <w:ilvl w:val="0"/>
          <w:numId w:val="10"/>
        </w:numPr>
        <w:ind w:left="851" w:hanging="284"/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>SysIntGateway ultima versione rilasciata</w:t>
      </w:r>
    </w:p>
    <w:p>
      <w:pPr>
        <w:pStyle w:val="Paragrafoelenco"/>
        <w:numPr>
          <w:ilvl w:val="0"/>
          <w:numId w:val="10"/>
        </w:numPr>
        <w:ind w:left="851" w:hanging="284"/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>Runtime Cobol 812-20160100</w:t>
      </w:r>
    </w:p>
    <w:p>
      <w:pPr>
        <w:pStyle w:val="CorpoAltF0"/>
        <w:rPr>
          <w:sz w:val="10"/>
          <w:szCs w:val="10"/>
          <w:lang w:val="en-GB"/>
        </w:rPr>
      </w:pPr>
    </w:p>
    <w:p>
      <w:pPr>
        <w:jc w:val="both"/>
        <w:rPr>
          <w:rFonts w:ascii="LFT Etica Lt" w:hAnsi="LFT Etica Lt" w:cs="Arial"/>
          <w:b/>
          <w:sz w:val="18"/>
          <w:szCs w:val="18"/>
        </w:rPr>
      </w:pPr>
      <w:r>
        <w:rPr>
          <w:rFonts w:ascii="LFT Etica Lt" w:hAnsi="LFT Etica Lt" w:cs="Arial"/>
          <w:b/>
          <w:sz w:val="18"/>
          <w:szCs w:val="18"/>
        </w:rPr>
        <w:t xml:space="preserve">Dismissione modulo AcuXDBC </w:t>
      </w:r>
    </w:p>
    <w:p>
      <w:pPr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>Il modulo in oggetto non sarà più supportato a partire da dicembre 2018. Le stesse funzionalità sono fornite dal C-</w:t>
      </w:r>
      <w:proofErr w:type="spellStart"/>
      <w:r>
        <w:rPr>
          <w:rFonts w:ascii="LFT Etica Lt" w:hAnsi="LFT Etica Lt" w:cs="Arial"/>
          <w:sz w:val="18"/>
          <w:szCs w:val="18"/>
        </w:rPr>
        <w:t>treeRTG</w:t>
      </w:r>
      <w:proofErr w:type="spellEnd"/>
      <w:r>
        <w:rPr>
          <w:rFonts w:ascii="LFT Etica Lt" w:hAnsi="LFT Etica Lt" w:cs="Arial"/>
          <w:sz w:val="18"/>
          <w:szCs w:val="18"/>
        </w:rPr>
        <w:t>.</w:t>
      </w:r>
    </w:p>
    <w:p>
      <w:pPr>
        <w:rPr>
          <w:rFonts w:ascii="Arial" w:hAnsi="Arial"/>
          <w:sz w:val="10"/>
          <w:szCs w:val="10"/>
        </w:rPr>
      </w:pPr>
    </w:p>
    <w:bookmarkEnd w:id="1"/>
    <w:sectPr>
      <w:headerReference w:type="default" r:id="rId9"/>
      <w:footerReference w:type="default" r:id="rId10"/>
      <w:pgSz w:w="11907" w:h="16840" w:code="9"/>
      <w:pgMar w:top="567" w:right="1134" w:bottom="1134" w:left="1134" w:header="397" w:footer="397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FT Etica Lt">
    <w:altName w:val="Corbel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>
          <wp:extent cx="6120000" cy="360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</w:p>
      </w:tc>
      <w:tc>
        <w:tcPr>
          <w:tcW w:w="4961" w:type="dxa"/>
        </w:tcPr>
        <w:p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PAGHE 2017.2.0</w:t>
          </w:r>
        </w:p>
      </w:tc>
      <w:tc>
        <w:tcPr>
          <w:tcW w:w="1701" w:type="dxa"/>
        </w:tcPr>
        <w:p>
          <w:pPr>
            <w:spacing w:line="240" w:lineRule="atLeast"/>
            <w:ind w:right="141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</w:rPr>
            <w:t>3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</w:tc>
    </w:tr>
  </w:tbl>
  <w:p>
    <w:pPr>
      <w:pStyle w:val="corpoAltF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4663"/>
      <w:gridCol w:w="2141"/>
    </w:tblGrid>
    <w:tr>
      <w:trPr>
        <w:cantSplit/>
      </w:trPr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>
          <w:pPr>
            <w:pStyle w:val="Intestazione"/>
            <w:spacing w:before="6"/>
            <w:rPr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93545" cy="367030"/>
                <wp:effectExtent l="0" t="0" r="1905" b="0"/>
                <wp:docPr id="2" name="Immagine 2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5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color w:val="000080"/>
            </w:rPr>
            <w:t>NOTE OPERATIVE DI RELEASE</w:t>
          </w:r>
        </w:p>
      </w:tc>
      <w:tc>
        <w:tcPr>
          <w:tcW w:w="214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color w:val="000080"/>
              <w:sz w:val="12"/>
            </w:rPr>
          </w:pPr>
        </w:p>
        <w:p>
          <w:pPr>
            <w:pStyle w:val="Intestazione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Il presente documento costituisce un’integrazione al manuale utente del prodotto ed evidenzia le variazioni apportate con la release.</w:t>
          </w:r>
        </w:p>
        <w:p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>
    <w:pPr>
      <w:pStyle w:val="CorpoAltF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82C70"/>
    <w:multiLevelType w:val="hybridMultilevel"/>
    <w:tmpl w:val="73FC2366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0756B"/>
    <w:multiLevelType w:val="multilevel"/>
    <w:tmpl w:val="5F76A6EE"/>
    <w:lvl w:ilvl="0">
      <w:start w:val="1"/>
      <w:numFmt w:val="decimal"/>
      <w:pStyle w:val="Titolo1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0A24BE"/>
    <w:multiLevelType w:val="hybridMultilevel"/>
    <w:tmpl w:val="4D1A6E1C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38141485"/>
    <w:multiLevelType w:val="hybridMultilevel"/>
    <w:tmpl w:val="A84278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35EFC"/>
    <w:multiLevelType w:val="hybridMultilevel"/>
    <w:tmpl w:val="A62ED41E"/>
    <w:lvl w:ilvl="0" w:tplc="C748A54A">
      <w:start w:val="2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DC0330"/>
    <w:multiLevelType w:val="hybridMultilevel"/>
    <w:tmpl w:val="E5327594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43D46"/>
    <w:multiLevelType w:val="hybridMultilevel"/>
    <w:tmpl w:val="4184EC1C"/>
    <w:lvl w:ilvl="0" w:tplc="0410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6F58E6EA">
      <w:numFmt w:val="bullet"/>
      <w:lvlText w:val="-"/>
      <w:lvlJc w:val="left"/>
      <w:pPr>
        <w:ind w:left="3512" w:hanging="360"/>
      </w:pPr>
      <w:rPr>
        <w:rFonts w:ascii="LFT Etica Lt" w:eastAsia="Times" w:hAnsi="LFT Etica Lt" w:cs="Aria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" w15:restartNumberingAfterBreak="0">
    <w:nsid w:val="5BD8440C"/>
    <w:multiLevelType w:val="hybridMultilevel"/>
    <w:tmpl w:val="6376FBE0"/>
    <w:lvl w:ilvl="0" w:tplc="33B05862">
      <w:numFmt w:val="bullet"/>
      <w:lvlText w:val="-"/>
      <w:lvlJc w:val="left"/>
      <w:pPr>
        <w:ind w:left="3306" w:hanging="360"/>
      </w:pPr>
      <w:rPr>
        <w:rFonts w:ascii="LFT Etica Lt" w:eastAsia="Times" w:hAnsi="LFT Etica Lt" w:cs="Arial" w:hint="default"/>
      </w:rPr>
    </w:lvl>
    <w:lvl w:ilvl="1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8" w15:restartNumberingAfterBreak="0">
    <w:nsid w:val="637D0DD9"/>
    <w:multiLevelType w:val="hybridMultilevel"/>
    <w:tmpl w:val="CB5C2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603E9"/>
    <w:multiLevelType w:val="hybridMultilevel"/>
    <w:tmpl w:val="E6FE1D86"/>
    <w:lvl w:ilvl="0" w:tplc="DF288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27329" fill="f" fillcolor="white" strokecolor="red">
      <v:fill color="white" on="f"/>
      <v:stroke color="red" weight="1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 fill="f" fillcolor="white" strokecolor="red">
      <v:fill color="white" on="f"/>
      <v:stroke color="red" weight="1.25pt"/>
    </o:shapedefaults>
    <o:shapelayout v:ext="edit">
      <o:idmap v:ext="edit" data="1"/>
    </o:shapelayout>
  </w:shapeDefaults>
  <w:decimalSymbol w:val=","/>
  <w:listSeparator w:val=";"/>
  <w15:docId w15:val="{F17AED43-DE08-4D76-80F1-200C60A4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qFormat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single" w:sz="4" w:space="1" w:color="auto"/>
        <w:bottom w:val="single" w:sz="4" w:space="0" w:color="auto"/>
      </w:pBdr>
      <w:shd w:val="clear" w:color="auto" w:fill="E0E0E0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000000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qFormat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sz w:val="24"/>
      <w:szCs w:val="24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shd w:val="clear" w:color="auto" w:fill="auto"/>
      <w:spacing w:before="120"/>
      <w:ind w:left="113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paragraph" w:customStyle="1" w:styleId="WWContenutoRilascio">
    <w:name w:val="WW_ContenutoRilascio"/>
    <w:basedOn w:val="CorpoAltF0"/>
    <w:next w:val="CorpoAltF0"/>
    <w:link w:val="WWContenutoRilascioCarattere"/>
    <w:qFormat/>
    <w:pPr>
      <w:spacing w:before="40" w:after="40"/>
      <w:ind w:left="142"/>
    </w:pPr>
    <w:rPr>
      <w:b/>
      <w:sz w:val="22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  <w:style w:type="character" w:customStyle="1" w:styleId="WWContenutoRilascioCarattere">
    <w:name w:val="WW_ContenutoRilascio Carattere"/>
    <w:link w:val="WWContenutoRilascio"/>
    <w:rPr>
      <w:rFonts w:ascii="Arial" w:hAnsi="Arial" w:cs="Arial"/>
      <w:b/>
      <w:sz w:val="22"/>
      <w:szCs w:val="22"/>
    </w:rPr>
  </w:style>
  <w:style w:type="character" w:customStyle="1" w:styleId="collegamentoipertestuale0">
    <w:name w:val="collegamento_ipertestuale"/>
    <w:basedOn w:val="Carpredefinitoparagrafo"/>
    <w:rPr>
      <w:color w:val="0000FF"/>
      <w:u w:val="single"/>
    </w:rPr>
  </w:style>
  <w:style w:type="paragraph" w:customStyle="1" w:styleId="Ignora">
    <w:name w:val="Ignora"/>
    <w:basedOn w:val="CorpoAltF0"/>
    <w:qFormat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7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5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9705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5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5715">
              <w:marLeft w:val="9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eamadsen\Winny\Paghe\Documentale\MODELLI%20NOTE\PAGHE_AAAAXXYY_C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27E69-A29C-47F5-9994-91B7D881C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PAGHE_AAAAXXYY_CR.dotx</Template>
  <TotalTime>570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SPEDIZIONE</vt:lpstr>
    </vt:vector>
  </TitlesOfParts>
  <Company>Teamsystem S.p.A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SPEDIZIONE</dc:title>
  <dc:creator>Giulia Mancini</dc:creator>
  <cp:lastModifiedBy>Luca Moricoli</cp:lastModifiedBy>
  <cp:revision>92</cp:revision>
  <cp:lastPrinted>2017-09-21T07:50:00Z</cp:lastPrinted>
  <dcterms:created xsi:type="dcterms:W3CDTF">2017-07-25T07:53:00Z</dcterms:created>
  <dcterms:modified xsi:type="dcterms:W3CDTF">2017-10-17T15:28:00Z</dcterms:modified>
</cp:coreProperties>
</file>