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WTipoDocumento"/>
        <w:ind w:left="0"/>
      </w:pPr>
      <w:bookmarkStart w:id="0" w:name="_Toc33011301"/>
      <w:r>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3544"/>
        <w:gridCol w:w="3831"/>
      </w:tblGrid>
      <w:tr>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pPr>
              <w:pStyle w:val="CorpoAltF0"/>
              <w:jc w:val="center"/>
              <w:rPr>
                <w:rFonts w:cs="Arial"/>
              </w:rPr>
            </w:pPr>
            <w:bookmarkStart w:id="1" w:name="INDICE"/>
            <w:bookmarkEnd w:id="1"/>
            <w:r>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pPr>
              <w:pStyle w:val="CorpoAltF0"/>
              <w:rPr>
                <w:rFonts w:cs="Arial"/>
                <w:b/>
              </w:rPr>
            </w:pPr>
            <w:r>
              <w:rPr>
                <w:rFonts w:cs="Arial"/>
                <w:b/>
              </w:rPr>
              <w:t>RELEASE Versione 2017.2.0</w:t>
            </w:r>
          </w:p>
        </w:tc>
      </w:tr>
      <w:tr>
        <w:trPr>
          <w:cantSplit/>
          <w:trHeight w:val="268"/>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spacing w:before="120" w:after="120"/>
              <w:rPr>
                <w:rFonts w:ascii="Arial" w:hAnsi="Arial" w:cs="Arial"/>
                <w:sz w:val="28"/>
                <w:szCs w:val="28"/>
              </w:rPr>
            </w:pPr>
            <w:r>
              <w:rPr>
                <w:rFonts w:ascii="Arial" w:hAnsi="Arial" w:cs="Arial"/>
                <w:b/>
                <w:sz w:val="28"/>
                <w:szCs w:val="28"/>
              </w:rPr>
              <w:t>GECOM PAGHE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rPr>
              <w:t>Aggiornamento procedura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2017.2.0 (Versione completa)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17.10.2017</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Implementazioni</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Guida utente</w:t>
            </w:r>
          </w:p>
        </w:tc>
      </w:tr>
    </w:tbl>
    <w:p>
      <w:pPr>
        <w:pStyle w:val="corpoAltF"/>
      </w:pPr>
    </w:p>
    <w:p>
      <w:pPr>
        <w:pStyle w:val="Ignora"/>
      </w:pPr>
    </w:p>
    <w:p>
      <w:pPr>
        <w:pStyle w:val="WWNewPage"/>
      </w:pPr>
    </w:p>
    <w:p>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Pr>
          <w:b/>
          <w:i/>
          <w:spacing w:val="14"/>
          <w:sz w:val="28"/>
          <w:szCs w:val="28"/>
        </w:rPr>
        <w:t>IMPLEMENT</w:t>
      </w:r>
      <w:bookmarkStart w:id="2" w:name="_GoBack"/>
      <w:bookmarkEnd w:id="2"/>
      <w:r>
        <w:rPr>
          <w:b/>
          <w:i/>
          <w:spacing w:val="14"/>
          <w:sz w:val="28"/>
          <w:szCs w:val="28"/>
        </w:rPr>
        <w:t>AZIONI</w:t>
      </w:r>
    </w:p>
    <w:p>
      <w:pPr>
        <w:pStyle w:val="Ignora"/>
      </w:pPr>
    </w:p>
    <w:p>
      <w:pPr>
        <w:pStyle w:val="Sommario1"/>
        <w:rPr>
          <w:rFonts w:asciiTheme="minorHAnsi" w:eastAsiaTheme="minorEastAsia" w:hAnsiTheme="minorHAnsi" w:cstheme="minorBidi"/>
          <w:b w:val="0"/>
          <w:color w:val="auto"/>
          <w:sz w:val="22"/>
          <w:szCs w:val="22"/>
        </w:rPr>
      </w:pPr>
      <w:r>
        <w:rPr>
          <w:rStyle w:val="Collegamentoipertestuale"/>
          <w:b w:val="0"/>
          <w:i/>
          <w:iCs/>
          <w:color w:val="auto"/>
          <w:spacing w:val="-20"/>
          <w:szCs w:val="28"/>
          <w:u w:val="none"/>
        </w:rPr>
        <w:fldChar w:fldCharType="begin"/>
      </w:r>
      <w:r>
        <w:rPr>
          <w:rStyle w:val="Collegamentoipertestuale"/>
          <w:b w:val="0"/>
          <w:i/>
          <w:iCs/>
          <w:color w:val="auto"/>
          <w:spacing w:val="-20"/>
          <w:szCs w:val="28"/>
          <w:u w:val="none"/>
        </w:rPr>
        <w:instrText xml:space="preserve"> TOC \h \z \t "TS-titolo-01;1;TS-titolo-04;4;TS-titolo-Comando;2;TS-titolo-05;5;WW_NormativaSoftware;3" </w:instrText>
      </w:r>
      <w:r>
        <w:rPr>
          <w:rStyle w:val="Collegamentoipertestuale"/>
          <w:b w:val="0"/>
          <w:i/>
          <w:iCs/>
          <w:color w:val="auto"/>
          <w:spacing w:val="-20"/>
          <w:szCs w:val="28"/>
          <w:u w:val="none"/>
        </w:rPr>
        <w:fldChar w:fldCharType="separate"/>
      </w:r>
      <w:hyperlink w:anchor="_Toc496021287" w:history="1">
        <w:r>
          <w:rPr>
            <w:rStyle w:val="Collegamentoipertestuale"/>
          </w:rPr>
          <w:t>Conversione Archivi</w:t>
        </w:r>
        <w:r>
          <w:rPr>
            <w:webHidden/>
          </w:rPr>
          <w:tab/>
        </w:r>
        <w:r>
          <w:rPr>
            <w:webHidden/>
          </w:rPr>
          <w:fldChar w:fldCharType="begin"/>
        </w:r>
        <w:r>
          <w:rPr>
            <w:webHidden/>
          </w:rPr>
          <w:instrText xml:space="preserve"> PAGEREF _Toc496021287 \h </w:instrText>
        </w:r>
        <w:r>
          <w:rPr>
            <w:webHidden/>
          </w:rPr>
        </w:r>
        <w:r>
          <w:rPr>
            <w:webHidden/>
          </w:rPr>
          <w:fldChar w:fldCharType="separate"/>
        </w:r>
        <w:r>
          <w:rPr>
            <w:webHidden/>
          </w:rPr>
          <w:t>3</w:t>
        </w:r>
        <w:r>
          <w:rPr>
            <w:webHidden/>
          </w:rPr>
          <w:fldChar w:fldCharType="end"/>
        </w:r>
      </w:hyperlink>
    </w:p>
    <w:p>
      <w:pPr>
        <w:pStyle w:val="Sommario2"/>
        <w:rPr>
          <w:rFonts w:asciiTheme="minorHAnsi" w:eastAsiaTheme="minorEastAsia" w:hAnsiTheme="minorHAnsi" w:cstheme="minorBidi"/>
          <w:b w:val="0"/>
          <w:sz w:val="22"/>
          <w:szCs w:val="22"/>
        </w:rPr>
      </w:pPr>
      <w:hyperlink w:anchor="_Toc496021288" w:history="1">
        <w:r>
          <w:rPr>
            <w:rStyle w:val="Collegamentoipertestuale"/>
          </w:rPr>
          <w:t>CONVERS</w:t>
        </w:r>
        <w:r>
          <w:rPr>
            <w:webHidden/>
          </w:rPr>
          <w:tab/>
        </w:r>
        <w:r>
          <w:rPr>
            <w:webHidden/>
          </w:rPr>
          <w:fldChar w:fldCharType="begin"/>
        </w:r>
        <w:r>
          <w:rPr>
            <w:webHidden/>
          </w:rPr>
          <w:instrText xml:space="preserve"> PAGEREF _Toc496021288 \h </w:instrText>
        </w:r>
        <w:r>
          <w:rPr>
            <w:webHidden/>
          </w:rPr>
        </w:r>
        <w:r>
          <w:rPr>
            <w:webHidden/>
          </w:rPr>
          <w:fldChar w:fldCharType="separate"/>
        </w:r>
        <w:r>
          <w:rPr>
            <w:webHidden/>
          </w:rPr>
          <w:t>3</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289" w:history="1">
        <w:r>
          <w:rPr>
            <w:rStyle w:val="Collegamentoipertestuale"/>
          </w:rPr>
          <w:t>Retribuzione operai agricoli</w:t>
        </w:r>
        <w:r>
          <w:rPr>
            <w:webHidden/>
          </w:rPr>
          <w:tab/>
        </w:r>
        <w:r>
          <w:rPr>
            <w:webHidden/>
          </w:rPr>
          <w:fldChar w:fldCharType="begin"/>
        </w:r>
        <w:r>
          <w:rPr>
            <w:webHidden/>
          </w:rPr>
          <w:instrText xml:space="preserve"> PAGEREF _Toc496021289 \h </w:instrText>
        </w:r>
        <w:r>
          <w:rPr>
            <w:webHidden/>
          </w:rPr>
        </w:r>
        <w:r>
          <w:rPr>
            <w:webHidden/>
          </w:rPr>
          <w:fldChar w:fldCharType="separate"/>
        </w:r>
        <w:r>
          <w:rPr>
            <w:webHidden/>
          </w:rPr>
          <w:t>4</w:t>
        </w:r>
        <w:r>
          <w:rPr>
            <w:webHidden/>
          </w:rPr>
          <w:fldChar w:fldCharType="end"/>
        </w:r>
      </w:hyperlink>
    </w:p>
    <w:p>
      <w:pPr>
        <w:pStyle w:val="Sommario4"/>
        <w:rPr>
          <w:rFonts w:asciiTheme="minorHAnsi" w:eastAsiaTheme="minorEastAsia" w:hAnsiTheme="minorHAnsi" w:cstheme="minorBidi"/>
          <w:i w:val="0"/>
          <w:sz w:val="22"/>
          <w:szCs w:val="22"/>
        </w:rPr>
      </w:pPr>
      <w:hyperlink w:anchor="_Toc496021290" w:history="1">
        <w:r>
          <w:rPr>
            <w:rStyle w:val="Collegamentoipertestuale"/>
          </w:rPr>
          <w:t>Retribuzione per fondo agricolo</w:t>
        </w:r>
        <w:r>
          <w:rPr>
            <w:webHidden/>
          </w:rPr>
          <w:tab/>
        </w:r>
        <w:r>
          <w:rPr>
            <w:webHidden/>
          </w:rPr>
          <w:fldChar w:fldCharType="begin"/>
        </w:r>
        <w:r>
          <w:rPr>
            <w:webHidden/>
          </w:rPr>
          <w:instrText xml:space="preserve"> PAGEREF _Toc496021290 \h </w:instrText>
        </w:r>
        <w:r>
          <w:rPr>
            <w:webHidden/>
          </w:rPr>
        </w:r>
        <w:r>
          <w:rPr>
            <w:webHidden/>
          </w:rPr>
          <w:fldChar w:fldCharType="separate"/>
        </w:r>
        <w:r>
          <w:rPr>
            <w:webHidden/>
          </w:rPr>
          <w:t>4</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6021291" w:history="1">
        <w:r>
          <w:rPr>
            <w:rStyle w:val="Collegamentoipertestuale"/>
            <w:noProof/>
          </w:rPr>
          <w:t>CEDOL – Calcolo retribuzione per fondo agricolo</w:t>
        </w:r>
        <w:r>
          <w:rPr>
            <w:noProof/>
            <w:webHidden/>
          </w:rPr>
          <w:tab/>
        </w:r>
        <w:r>
          <w:rPr>
            <w:noProof/>
            <w:webHidden/>
          </w:rPr>
          <w:fldChar w:fldCharType="begin"/>
        </w:r>
        <w:r>
          <w:rPr>
            <w:noProof/>
            <w:webHidden/>
          </w:rPr>
          <w:instrText xml:space="preserve"> PAGEREF _Toc496021291 \h </w:instrText>
        </w:r>
        <w:r>
          <w:rPr>
            <w:noProof/>
            <w:webHidden/>
          </w:rPr>
        </w:r>
        <w:r>
          <w:rPr>
            <w:noProof/>
            <w:webHidden/>
          </w:rPr>
          <w:fldChar w:fldCharType="separate"/>
        </w:r>
        <w:r>
          <w:rPr>
            <w:noProof/>
            <w:webHidden/>
          </w:rPr>
          <w:t>5</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6021292" w:history="1">
        <w:r>
          <w:rPr>
            <w:rStyle w:val="Collegamentoipertestuale"/>
            <w:noProof/>
          </w:rPr>
          <w:t>DIPE – Fondo agricolo di riferimento</w:t>
        </w:r>
        <w:r>
          <w:rPr>
            <w:noProof/>
            <w:webHidden/>
          </w:rPr>
          <w:tab/>
        </w:r>
        <w:r>
          <w:rPr>
            <w:noProof/>
            <w:webHidden/>
          </w:rPr>
          <w:fldChar w:fldCharType="begin"/>
        </w:r>
        <w:r>
          <w:rPr>
            <w:noProof/>
            <w:webHidden/>
          </w:rPr>
          <w:instrText xml:space="preserve"> PAGEREF _Toc496021292 \h </w:instrText>
        </w:r>
        <w:r>
          <w:rPr>
            <w:noProof/>
            <w:webHidden/>
          </w:rPr>
        </w:r>
        <w:r>
          <w:rPr>
            <w:noProof/>
            <w:webHidden/>
          </w:rPr>
          <w:fldChar w:fldCharType="separate"/>
        </w:r>
        <w:r>
          <w:rPr>
            <w:noProof/>
            <w:webHidden/>
          </w:rPr>
          <w:t>6</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6021293" w:history="1">
        <w:r>
          <w:rPr>
            <w:rStyle w:val="Collegamentoipertestuale"/>
            <w:noProof/>
          </w:rPr>
          <w:t>CEDOL – Selezione fondo agricolo</w:t>
        </w:r>
        <w:r>
          <w:rPr>
            <w:noProof/>
            <w:webHidden/>
          </w:rPr>
          <w:tab/>
        </w:r>
        <w:r>
          <w:rPr>
            <w:noProof/>
            <w:webHidden/>
          </w:rPr>
          <w:fldChar w:fldCharType="begin"/>
        </w:r>
        <w:r>
          <w:rPr>
            <w:noProof/>
            <w:webHidden/>
          </w:rPr>
          <w:instrText xml:space="preserve"> PAGEREF _Toc496021293 \h </w:instrText>
        </w:r>
        <w:r>
          <w:rPr>
            <w:noProof/>
            <w:webHidden/>
          </w:rPr>
        </w:r>
        <w:r>
          <w:rPr>
            <w:noProof/>
            <w:webHidden/>
          </w:rPr>
          <w:fldChar w:fldCharType="separate"/>
        </w:r>
        <w:r>
          <w:rPr>
            <w:noProof/>
            <w:webHidden/>
          </w:rPr>
          <w:t>6</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6021294" w:history="1">
        <w:r>
          <w:rPr>
            <w:rStyle w:val="Collegamentoipertestuale"/>
            <w:noProof/>
          </w:rPr>
          <w:t>AZIE &gt; Altri dati &gt; Dati aggiuntivi imp. agricola &gt; Fondi agricoli</w:t>
        </w:r>
        <w:r>
          <w:rPr>
            <w:noProof/>
            <w:webHidden/>
          </w:rPr>
          <w:tab/>
        </w:r>
        <w:r>
          <w:rPr>
            <w:noProof/>
            <w:webHidden/>
          </w:rPr>
          <w:fldChar w:fldCharType="begin"/>
        </w:r>
        <w:r>
          <w:rPr>
            <w:noProof/>
            <w:webHidden/>
          </w:rPr>
          <w:instrText xml:space="preserve"> PAGEREF _Toc496021294 \h </w:instrText>
        </w:r>
        <w:r>
          <w:rPr>
            <w:noProof/>
            <w:webHidden/>
          </w:rPr>
        </w:r>
        <w:r>
          <w:rPr>
            <w:noProof/>
            <w:webHidden/>
          </w:rPr>
          <w:fldChar w:fldCharType="separate"/>
        </w:r>
        <w:r>
          <w:rPr>
            <w:noProof/>
            <w:webHidden/>
          </w:rPr>
          <w:t>7</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6021295" w:history="1">
        <w:r>
          <w:rPr>
            <w:rStyle w:val="Collegamentoipertestuale"/>
            <w:noProof/>
          </w:rPr>
          <w:t>GEMA01 – Gestione eventi per fondo agricolo</w:t>
        </w:r>
        <w:r>
          <w:rPr>
            <w:noProof/>
            <w:webHidden/>
          </w:rPr>
          <w:tab/>
        </w:r>
        <w:r>
          <w:rPr>
            <w:noProof/>
            <w:webHidden/>
          </w:rPr>
          <w:fldChar w:fldCharType="begin"/>
        </w:r>
        <w:r>
          <w:rPr>
            <w:noProof/>
            <w:webHidden/>
          </w:rPr>
          <w:instrText xml:space="preserve"> PAGEREF _Toc496021295 \h </w:instrText>
        </w:r>
        <w:r>
          <w:rPr>
            <w:noProof/>
            <w:webHidden/>
          </w:rPr>
        </w:r>
        <w:r>
          <w:rPr>
            <w:noProof/>
            <w:webHidden/>
          </w:rPr>
          <w:fldChar w:fldCharType="separate"/>
        </w:r>
        <w:r>
          <w:rPr>
            <w:noProof/>
            <w:webHidden/>
          </w:rPr>
          <w:t>8</w:t>
        </w:r>
        <w:r>
          <w:rPr>
            <w:noProof/>
            <w:webHidden/>
          </w:rPr>
          <w:fldChar w:fldCharType="end"/>
        </w:r>
      </w:hyperlink>
    </w:p>
    <w:p>
      <w:pPr>
        <w:pStyle w:val="Sommario1"/>
        <w:rPr>
          <w:rFonts w:asciiTheme="minorHAnsi" w:eastAsiaTheme="minorEastAsia" w:hAnsiTheme="minorHAnsi" w:cstheme="minorBidi"/>
          <w:b w:val="0"/>
          <w:color w:val="auto"/>
          <w:sz w:val="22"/>
          <w:szCs w:val="22"/>
        </w:rPr>
      </w:pPr>
      <w:hyperlink w:anchor="_Toc496021296" w:history="1">
        <w:r>
          <w:rPr>
            <w:rStyle w:val="Collegamentoipertestuale"/>
          </w:rPr>
          <w:t xml:space="preserve">Fondo </w:t>
        </w:r>
        <w:r>
          <w:rPr>
            <w:rStyle w:val="Collegamentoipertestuale"/>
          </w:rPr>
          <w:t>M</w:t>
        </w:r>
        <w:r>
          <w:rPr>
            <w:rStyle w:val="Collegamentoipertestuale"/>
          </w:rPr>
          <w:t>ETASALUTE</w:t>
        </w:r>
        <w:r>
          <w:rPr>
            <w:webHidden/>
          </w:rPr>
          <w:tab/>
        </w:r>
        <w:r>
          <w:rPr>
            <w:webHidden/>
          </w:rPr>
          <w:fldChar w:fldCharType="begin"/>
        </w:r>
        <w:r>
          <w:rPr>
            <w:webHidden/>
          </w:rPr>
          <w:instrText xml:space="preserve"> PAGEREF _Toc496021296 \h </w:instrText>
        </w:r>
        <w:r>
          <w:rPr>
            <w:webHidden/>
          </w:rPr>
        </w:r>
        <w:r>
          <w:rPr>
            <w:webHidden/>
          </w:rPr>
          <w:fldChar w:fldCharType="separate"/>
        </w:r>
        <w:r>
          <w:rPr>
            <w:webHidden/>
          </w:rPr>
          <w:t>9</w:t>
        </w:r>
        <w:r>
          <w:rPr>
            <w:webHidden/>
          </w:rPr>
          <w:fldChar w:fldCharType="end"/>
        </w:r>
      </w:hyperlink>
    </w:p>
    <w:p>
      <w:pPr>
        <w:pStyle w:val="Sommario4"/>
        <w:rPr>
          <w:rFonts w:asciiTheme="minorHAnsi" w:eastAsiaTheme="minorEastAsia" w:hAnsiTheme="minorHAnsi" w:cstheme="minorBidi"/>
          <w:i w:val="0"/>
          <w:sz w:val="22"/>
          <w:szCs w:val="22"/>
        </w:rPr>
      </w:pPr>
      <w:hyperlink w:anchor="_Toc496021297" w:history="1">
        <w:r>
          <w:rPr>
            <w:rStyle w:val="Collegamentoipertestuale"/>
          </w:rPr>
          <w:t>Nuova disciplina Metasalute: regolamento fase transitoria</w:t>
        </w:r>
        <w:r>
          <w:rPr>
            <w:webHidden/>
          </w:rPr>
          <w:tab/>
        </w:r>
        <w:r>
          <w:rPr>
            <w:webHidden/>
          </w:rPr>
          <w:fldChar w:fldCharType="begin"/>
        </w:r>
        <w:r>
          <w:rPr>
            <w:webHidden/>
          </w:rPr>
          <w:instrText xml:space="preserve"> PAGEREF _Toc496021297 \h </w:instrText>
        </w:r>
        <w:r>
          <w:rPr>
            <w:webHidden/>
          </w:rPr>
        </w:r>
        <w:r>
          <w:rPr>
            <w:webHidden/>
          </w:rPr>
          <w:fldChar w:fldCharType="separate"/>
        </w:r>
        <w:r>
          <w:rPr>
            <w:webHidden/>
          </w:rPr>
          <w:t>9</w:t>
        </w:r>
        <w:r>
          <w:rPr>
            <w:webHidden/>
          </w:rPr>
          <w:fldChar w:fldCharType="end"/>
        </w:r>
      </w:hyperlink>
    </w:p>
    <w:p>
      <w:pPr>
        <w:pStyle w:val="Sommario4"/>
        <w:rPr>
          <w:rFonts w:asciiTheme="minorHAnsi" w:eastAsiaTheme="minorEastAsia" w:hAnsiTheme="minorHAnsi" w:cstheme="minorBidi"/>
          <w:i w:val="0"/>
          <w:sz w:val="22"/>
          <w:szCs w:val="22"/>
        </w:rPr>
      </w:pPr>
      <w:hyperlink w:anchor="_Toc496021298" w:history="1">
        <w:r>
          <w:rPr>
            <w:rStyle w:val="Collegamentoipertestuale"/>
          </w:rPr>
          <w:t>Implementazioni software</w:t>
        </w:r>
        <w:r>
          <w:rPr>
            <w:webHidden/>
          </w:rPr>
          <w:tab/>
        </w:r>
        <w:r>
          <w:rPr>
            <w:webHidden/>
          </w:rPr>
          <w:fldChar w:fldCharType="begin"/>
        </w:r>
        <w:r>
          <w:rPr>
            <w:webHidden/>
          </w:rPr>
          <w:instrText xml:space="preserve"> PAGEREF _Toc496021298 \h </w:instrText>
        </w:r>
        <w:r>
          <w:rPr>
            <w:webHidden/>
          </w:rPr>
        </w:r>
        <w:r>
          <w:rPr>
            <w:webHidden/>
          </w:rPr>
          <w:fldChar w:fldCharType="separate"/>
        </w:r>
        <w:r>
          <w:rPr>
            <w:webHidden/>
          </w:rPr>
          <w:t>9</w:t>
        </w:r>
        <w:r>
          <w:rPr>
            <w:webHidden/>
          </w:rPr>
          <w:fldChar w:fldCharType="end"/>
        </w:r>
      </w:hyperlink>
    </w:p>
    <w:p>
      <w:pPr>
        <w:pStyle w:val="Sommario4"/>
        <w:rPr>
          <w:rFonts w:asciiTheme="minorHAnsi" w:eastAsiaTheme="minorEastAsia" w:hAnsiTheme="minorHAnsi" w:cstheme="minorBidi"/>
          <w:i w:val="0"/>
          <w:sz w:val="22"/>
          <w:szCs w:val="22"/>
        </w:rPr>
      </w:pPr>
      <w:hyperlink w:anchor="_Toc496021299" w:history="1">
        <w:r>
          <w:rPr>
            <w:rStyle w:val="Collegamentoipertestuale"/>
          </w:rPr>
          <w:t>Utenti CONTRA</w:t>
        </w:r>
        <w:r>
          <w:rPr>
            <w:webHidden/>
          </w:rPr>
          <w:tab/>
        </w:r>
        <w:r>
          <w:rPr>
            <w:webHidden/>
          </w:rPr>
          <w:fldChar w:fldCharType="begin"/>
        </w:r>
        <w:r>
          <w:rPr>
            <w:webHidden/>
          </w:rPr>
          <w:instrText xml:space="preserve"> PAGEREF _Toc496021299 \h </w:instrText>
        </w:r>
        <w:r>
          <w:rPr>
            <w:webHidden/>
          </w:rPr>
        </w:r>
        <w:r>
          <w:rPr>
            <w:webHidden/>
          </w:rPr>
          <w:fldChar w:fldCharType="separate"/>
        </w:r>
        <w:r>
          <w:rPr>
            <w:webHidden/>
          </w:rPr>
          <w:t>9</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300" w:history="1">
        <w:r>
          <w:rPr>
            <w:rStyle w:val="Collegamentoipertestuale"/>
          </w:rPr>
          <w:t>Utility p</w:t>
        </w:r>
        <w:r>
          <w:rPr>
            <w:rStyle w:val="Collegamentoipertestuale"/>
          </w:rPr>
          <w:t>r</w:t>
        </w:r>
        <w:r>
          <w:rPr>
            <w:rStyle w:val="Collegamentoipertestuale"/>
          </w:rPr>
          <w:t>ocedura</w:t>
        </w:r>
        <w:r>
          <w:rPr>
            <w:webHidden/>
          </w:rPr>
          <w:tab/>
        </w:r>
        <w:r>
          <w:rPr>
            <w:webHidden/>
          </w:rPr>
          <w:fldChar w:fldCharType="begin"/>
        </w:r>
        <w:r>
          <w:rPr>
            <w:webHidden/>
          </w:rPr>
          <w:instrText xml:space="preserve"> PAGEREF _Toc496021300 \h </w:instrText>
        </w:r>
        <w:r>
          <w:rPr>
            <w:webHidden/>
          </w:rPr>
        </w:r>
        <w:r>
          <w:rPr>
            <w:webHidden/>
          </w:rPr>
          <w:fldChar w:fldCharType="separate"/>
        </w:r>
        <w:r>
          <w:rPr>
            <w:webHidden/>
          </w:rPr>
          <w:t>10</w:t>
        </w:r>
        <w:r>
          <w:rPr>
            <w:webHidden/>
          </w:rPr>
          <w:fldChar w:fldCharType="end"/>
        </w:r>
      </w:hyperlink>
    </w:p>
    <w:p>
      <w:pPr>
        <w:pStyle w:val="Sommario2"/>
        <w:rPr>
          <w:rFonts w:asciiTheme="minorHAnsi" w:eastAsiaTheme="minorEastAsia" w:hAnsiTheme="minorHAnsi" w:cstheme="minorBidi"/>
          <w:b w:val="0"/>
          <w:sz w:val="22"/>
          <w:szCs w:val="22"/>
        </w:rPr>
      </w:pPr>
      <w:hyperlink w:anchor="_Toc496021301" w:history="1">
        <w:r>
          <w:rPr>
            <w:rStyle w:val="Collegamentoipertestuale"/>
          </w:rPr>
          <w:t>UTYCTRAE</w:t>
        </w:r>
        <w:r>
          <w:rPr>
            <w:webHidden/>
          </w:rPr>
          <w:tab/>
        </w:r>
        <w:r>
          <w:rPr>
            <w:webHidden/>
          </w:rPr>
          <w:fldChar w:fldCharType="begin"/>
        </w:r>
        <w:r>
          <w:rPr>
            <w:webHidden/>
          </w:rPr>
          <w:instrText xml:space="preserve"> PAGEREF _Toc496021301 \h </w:instrText>
        </w:r>
        <w:r>
          <w:rPr>
            <w:webHidden/>
          </w:rPr>
        </w:r>
        <w:r>
          <w:rPr>
            <w:webHidden/>
          </w:rPr>
          <w:fldChar w:fldCharType="separate"/>
        </w:r>
        <w:r>
          <w:rPr>
            <w:webHidden/>
          </w:rPr>
          <w:t>10</w:t>
        </w:r>
        <w:r>
          <w:rPr>
            <w:webHidden/>
          </w:rPr>
          <w:fldChar w:fldCharType="end"/>
        </w:r>
      </w:hyperlink>
    </w:p>
    <w:p>
      <w:pPr>
        <w:pStyle w:val="Sommario4"/>
        <w:rPr>
          <w:rFonts w:asciiTheme="minorHAnsi" w:eastAsiaTheme="minorEastAsia" w:hAnsiTheme="minorHAnsi" w:cstheme="minorBidi"/>
          <w:i w:val="0"/>
          <w:sz w:val="22"/>
          <w:szCs w:val="22"/>
        </w:rPr>
      </w:pPr>
      <w:hyperlink w:anchor="_Toc496021302" w:history="1">
        <w:r>
          <w:rPr>
            <w:rStyle w:val="Collegamentoipertestuale"/>
          </w:rPr>
          <w:t>Rimozione collegamento tabella Altri contributi</w:t>
        </w:r>
        <w:r>
          <w:rPr>
            <w:webHidden/>
          </w:rPr>
          <w:tab/>
        </w:r>
        <w:r>
          <w:rPr>
            <w:webHidden/>
          </w:rPr>
          <w:fldChar w:fldCharType="begin"/>
        </w:r>
        <w:r>
          <w:rPr>
            <w:webHidden/>
          </w:rPr>
          <w:instrText xml:space="preserve"> PAGEREF _Toc496021302 \h </w:instrText>
        </w:r>
        <w:r>
          <w:rPr>
            <w:webHidden/>
          </w:rPr>
        </w:r>
        <w:r>
          <w:rPr>
            <w:webHidden/>
          </w:rPr>
          <w:fldChar w:fldCharType="separate"/>
        </w:r>
        <w:r>
          <w:rPr>
            <w:webHidden/>
          </w:rPr>
          <w:t>10</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303" w:history="1">
        <w:r>
          <w:rPr>
            <w:rStyle w:val="Collegamentoipertestuale"/>
          </w:rPr>
          <w:t>CCNL Turi</w:t>
        </w:r>
        <w:r>
          <w:rPr>
            <w:rStyle w:val="Collegamentoipertestuale"/>
          </w:rPr>
          <w:t>s</w:t>
        </w:r>
        <w:r>
          <w:rPr>
            <w:rStyle w:val="Collegamentoipertestuale"/>
          </w:rPr>
          <w:t>mo ANPIT</w:t>
        </w:r>
        <w:r>
          <w:rPr>
            <w:webHidden/>
          </w:rPr>
          <w:tab/>
        </w:r>
        <w:r>
          <w:rPr>
            <w:webHidden/>
          </w:rPr>
          <w:fldChar w:fldCharType="begin"/>
        </w:r>
        <w:r>
          <w:rPr>
            <w:webHidden/>
          </w:rPr>
          <w:instrText xml:space="preserve"> PAGEREF _Toc496021303 \h </w:instrText>
        </w:r>
        <w:r>
          <w:rPr>
            <w:webHidden/>
          </w:rPr>
        </w:r>
        <w:r>
          <w:rPr>
            <w:webHidden/>
          </w:rPr>
          <w:fldChar w:fldCharType="separate"/>
        </w:r>
        <w:r>
          <w:rPr>
            <w:webHidden/>
          </w:rPr>
          <w:t>11</w:t>
        </w:r>
        <w:r>
          <w:rPr>
            <w:webHidden/>
          </w:rPr>
          <w:fldChar w:fldCharType="end"/>
        </w:r>
      </w:hyperlink>
    </w:p>
    <w:p>
      <w:pPr>
        <w:pStyle w:val="Sommario2"/>
        <w:rPr>
          <w:rFonts w:asciiTheme="minorHAnsi" w:eastAsiaTheme="minorEastAsia" w:hAnsiTheme="minorHAnsi" w:cstheme="minorBidi"/>
          <w:b w:val="0"/>
          <w:sz w:val="22"/>
          <w:szCs w:val="22"/>
        </w:rPr>
      </w:pPr>
      <w:hyperlink w:anchor="_Toc496021304" w:history="1">
        <w:r>
          <w:rPr>
            <w:rStyle w:val="Collegamentoipertestuale"/>
          </w:rPr>
          <w:t>UTYIAMC</w:t>
        </w:r>
        <w:r>
          <w:rPr>
            <w:webHidden/>
          </w:rPr>
          <w:tab/>
        </w:r>
        <w:r>
          <w:rPr>
            <w:webHidden/>
          </w:rPr>
          <w:fldChar w:fldCharType="begin"/>
        </w:r>
        <w:r>
          <w:rPr>
            <w:webHidden/>
          </w:rPr>
          <w:instrText xml:space="preserve"> PAGEREF _Toc496021304 \h </w:instrText>
        </w:r>
        <w:r>
          <w:rPr>
            <w:webHidden/>
          </w:rPr>
        </w:r>
        <w:r>
          <w:rPr>
            <w:webHidden/>
          </w:rPr>
          <w:fldChar w:fldCharType="separate"/>
        </w:r>
        <w:r>
          <w:rPr>
            <w:webHidden/>
          </w:rPr>
          <w:t>11</w:t>
        </w:r>
        <w:r>
          <w:rPr>
            <w:webHidden/>
          </w:rPr>
          <w:fldChar w:fldCharType="end"/>
        </w:r>
      </w:hyperlink>
    </w:p>
    <w:p>
      <w:pPr>
        <w:pStyle w:val="Sommario4"/>
        <w:rPr>
          <w:rFonts w:asciiTheme="minorHAnsi" w:eastAsiaTheme="minorEastAsia" w:hAnsiTheme="minorHAnsi" w:cstheme="minorBidi"/>
          <w:i w:val="0"/>
          <w:sz w:val="22"/>
          <w:szCs w:val="22"/>
        </w:rPr>
      </w:pPr>
      <w:hyperlink w:anchor="_Toc496021305" w:history="1">
        <w:r>
          <w:rPr>
            <w:rStyle w:val="Collegamentoipertestuale"/>
          </w:rPr>
          <w:t>Indennità Annuale di Mancata Contrattazione 2017</w:t>
        </w:r>
        <w:r>
          <w:rPr>
            <w:webHidden/>
          </w:rPr>
          <w:tab/>
        </w:r>
        <w:r>
          <w:rPr>
            <w:webHidden/>
          </w:rPr>
          <w:fldChar w:fldCharType="begin"/>
        </w:r>
        <w:r>
          <w:rPr>
            <w:webHidden/>
          </w:rPr>
          <w:instrText xml:space="preserve"> PAGEREF _Toc496021305 \h </w:instrText>
        </w:r>
        <w:r>
          <w:rPr>
            <w:webHidden/>
          </w:rPr>
        </w:r>
        <w:r>
          <w:rPr>
            <w:webHidden/>
          </w:rPr>
          <w:fldChar w:fldCharType="separate"/>
        </w:r>
        <w:r>
          <w:rPr>
            <w:webHidden/>
          </w:rPr>
          <w:t>11</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306" w:history="1">
        <w:r>
          <w:rPr>
            <w:rStyle w:val="Collegamentoipertestuale"/>
          </w:rPr>
          <w:t>Archivi di b</w:t>
        </w:r>
        <w:r>
          <w:rPr>
            <w:rStyle w:val="Collegamentoipertestuale"/>
          </w:rPr>
          <w:t>a</w:t>
        </w:r>
        <w:r>
          <w:rPr>
            <w:rStyle w:val="Collegamentoipertestuale"/>
          </w:rPr>
          <w:t>se</w:t>
        </w:r>
        <w:r>
          <w:rPr>
            <w:webHidden/>
          </w:rPr>
          <w:tab/>
        </w:r>
        <w:r>
          <w:rPr>
            <w:webHidden/>
          </w:rPr>
          <w:fldChar w:fldCharType="begin"/>
        </w:r>
        <w:r>
          <w:rPr>
            <w:webHidden/>
          </w:rPr>
          <w:instrText xml:space="preserve"> PAGEREF _Toc496021306 \h </w:instrText>
        </w:r>
        <w:r>
          <w:rPr>
            <w:webHidden/>
          </w:rPr>
        </w:r>
        <w:r>
          <w:rPr>
            <w:webHidden/>
          </w:rPr>
          <w:fldChar w:fldCharType="separate"/>
        </w:r>
        <w:r>
          <w:rPr>
            <w:webHidden/>
          </w:rPr>
          <w:t>12</w:t>
        </w:r>
        <w:r>
          <w:rPr>
            <w:webHidden/>
          </w:rPr>
          <w:fldChar w:fldCharType="end"/>
        </w:r>
      </w:hyperlink>
    </w:p>
    <w:p>
      <w:pPr>
        <w:pStyle w:val="Sommario2"/>
        <w:rPr>
          <w:rFonts w:asciiTheme="minorHAnsi" w:eastAsiaTheme="minorEastAsia" w:hAnsiTheme="minorHAnsi" w:cstheme="minorBidi"/>
          <w:b w:val="0"/>
          <w:sz w:val="22"/>
          <w:szCs w:val="22"/>
        </w:rPr>
      </w:pPr>
      <w:hyperlink w:anchor="_Toc496021307" w:history="1">
        <w:r>
          <w:rPr>
            <w:rStyle w:val="Collegamentoipertestuale"/>
          </w:rPr>
          <w:t>TB0307</w:t>
        </w:r>
        <w:r>
          <w:rPr>
            <w:webHidden/>
          </w:rPr>
          <w:tab/>
        </w:r>
        <w:r>
          <w:rPr>
            <w:webHidden/>
          </w:rPr>
          <w:fldChar w:fldCharType="begin"/>
        </w:r>
        <w:r>
          <w:rPr>
            <w:webHidden/>
          </w:rPr>
          <w:instrText xml:space="preserve"> PAGEREF _Toc496021307 \h </w:instrText>
        </w:r>
        <w:r>
          <w:rPr>
            <w:webHidden/>
          </w:rPr>
        </w:r>
        <w:r>
          <w:rPr>
            <w:webHidden/>
          </w:rPr>
          <w:fldChar w:fldCharType="separate"/>
        </w:r>
        <w:r>
          <w:rPr>
            <w:webHidden/>
          </w:rPr>
          <w:t>12</w:t>
        </w:r>
        <w:r>
          <w:rPr>
            <w:webHidden/>
          </w:rPr>
          <w:fldChar w:fldCharType="end"/>
        </w:r>
      </w:hyperlink>
    </w:p>
    <w:p>
      <w:pPr>
        <w:pStyle w:val="Sommario4"/>
        <w:rPr>
          <w:rFonts w:asciiTheme="minorHAnsi" w:eastAsiaTheme="minorEastAsia" w:hAnsiTheme="minorHAnsi" w:cstheme="minorBidi"/>
          <w:i w:val="0"/>
          <w:sz w:val="22"/>
          <w:szCs w:val="22"/>
        </w:rPr>
      </w:pPr>
      <w:hyperlink w:anchor="_Toc496021308" w:history="1">
        <w:r>
          <w:rPr>
            <w:rStyle w:val="Collegamentoipertestuale"/>
          </w:rPr>
          <w:t>Contributi cassa edile &gt; Scheda Eccezioni</w:t>
        </w:r>
        <w:r>
          <w:rPr>
            <w:webHidden/>
          </w:rPr>
          <w:tab/>
        </w:r>
        <w:r>
          <w:rPr>
            <w:webHidden/>
          </w:rPr>
          <w:fldChar w:fldCharType="begin"/>
        </w:r>
        <w:r>
          <w:rPr>
            <w:webHidden/>
          </w:rPr>
          <w:instrText xml:space="preserve"> PAGEREF _Toc496021308 \h </w:instrText>
        </w:r>
        <w:r>
          <w:rPr>
            <w:webHidden/>
          </w:rPr>
        </w:r>
        <w:r>
          <w:rPr>
            <w:webHidden/>
          </w:rPr>
          <w:fldChar w:fldCharType="separate"/>
        </w:r>
        <w:r>
          <w:rPr>
            <w:webHidden/>
          </w:rPr>
          <w:t>12</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6021309" w:history="1">
        <w:r>
          <w:rPr>
            <w:rStyle w:val="Collegamentoipertestuale"/>
            <w:noProof/>
          </w:rPr>
          <w:t>Cassa Edile di Parma</w:t>
        </w:r>
        <w:r>
          <w:rPr>
            <w:noProof/>
            <w:webHidden/>
          </w:rPr>
          <w:tab/>
        </w:r>
        <w:r>
          <w:rPr>
            <w:noProof/>
            <w:webHidden/>
          </w:rPr>
          <w:fldChar w:fldCharType="begin"/>
        </w:r>
        <w:r>
          <w:rPr>
            <w:noProof/>
            <w:webHidden/>
          </w:rPr>
          <w:instrText xml:space="preserve"> PAGEREF _Toc496021309 \h </w:instrText>
        </w:r>
        <w:r>
          <w:rPr>
            <w:noProof/>
            <w:webHidden/>
          </w:rPr>
        </w:r>
        <w:r>
          <w:rPr>
            <w:noProof/>
            <w:webHidden/>
          </w:rPr>
          <w:fldChar w:fldCharType="separate"/>
        </w:r>
        <w:r>
          <w:rPr>
            <w:noProof/>
            <w:webHidden/>
          </w:rPr>
          <w:t>12</w:t>
        </w:r>
        <w:r>
          <w:rPr>
            <w:noProof/>
            <w:webHidden/>
          </w:rPr>
          <w:fldChar w:fldCharType="end"/>
        </w:r>
      </w:hyperlink>
    </w:p>
    <w:p>
      <w:pPr>
        <w:pStyle w:val="Sommario2"/>
        <w:rPr>
          <w:rFonts w:asciiTheme="minorHAnsi" w:eastAsiaTheme="minorEastAsia" w:hAnsiTheme="minorHAnsi" w:cstheme="minorBidi"/>
          <w:b w:val="0"/>
          <w:sz w:val="22"/>
          <w:szCs w:val="22"/>
        </w:rPr>
      </w:pPr>
      <w:hyperlink w:anchor="_Toc496021310" w:history="1">
        <w:r>
          <w:rPr>
            <w:rStyle w:val="Collegamentoipertestuale"/>
          </w:rPr>
          <w:t>TB1223</w:t>
        </w:r>
        <w:r>
          <w:rPr>
            <w:webHidden/>
          </w:rPr>
          <w:tab/>
        </w:r>
        <w:r>
          <w:rPr>
            <w:webHidden/>
          </w:rPr>
          <w:fldChar w:fldCharType="begin"/>
        </w:r>
        <w:r>
          <w:rPr>
            <w:webHidden/>
          </w:rPr>
          <w:instrText xml:space="preserve"> PAGEREF _Toc496021310 \h </w:instrText>
        </w:r>
        <w:r>
          <w:rPr>
            <w:webHidden/>
          </w:rPr>
        </w:r>
        <w:r>
          <w:rPr>
            <w:webHidden/>
          </w:rPr>
          <w:fldChar w:fldCharType="separate"/>
        </w:r>
        <w:r>
          <w:rPr>
            <w:webHidden/>
          </w:rPr>
          <w:t>12</w:t>
        </w:r>
        <w:r>
          <w:rPr>
            <w:webHidden/>
          </w:rPr>
          <w:fldChar w:fldCharType="end"/>
        </w:r>
      </w:hyperlink>
    </w:p>
    <w:p>
      <w:pPr>
        <w:pStyle w:val="Sommario4"/>
        <w:rPr>
          <w:rFonts w:asciiTheme="minorHAnsi" w:eastAsiaTheme="minorEastAsia" w:hAnsiTheme="minorHAnsi" w:cstheme="minorBidi"/>
          <w:i w:val="0"/>
          <w:sz w:val="22"/>
          <w:szCs w:val="22"/>
        </w:rPr>
      </w:pPr>
      <w:hyperlink w:anchor="_Toc496021311" w:history="1">
        <w:r>
          <w:rPr>
            <w:rStyle w:val="Collegamentoipertestuale"/>
          </w:rPr>
          <w:t>Selezione scadenze automatiche</w:t>
        </w:r>
        <w:r>
          <w:rPr>
            <w:webHidden/>
          </w:rPr>
          <w:tab/>
        </w:r>
        <w:r>
          <w:rPr>
            <w:webHidden/>
          </w:rPr>
          <w:fldChar w:fldCharType="begin"/>
        </w:r>
        <w:r>
          <w:rPr>
            <w:webHidden/>
          </w:rPr>
          <w:instrText xml:space="preserve"> PAGEREF _Toc496021311 \h </w:instrText>
        </w:r>
        <w:r>
          <w:rPr>
            <w:webHidden/>
          </w:rPr>
        </w:r>
        <w:r>
          <w:rPr>
            <w:webHidden/>
          </w:rPr>
          <w:fldChar w:fldCharType="separate"/>
        </w:r>
        <w:r>
          <w:rPr>
            <w:webHidden/>
          </w:rPr>
          <w:t>12</w:t>
        </w:r>
        <w:r>
          <w:rPr>
            <w:webHidden/>
          </w:rPr>
          <w:fldChar w:fldCharType="end"/>
        </w:r>
      </w:hyperlink>
    </w:p>
    <w:p>
      <w:pPr>
        <w:pStyle w:val="Sommario2"/>
        <w:rPr>
          <w:rFonts w:asciiTheme="minorHAnsi" w:eastAsiaTheme="minorEastAsia" w:hAnsiTheme="minorHAnsi" w:cstheme="minorBidi"/>
          <w:b w:val="0"/>
          <w:sz w:val="22"/>
          <w:szCs w:val="22"/>
        </w:rPr>
      </w:pPr>
      <w:hyperlink w:anchor="_Toc496021312" w:history="1">
        <w:r>
          <w:rPr>
            <w:rStyle w:val="Collegamentoipertestuale"/>
          </w:rPr>
          <w:t>AZIE / DIPE</w:t>
        </w:r>
        <w:r>
          <w:rPr>
            <w:webHidden/>
          </w:rPr>
          <w:tab/>
        </w:r>
        <w:r>
          <w:rPr>
            <w:webHidden/>
          </w:rPr>
          <w:fldChar w:fldCharType="begin"/>
        </w:r>
        <w:r>
          <w:rPr>
            <w:webHidden/>
          </w:rPr>
          <w:instrText xml:space="preserve"> PAGEREF _Toc496021312 \h </w:instrText>
        </w:r>
        <w:r>
          <w:rPr>
            <w:webHidden/>
          </w:rPr>
        </w:r>
        <w:r>
          <w:rPr>
            <w:webHidden/>
          </w:rPr>
          <w:fldChar w:fldCharType="separate"/>
        </w:r>
        <w:r>
          <w:rPr>
            <w:webHidden/>
          </w:rPr>
          <w:t>13</w:t>
        </w:r>
        <w:r>
          <w:rPr>
            <w:webHidden/>
          </w:rPr>
          <w:fldChar w:fldCharType="end"/>
        </w:r>
      </w:hyperlink>
    </w:p>
    <w:p>
      <w:pPr>
        <w:pStyle w:val="Sommario4"/>
        <w:rPr>
          <w:rFonts w:asciiTheme="minorHAnsi" w:eastAsiaTheme="minorEastAsia" w:hAnsiTheme="minorHAnsi" w:cstheme="minorBidi"/>
          <w:i w:val="0"/>
          <w:sz w:val="22"/>
          <w:szCs w:val="22"/>
        </w:rPr>
      </w:pPr>
      <w:hyperlink w:anchor="_Toc496021313" w:history="1">
        <w:r>
          <w:rPr>
            <w:rStyle w:val="Collegamentoipertestuale"/>
          </w:rPr>
          <w:t>Gestione storico</w:t>
        </w:r>
        <w:r>
          <w:rPr>
            <w:webHidden/>
          </w:rPr>
          <w:tab/>
        </w:r>
        <w:r>
          <w:rPr>
            <w:webHidden/>
          </w:rPr>
          <w:fldChar w:fldCharType="begin"/>
        </w:r>
        <w:r>
          <w:rPr>
            <w:webHidden/>
          </w:rPr>
          <w:instrText xml:space="preserve"> PAGEREF _Toc496021313 \h </w:instrText>
        </w:r>
        <w:r>
          <w:rPr>
            <w:webHidden/>
          </w:rPr>
        </w:r>
        <w:r>
          <w:rPr>
            <w:webHidden/>
          </w:rPr>
          <w:fldChar w:fldCharType="separate"/>
        </w:r>
        <w:r>
          <w:rPr>
            <w:webHidden/>
          </w:rPr>
          <w:t>13</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314" w:history="1">
        <w:r>
          <w:rPr>
            <w:rStyle w:val="Collegamentoipertestuale"/>
          </w:rPr>
          <w:t>Altri en</w:t>
        </w:r>
        <w:r>
          <w:rPr>
            <w:rStyle w:val="Collegamentoipertestuale"/>
          </w:rPr>
          <w:t>t</w:t>
        </w:r>
        <w:r>
          <w:rPr>
            <w:rStyle w:val="Collegamentoipertestuale"/>
          </w:rPr>
          <w:t>i</w:t>
        </w:r>
        <w:r>
          <w:rPr>
            <w:webHidden/>
          </w:rPr>
          <w:tab/>
        </w:r>
        <w:r>
          <w:rPr>
            <w:webHidden/>
          </w:rPr>
          <w:fldChar w:fldCharType="begin"/>
        </w:r>
        <w:r>
          <w:rPr>
            <w:webHidden/>
          </w:rPr>
          <w:instrText xml:space="preserve"> PAGEREF _Toc496021314 \h </w:instrText>
        </w:r>
        <w:r>
          <w:rPr>
            <w:webHidden/>
          </w:rPr>
        </w:r>
        <w:r>
          <w:rPr>
            <w:webHidden/>
          </w:rPr>
          <w:fldChar w:fldCharType="separate"/>
        </w:r>
        <w:r>
          <w:rPr>
            <w:webHidden/>
          </w:rPr>
          <w:t>14</w:t>
        </w:r>
        <w:r>
          <w:rPr>
            <w:webHidden/>
          </w:rPr>
          <w:fldChar w:fldCharType="end"/>
        </w:r>
      </w:hyperlink>
    </w:p>
    <w:p>
      <w:pPr>
        <w:pStyle w:val="Sommario2"/>
        <w:rPr>
          <w:rFonts w:asciiTheme="minorHAnsi" w:eastAsiaTheme="minorEastAsia" w:hAnsiTheme="minorHAnsi" w:cstheme="minorBidi"/>
          <w:b w:val="0"/>
          <w:sz w:val="22"/>
          <w:szCs w:val="22"/>
        </w:rPr>
      </w:pPr>
      <w:hyperlink w:anchor="_Toc496021315" w:history="1">
        <w:r>
          <w:rPr>
            <w:rStyle w:val="Collegamentoipertestuale"/>
          </w:rPr>
          <w:t>STEDIL</w:t>
        </w:r>
        <w:r>
          <w:rPr>
            <w:webHidden/>
          </w:rPr>
          <w:tab/>
        </w:r>
        <w:r>
          <w:rPr>
            <w:webHidden/>
          </w:rPr>
          <w:fldChar w:fldCharType="begin"/>
        </w:r>
        <w:r>
          <w:rPr>
            <w:webHidden/>
          </w:rPr>
          <w:instrText xml:space="preserve"> PAGEREF _Toc496021315 \h </w:instrText>
        </w:r>
        <w:r>
          <w:rPr>
            <w:webHidden/>
          </w:rPr>
        </w:r>
        <w:r>
          <w:rPr>
            <w:webHidden/>
          </w:rPr>
          <w:fldChar w:fldCharType="separate"/>
        </w:r>
        <w:r>
          <w:rPr>
            <w:webHidden/>
          </w:rPr>
          <w:t>14</w:t>
        </w:r>
        <w:r>
          <w:rPr>
            <w:webHidden/>
          </w:rPr>
          <w:fldChar w:fldCharType="end"/>
        </w:r>
      </w:hyperlink>
    </w:p>
    <w:p>
      <w:pPr>
        <w:pStyle w:val="Sommario4"/>
        <w:rPr>
          <w:rFonts w:asciiTheme="minorHAnsi" w:eastAsiaTheme="minorEastAsia" w:hAnsiTheme="minorHAnsi" w:cstheme="minorBidi"/>
          <w:i w:val="0"/>
          <w:sz w:val="22"/>
          <w:szCs w:val="22"/>
        </w:rPr>
      </w:pPr>
      <w:hyperlink w:anchor="_Toc496021316" w:history="1">
        <w:r>
          <w:rPr>
            <w:rStyle w:val="Collegamentoipertestuale"/>
          </w:rPr>
          <w:t>MUT – Cassa Edile di Torino</w:t>
        </w:r>
        <w:r>
          <w:rPr>
            <w:webHidden/>
          </w:rPr>
          <w:tab/>
        </w:r>
        <w:r>
          <w:rPr>
            <w:webHidden/>
          </w:rPr>
          <w:fldChar w:fldCharType="begin"/>
        </w:r>
        <w:r>
          <w:rPr>
            <w:webHidden/>
          </w:rPr>
          <w:instrText xml:space="preserve"> PAGEREF _Toc496021316 \h </w:instrText>
        </w:r>
        <w:r>
          <w:rPr>
            <w:webHidden/>
          </w:rPr>
        </w:r>
        <w:r>
          <w:rPr>
            <w:webHidden/>
          </w:rPr>
          <w:fldChar w:fldCharType="separate"/>
        </w:r>
        <w:r>
          <w:rPr>
            <w:webHidden/>
          </w:rPr>
          <w:t>14</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317" w:history="1">
        <w:r>
          <w:rPr>
            <w:rStyle w:val="Collegamentoipertestuale"/>
          </w:rPr>
          <w:t>Fondi di previdenza</w:t>
        </w:r>
        <w:r>
          <w:rPr>
            <w:webHidden/>
          </w:rPr>
          <w:tab/>
        </w:r>
        <w:r>
          <w:rPr>
            <w:webHidden/>
          </w:rPr>
          <w:fldChar w:fldCharType="begin"/>
        </w:r>
        <w:r>
          <w:rPr>
            <w:webHidden/>
          </w:rPr>
          <w:instrText xml:space="preserve"> PAGEREF _Toc496021317 \h </w:instrText>
        </w:r>
        <w:r>
          <w:rPr>
            <w:webHidden/>
          </w:rPr>
        </w:r>
        <w:r>
          <w:rPr>
            <w:webHidden/>
          </w:rPr>
          <w:fldChar w:fldCharType="separate"/>
        </w:r>
        <w:r>
          <w:rPr>
            <w:webHidden/>
          </w:rPr>
          <w:t>14</w:t>
        </w:r>
        <w:r>
          <w:rPr>
            <w:webHidden/>
          </w:rPr>
          <w:fldChar w:fldCharType="end"/>
        </w:r>
      </w:hyperlink>
    </w:p>
    <w:p>
      <w:pPr>
        <w:pStyle w:val="Sommario2"/>
        <w:rPr>
          <w:rFonts w:asciiTheme="minorHAnsi" w:eastAsiaTheme="minorEastAsia" w:hAnsiTheme="minorHAnsi" w:cstheme="minorBidi"/>
          <w:b w:val="0"/>
          <w:sz w:val="22"/>
          <w:szCs w:val="22"/>
        </w:rPr>
      </w:pPr>
      <w:hyperlink w:anchor="_Toc496021318" w:history="1">
        <w:r>
          <w:rPr>
            <w:rStyle w:val="Collegamentoipertestuale"/>
          </w:rPr>
          <w:t>TELFONDI / STAFONDI</w:t>
        </w:r>
        <w:r>
          <w:rPr>
            <w:webHidden/>
          </w:rPr>
          <w:tab/>
        </w:r>
        <w:r>
          <w:rPr>
            <w:webHidden/>
          </w:rPr>
          <w:fldChar w:fldCharType="begin"/>
        </w:r>
        <w:r>
          <w:rPr>
            <w:webHidden/>
          </w:rPr>
          <w:instrText xml:space="preserve"> PAGEREF _Toc496021318 \h </w:instrText>
        </w:r>
        <w:r>
          <w:rPr>
            <w:webHidden/>
          </w:rPr>
        </w:r>
        <w:r>
          <w:rPr>
            <w:webHidden/>
          </w:rPr>
          <w:fldChar w:fldCharType="separate"/>
        </w:r>
        <w:r>
          <w:rPr>
            <w:webHidden/>
          </w:rPr>
          <w:t>14</w:t>
        </w:r>
        <w:r>
          <w:rPr>
            <w:webHidden/>
          </w:rPr>
          <w:fldChar w:fldCharType="end"/>
        </w:r>
      </w:hyperlink>
    </w:p>
    <w:p>
      <w:pPr>
        <w:pStyle w:val="Sommario4"/>
        <w:rPr>
          <w:rFonts w:asciiTheme="minorHAnsi" w:eastAsiaTheme="minorEastAsia" w:hAnsiTheme="minorHAnsi" w:cstheme="minorBidi"/>
          <w:i w:val="0"/>
          <w:sz w:val="22"/>
          <w:szCs w:val="22"/>
        </w:rPr>
      </w:pPr>
      <w:hyperlink w:anchor="_Toc496021319" w:history="1">
        <w:r>
          <w:rPr>
            <w:rStyle w:val="Collegamentoipertestuale"/>
          </w:rPr>
          <w:t>Telematico e Stampa Fondo COMETA</w:t>
        </w:r>
        <w:r>
          <w:rPr>
            <w:webHidden/>
          </w:rPr>
          <w:tab/>
        </w:r>
        <w:r>
          <w:rPr>
            <w:webHidden/>
          </w:rPr>
          <w:fldChar w:fldCharType="begin"/>
        </w:r>
        <w:r>
          <w:rPr>
            <w:webHidden/>
          </w:rPr>
          <w:instrText xml:space="preserve"> PAGEREF _Toc496021319 \h </w:instrText>
        </w:r>
        <w:r>
          <w:rPr>
            <w:webHidden/>
          </w:rPr>
        </w:r>
        <w:r>
          <w:rPr>
            <w:webHidden/>
          </w:rPr>
          <w:fldChar w:fldCharType="separate"/>
        </w:r>
        <w:r>
          <w:rPr>
            <w:webHidden/>
          </w:rPr>
          <w:t>14</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320" w:history="1">
        <w:r>
          <w:rPr>
            <w:rStyle w:val="Collegamentoipertestuale"/>
          </w:rPr>
          <w:t>Utility e funzioni varie</w:t>
        </w:r>
        <w:r>
          <w:rPr>
            <w:webHidden/>
          </w:rPr>
          <w:tab/>
        </w:r>
        <w:r>
          <w:rPr>
            <w:webHidden/>
          </w:rPr>
          <w:fldChar w:fldCharType="begin"/>
        </w:r>
        <w:r>
          <w:rPr>
            <w:webHidden/>
          </w:rPr>
          <w:instrText xml:space="preserve"> PAGEREF _Toc496021320 \h </w:instrText>
        </w:r>
        <w:r>
          <w:rPr>
            <w:webHidden/>
          </w:rPr>
        </w:r>
        <w:r>
          <w:rPr>
            <w:webHidden/>
          </w:rPr>
          <w:fldChar w:fldCharType="separate"/>
        </w:r>
        <w:r>
          <w:rPr>
            <w:webHidden/>
          </w:rPr>
          <w:t>14</w:t>
        </w:r>
        <w:r>
          <w:rPr>
            <w:webHidden/>
          </w:rPr>
          <w:fldChar w:fldCharType="end"/>
        </w:r>
      </w:hyperlink>
    </w:p>
    <w:p>
      <w:pPr>
        <w:pStyle w:val="Sommario2"/>
        <w:rPr>
          <w:rFonts w:asciiTheme="minorHAnsi" w:eastAsiaTheme="minorEastAsia" w:hAnsiTheme="minorHAnsi" w:cstheme="minorBidi"/>
          <w:b w:val="0"/>
          <w:sz w:val="22"/>
          <w:szCs w:val="22"/>
        </w:rPr>
      </w:pPr>
      <w:hyperlink w:anchor="_Toc496021321" w:history="1">
        <w:r>
          <w:rPr>
            <w:rStyle w:val="Collegamentoipertestuale"/>
          </w:rPr>
          <w:t>UTYINC</w:t>
        </w:r>
        <w:r>
          <w:rPr>
            <w:webHidden/>
          </w:rPr>
          <w:tab/>
        </w:r>
        <w:r>
          <w:rPr>
            <w:webHidden/>
          </w:rPr>
          <w:fldChar w:fldCharType="begin"/>
        </w:r>
        <w:r>
          <w:rPr>
            <w:webHidden/>
          </w:rPr>
          <w:instrText xml:space="preserve"> PAGEREF _Toc496021321 \h </w:instrText>
        </w:r>
        <w:r>
          <w:rPr>
            <w:webHidden/>
          </w:rPr>
        </w:r>
        <w:r>
          <w:rPr>
            <w:webHidden/>
          </w:rPr>
          <w:fldChar w:fldCharType="separate"/>
        </w:r>
        <w:r>
          <w:rPr>
            <w:webHidden/>
          </w:rPr>
          <w:t>14</w:t>
        </w:r>
        <w:r>
          <w:rPr>
            <w:webHidden/>
          </w:rPr>
          <w:fldChar w:fldCharType="end"/>
        </w:r>
      </w:hyperlink>
    </w:p>
    <w:p>
      <w:pPr>
        <w:pStyle w:val="Sommario4"/>
        <w:rPr>
          <w:rFonts w:asciiTheme="minorHAnsi" w:eastAsiaTheme="minorEastAsia" w:hAnsiTheme="minorHAnsi" w:cstheme="minorBidi"/>
          <w:i w:val="0"/>
          <w:sz w:val="22"/>
          <w:szCs w:val="22"/>
        </w:rPr>
      </w:pPr>
      <w:hyperlink w:anchor="_Toc496021322" w:history="1">
        <w:r>
          <w:rPr>
            <w:rStyle w:val="Collegamentoipertestuale"/>
          </w:rPr>
          <w:t>Incentivo occupazione giovani</w:t>
        </w:r>
        <w:r>
          <w:rPr>
            <w:webHidden/>
          </w:rPr>
          <w:tab/>
        </w:r>
        <w:r>
          <w:rPr>
            <w:webHidden/>
          </w:rPr>
          <w:fldChar w:fldCharType="begin"/>
        </w:r>
        <w:r>
          <w:rPr>
            <w:webHidden/>
          </w:rPr>
          <w:instrText xml:space="preserve"> PAGEREF _Toc496021322 \h </w:instrText>
        </w:r>
        <w:r>
          <w:rPr>
            <w:webHidden/>
          </w:rPr>
        </w:r>
        <w:r>
          <w:rPr>
            <w:webHidden/>
          </w:rPr>
          <w:fldChar w:fldCharType="separate"/>
        </w:r>
        <w:r>
          <w:rPr>
            <w:webHidden/>
          </w:rPr>
          <w:t>14</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96021323" w:history="1">
        <w:r>
          <w:rPr>
            <w:rStyle w:val="Collegamentoipertestuale"/>
          </w:rPr>
          <w:t>Budget e Costo del Personale</w:t>
        </w:r>
        <w:r>
          <w:rPr>
            <w:webHidden/>
          </w:rPr>
          <w:tab/>
        </w:r>
        <w:r>
          <w:rPr>
            <w:webHidden/>
          </w:rPr>
          <w:fldChar w:fldCharType="begin"/>
        </w:r>
        <w:r>
          <w:rPr>
            <w:webHidden/>
          </w:rPr>
          <w:instrText xml:space="preserve"> PAGEREF _Toc496021323 \h </w:instrText>
        </w:r>
        <w:r>
          <w:rPr>
            <w:webHidden/>
          </w:rPr>
        </w:r>
        <w:r>
          <w:rPr>
            <w:webHidden/>
          </w:rPr>
          <w:fldChar w:fldCharType="separate"/>
        </w:r>
        <w:r>
          <w:rPr>
            <w:webHidden/>
          </w:rPr>
          <w:t>14</w:t>
        </w:r>
        <w:r>
          <w:rPr>
            <w:webHidden/>
          </w:rPr>
          <w:fldChar w:fldCharType="end"/>
        </w:r>
      </w:hyperlink>
    </w:p>
    <w:p>
      <w:pPr>
        <w:pStyle w:val="Sommario2"/>
        <w:rPr>
          <w:rFonts w:asciiTheme="minorHAnsi" w:eastAsiaTheme="minorEastAsia" w:hAnsiTheme="minorHAnsi" w:cstheme="minorBidi"/>
          <w:b w:val="0"/>
          <w:sz w:val="22"/>
          <w:szCs w:val="22"/>
        </w:rPr>
      </w:pPr>
      <w:hyperlink w:anchor="_Toc496021324" w:history="1">
        <w:r>
          <w:rPr>
            <w:rStyle w:val="Collegamentoipertestuale"/>
          </w:rPr>
          <w:t>BUDGET</w:t>
        </w:r>
        <w:r>
          <w:rPr>
            <w:webHidden/>
          </w:rPr>
          <w:tab/>
        </w:r>
        <w:r>
          <w:rPr>
            <w:webHidden/>
          </w:rPr>
          <w:fldChar w:fldCharType="begin"/>
        </w:r>
        <w:r>
          <w:rPr>
            <w:webHidden/>
          </w:rPr>
          <w:instrText xml:space="preserve"> PAGEREF _Toc496021324 \h </w:instrText>
        </w:r>
        <w:r>
          <w:rPr>
            <w:webHidden/>
          </w:rPr>
        </w:r>
        <w:r>
          <w:rPr>
            <w:webHidden/>
          </w:rPr>
          <w:fldChar w:fldCharType="separate"/>
        </w:r>
        <w:r>
          <w:rPr>
            <w:webHidden/>
          </w:rPr>
          <w:t>14</w:t>
        </w:r>
        <w:r>
          <w:rPr>
            <w:webHidden/>
          </w:rPr>
          <w:fldChar w:fldCharType="end"/>
        </w:r>
      </w:hyperlink>
    </w:p>
    <w:p>
      <w:pPr>
        <w:pStyle w:val="Sommario4"/>
        <w:rPr>
          <w:rFonts w:asciiTheme="minorHAnsi" w:eastAsiaTheme="minorEastAsia" w:hAnsiTheme="minorHAnsi" w:cstheme="minorBidi"/>
          <w:i w:val="0"/>
          <w:sz w:val="22"/>
          <w:szCs w:val="22"/>
        </w:rPr>
      </w:pPr>
      <w:hyperlink w:anchor="_Toc496021325" w:history="1">
        <w:r>
          <w:rPr>
            <w:rStyle w:val="Collegamentoipertestuale"/>
          </w:rPr>
          <w:t>Interruzione elaborazione preventivo / consuntivo</w:t>
        </w:r>
        <w:r>
          <w:rPr>
            <w:webHidden/>
          </w:rPr>
          <w:tab/>
        </w:r>
        <w:r>
          <w:rPr>
            <w:webHidden/>
          </w:rPr>
          <w:fldChar w:fldCharType="begin"/>
        </w:r>
        <w:r>
          <w:rPr>
            <w:webHidden/>
          </w:rPr>
          <w:instrText xml:space="preserve"> PAGEREF _Toc496021325 \h </w:instrText>
        </w:r>
        <w:r>
          <w:rPr>
            <w:webHidden/>
          </w:rPr>
        </w:r>
        <w:r>
          <w:rPr>
            <w:webHidden/>
          </w:rPr>
          <w:fldChar w:fldCharType="separate"/>
        </w:r>
        <w:r>
          <w:rPr>
            <w:webHidden/>
          </w:rPr>
          <w:t>14</w:t>
        </w:r>
        <w:r>
          <w:rPr>
            <w:webHidden/>
          </w:rPr>
          <w:fldChar w:fldCharType="end"/>
        </w:r>
      </w:hyperlink>
    </w:p>
    <w:p>
      <w:pPr>
        <w:pStyle w:val="corpoAltF"/>
        <w:rPr>
          <w:rStyle w:val="Collegamentoipertestuale"/>
          <w:i/>
          <w:iCs/>
          <w:noProof/>
          <w:color w:val="auto"/>
          <w:spacing w:val="-20"/>
          <w:szCs w:val="28"/>
          <w:u w:val="none"/>
        </w:rPr>
      </w:pPr>
      <w:r>
        <w:rPr>
          <w:rStyle w:val="Collegamentoipertestuale"/>
          <w:b/>
          <w:i/>
          <w:iCs/>
          <w:noProof/>
          <w:color w:val="auto"/>
          <w:spacing w:val="-20"/>
          <w:szCs w:val="28"/>
          <w:u w:val="none"/>
        </w:rPr>
        <w:fldChar w:fldCharType="end"/>
      </w:r>
    </w:p>
    <w:p>
      <w:pPr>
        <w:pStyle w:val="CorpoAltF0"/>
        <w:rPr>
          <w:rStyle w:val="Collegamentoipertestuale"/>
          <w:color w:val="auto"/>
          <w:u w:val="none"/>
        </w:rPr>
      </w:pPr>
    </w:p>
    <w:p>
      <w:pPr>
        <w:pStyle w:val="CorpoAltF0"/>
      </w:pPr>
    </w:p>
    <w:p>
      <w:pPr>
        <w:pStyle w:val="CorpoAltF0"/>
        <w:sectPr>
          <w:headerReference w:type="default" r:id="rId9"/>
          <w:footerReference w:type="default" r:id="rId10"/>
          <w:pgSz w:w="11907" w:h="16840" w:code="9"/>
          <w:pgMar w:top="567" w:right="1134" w:bottom="1134" w:left="1134" w:header="397" w:footer="397" w:gutter="0"/>
          <w:pgNumType w:chapStyle="1" w:chapSep="period"/>
          <w:cols w:space="720"/>
          <w:noEndnote/>
        </w:sectPr>
      </w:pPr>
    </w:p>
    <w:bookmarkEnd w:id="0"/>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 w:name="_Toc480565601"/>
            <w:bookmarkStart w:id="4" w:name="_Toc483478255"/>
            <w:bookmarkStart w:id="5" w:name="_Toc493752230"/>
            <w:bookmarkStart w:id="6" w:name="_Toc495562609"/>
            <w:bookmarkStart w:id="7" w:name="_Toc496021287"/>
            <w:r>
              <w:t>Conversione Archivi</w:t>
            </w:r>
            <w:bookmarkEnd w:id="3"/>
            <w:bookmarkEnd w:id="4"/>
            <w:bookmarkEnd w:id="5"/>
            <w:bookmarkEnd w:id="6"/>
            <w:bookmarkEnd w:id="7"/>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8" w:name="_Toc480565602"/>
            <w:bookmarkStart w:id="9" w:name="_Toc483478256"/>
            <w:bookmarkStart w:id="10" w:name="_Toc493752231"/>
            <w:bookmarkStart w:id="11" w:name="_Toc495562610"/>
            <w:bookmarkStart w:id="12" w:name="_Toc496021288"/>
            <w:r>
              <w:t>CONVERS</w:t>
            </w:r>
            <w:bookmarkEnd w:id="8"/>
            <w:bookmarkEnd w:id="9"/>
            <w:bookmarkEnd w:id="10"/>
            <w:bookmarkEnd w:id="11"/>
            <w:bookmarkEnd w:id="12"/>
          </w:p>
        </w:tc>
      </w:tr>
    </w:tbl>
    <w:p>
      <w:pPr>
        <w:pStyle w:val="CorpoAltF0"/>
      </w:pPr>
    </w:p>
    <w:p>
      <w:pPr>
        <w:pStyle w:val="CorpoAltF0"/>
      </w:pPr>
      <w:r>
        <w:t xml:space="preserve">Dopo aver installato la versione è necessario effettuare la conversione degli archivi mediante il comando </w:t>
      </w:r>
      <w:r>
        <w:rPr>
          <w:b/>
          <w:bCs/>
        </w:rPr>
        <w:t>CONVERS</w:t>
      </w:r>
      <w:r>
        <w:t>.</w:t>
      </w:r>
    </w:p>
    <w:p>
      <w:pPr>
        <w:pStyle w:val="CorpoAltF0"/>
      </w:pPr>
      <w:r>
        <w:t xml:space="preserve">Richiamando il comando </w:t>
      </w:r>
      <w:r>
        <w:rPr>
          <w:b/>
          <w:bCs/>
        </w:rPr>
        <w:t>CONVERS</w:t>
      </w:r>
      <w:r>
        <w:t xml:space="preserve"> viene visualizzata una schermata che elenca le varie fasi della conversione che vengono eseguite in sequenza, ciascuna delle quali svolge singole operazioni sugli archivi.</w:t>
      </w:r>
    </w:p>
    <w:p>
      <w:pPr>
        <w:pStyle w:val="CorpoAltF0"/>
      </w:pPr>
      <w:r>
        <w:t>Il loro completamento viene segnalato a fianco di ciascuna.</w:t>
      </w:r>
    </w:p>
    <w:p>
      <w:pPr>
        <w:pStyle w:val="CorpoAltF0"/>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9"/>
      </w:tblGrid>
      <w:tr>
        <w:trPr>
          <w:trHeight w:val="1081"/>
        </w:trPr>
        <w:tc>
          <w:tcPr>
            <w:tcW w:w="9749" w:type="dxa"/>
            <w:tcMar>
              <w:top w:w="113" w:type="dxa"/>
              <w:left w:w="284" w:type="dxa"/>
              <w:bottom w:w="170" w:type="dxa"/>
              <w:right w:w="284" w:type="dxa"/>
            </w:tcMar>
          </w:tcPr>
          <w:p>
            <w:pPr>
              <w:pStyle w:val="corpo"/>
              <w:jc w:val="left"/>
              <w:rPr>
                <w:b/>
                <w:bCs/>
                <w:spacing w:val="40"/>
                <w:u w:val="single"/>
              </w:rPr>
            </w:pPr>
            <w:r>
              <w:rPr>
                <w:b/>
                <w:bCs/>
                <w:noProof/>
                <w:spacing w:val="40"/>
              </w:rPr>
              <w:drawing>
                <wp:inline distT="0" distB="0" distL="0" distR="0">
                  <wp:extent cx="302895" cy="302895"/>
                  <wp:effectExtent l="0" t="0" r="1905" b="1905"/>
                  <wp:docPr id="5" name="Immagine 5" descr="btit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ita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Pr>
                <w:b/>
                <w:bCs/>
                <w:spacing w:val="40"/>
              </w:rPr>
              <w:t xml:space="preserve"> </w:t>
            </w:r>
            <w:r>
              <w:rPr>
                <w:b/>
                <w:bCs/>
                <w:spacing w:val="40"/>
                <w:u w:val="single"/>
              </w:rPr>
              <w:t>ANNOTAZIONI</w:t>
            </w:r>
          </w:p>
          <w:p>
            <w:pPr>
              <w:pStyle w:val="Corpodeltesto3"/>
              <w:ind w:left="283" w:right="222"/>
            </w:pPr>
          </w:p>
          <w:p>
            <w:pPr>
              <w:pStyle w:val="Corpodeltesto3"/>
              <w:numPr>
                <w:ilvl w:val="0"/>
                <w:numId w:val="2"/>
              </w:numPr>
              <w:tabs>
                <w:tab w:val="clear" w:pos="1276"/>
                <w:tab w:val="num" w:pos="567"/>
              </w:tabs>
              <w:ind w:left="567" w:right="222" w:hanging="284"/>
            </w:pPr>
            <w:r>
              <w:t>Al fine di prevenire eventuali inconvenienti, è consigliabile effettuare una copia degli archivi prima di effettuare le operazioni di conversione;</w:t>
            </w:r>
          </w:p>
          <w:p>
            <w:pPr>
              <w:pStyle w:val="Corpodeltesto3"/>
              <w:numPr>
                <w:ilvl w:val="0"/>
                <w:numId w:val="2"/>
              </w:numPr>
              <w:tabs>
                <w:tab w:val="clear" w:pos="1276"/>
                <w:tab w:val="num" w:pos="567"/>
              </w:tabs>
              <w:spacing w:before="120"/>
              <w:ind w:left="568" w:right="222" w:hanging="284"/>
            </w:pPr>
            <w:r>
              <w:t>In caso di interruzione imprevista, la conversione deve essere rilanciata: il processo verrà ripreso dalla fase in cui è stato interrotto;</w:t>
            </w:r>
          </w:p>
          <w:p>
            <w:pPr>
              <w:pStyle w:val="Corpodeltesto3"/>
              <w:numPr>
                <w:ilvl w:val="0"/>
                <w:numId w:val="2"/>
              </w:numPr>
              <w:tabs>
                <w:tab w:val="clear" w:pos="1276"/>
                <w:tab w:val="num" w:pos="567"/>
              </w:tabs>
              <w:spacing w:before="120"/>
              <w:ind w:left="567" w:right="222" w:hanging="284"/>
            </w:pPr>
            <w:r>
              <w:t>Il comando di conversione non è ripetibile;</w:t>
            </w:r>
          </w:p>
          <w:p>
            <w:pPr>
              <w:pStyle w:val="Corpodeltesto3"/>
              <w:numPr>
                <w:ilvl w:val="0"/>
                <w:numId w:val="2"/>
              </w:numPr>
              <w:tabs>
                <w:tab w:val="clear" w:pos="1276"/>
                <w:tab w:val="num" w:pos="567"/>
              </w:tabs>
              <w:spacing w:before="120"/>
              <w:ind w:left="567" w:right="222" w:hanging="284"/>
            </w:pPr>
            <w:r>
              <w:t>La conversione può essere eseguita anche in corso di elaborazione della mensilità.</w:t>
            </w:r>
          </w:p>
        </w:tc>
      </w:tr>
    </w:tbl>
    <w:p>
      <w:pPr>
        <w:pStyle w:val="CorpoAltF0"/>
      </w:pPr>
    </w:p>
    <w:p>
      <w:pPr>
        <w:pStyle w:val="CorpoAltF0"/>
      </w:pPr>
      <w:r>
        <w:t>Il programma di conversione effettua le seguenti operazioni:</w:t>
      </w:r>
    </w:p>
    <w:p>
      <w:pPr>
        <w:pStyle w:val="CorpoAltF0"/>
      </w:pPr>
    </w:p>
    <w:p>
      <w:pPr>
        <w:pStyle w:val="CorpoAltF0"/>
        <w:jc w:val="center"/>
      </w:pPr>
      <w:r>
        <w:rPr>
          <w:noProof/>
        </w:rPr>
        <w:drawing>
          <wp:inline distT="0" distB="0" distL="0" distR="0">
            <wp:extent cx="5040000" cy="361575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3615753"/>
                    </a:xfrm>
                    <a:prstGeom prst="rect">
                      <a:avLst/>
                    </a:prstGeom>
                  </pic:spPr>
                </pic:pic>
              </a:graphicData>
            </a:graphic>
          </wp:inline>
        </w:drawing>
      </w: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trPr>
          <w:trHeight w:val="558"/>
        </w:trPr>
        <w:tc>
          <w:tcPr>
            <w:tcW w:w="6874" w:type="dxa"/>
            <w:tcBorders>
              <w:top w:val="nil"/>
              <w:left w:val="nil"/>
              <w:bottom w:val="single" w:sz="12" w:space="0" w:color="auto"/>
              <w:right w:val="nil"/>
            </w:tcBorders>
            <w:vAlign w:val="center"/>
            <w:hideMark/>
          </w:tcPr>
          <w:p>
            <w:pPr>
              <w:pStyle w:val="TS-titolo-01"/>
              <w:outlineLvl w:val="0"/>
            </w:pPr>
            <w:bookmarkStart w:id="13" w:name="_Toc496019801"/>
            <w:bookmarkStart w:id="14" w:name="_Toc496021289"/>
            <w:bookmarkStart w:id="15" w:name="RetribuzionePerFondoAgricolo"/>
            <w:bookmarkEnd w:id="15"/>
            <w:r>
              <w:t>Retribuzione operai agricoli</w:t>
            </w:r>
            <w:bookmarkEnd w:id="13"/>
            <w:bookmarkEnd w:id="1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TS-titolo-04"/>
      </w:pPr>
      <w:bookmarkStart w:id="16" w:name="_Toc496019802"/>
      <w:bookmarkStart w:id="17" w:name="_Toc496021290"/>
      <w:r>
        <w:t>Retribuzione per fondo agricolo</w:t>
      </w:r>
      <w:bookmarkEnd w:id="16"/>
      <w:bookmarkEnd w:id="17"/>
    </w:p>
    <w:p>
      <w:pPr>
        <w:pStyle w:val="CorpoAltF0"/>
        <w:spacing w:before="120"/>
      </w:pPr>
      <w:r>
        <w:t>Ai fini dell’elaborazione dei cedolini e della gestione degli eventi per gli operai di azienda agricola (codice 2-“</w:t>
      </w:r>
      <w:r>
        <w:rPr>
          <w:i/>
        </w:rPr>
        <w:t>Gestione DMAG</w:t>
      </w:r>
      <w:r>
        <w:t>” al campo “</w:t>
      </w:r>
      <w:r>
        <w:rPr>
          <w:i/>
        </w:rPr>
        <w:t>Codice gestione ente</w:t>
      </w:r>
      <w:r>
        <w:t>” della scheda “</w:t>
      </w:r>
      <w:r>
        <w:rPr>
          <w:i/>
        </w:rPr>
        <w:t>Dati contributivi</w:t>
      </w:r>
      <w:r>
        <w:t xml:space="preserve">” di </w:t>
      </w:r>
      <w:r>
        <w:rPr>
          <w:b/>
        </w:rPr>
        <w:t>AZIE</w:t>
      </w:r>
      <w:r>
        <w:t xml:space="preserve">), il programma è stato implementato al fine di calcolare la retribuzione del dipendente in funzione del fondo agricolo selezionato, tenendo conto, quindi, degli elementi retributivi territoriali impostati in </w:t>
      </w:r>
      <w:r>
        <w:rPr>
          <w:b/>
        </w:rPr>
        <w:t>TB0104</w:t>
      </w:r>
      <w:r>
        <w:t>, mediante la funzione di personalizzazione, o nella tabella indennità territoriali (</w:t>
      </w:r>
      <w:r>
        <w:rPr>
          <w:b/>
        </w:rPr>
        <w:t>TB0114</w:t>
      </w:r>
      <w:r>
        <w:t>), per la provincia/regione di riferimento del fondo stesso.</w:t>
      </w:r>
    </w:p>
    <w:p>
      <w:pPr>
        <w:pStyle w:val="CorpoAltF0"/>
        <w:spacing w:before="120"/>
      </w:pPr>
      <w:r>
        <w:t>Il nuovo criterio verrà applicato a partire dalla mensilità di ottobre 2017.</w:t>
      </w:r>
    </w:p>
    <w:p>
      <w:pPr>
        <w:pStyle w:val="CorpoAltF0"/>
      </w:pPr>
    </w:p>
    <w:p>
      <w:pPr>
        <w:pStyle w:val="CorpoAltF0"/>
      </w:pPr>
      <w:r>
        <w:t>Con riferimento a ciascuna azienda è possibile disattivare l’applicazione della nuova gestione della retribuzione per fondo agricolo, valorizzando il campo “</w:t>
      </w:r>
      <w:r>
        <w:rPr>
          <w:b/>
          <w:i/>
        </w:rPr>
        <w:t>Escludi calcolo retribuzione per fondo agricolo</w:t>
      </w:r>
      <w:r>
        <w:t>” inserito nella scheda “</w:t>
      </w:r>
      <w:r>
        <w:rPr>
          <w:i/>
        </w:rPr>
        <w:t>Dati statistici</w:t>
      </w:r>
      <w:r>
        <w:t xml:space="preserve">” di </w:t>
      </w:r>
      <w:r>
        <w:rPr>
          <w:b/>
        </w:rPr>
        <w:t>AZIE</w:t>
      </w:r>
      <w:r>
        <w:t>.</w:t>
      </w:r>
    </w:p>
    <w:p>
      <w:pPr>
        <w:pStyle w:val="CorpoAltF0"/>
        <w:spacing w:before="120"/>
        <w:jc w:val="center"/>
      </w:pPr>
      <w:r>
        <w:rPr>
          <w:noProof/>
        </w:rPr>
        <w:drawing>
          <wp:inline distT="0" distB="0" distL="0" distR="0">
            <wp:extent cx="5040000" cy="3035294"/>
            <wp:effectExtent l="0" t="0" r="0" b="0"/>
            <wp:docPr id="4" name="Immagine 4"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ACDAE2.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035294"/>
                    </a:xfrm>
                    <a:prstGeom prst="rect">
                      <a:avLst/>
                    </a:prstGeom>
                  </pic:spPr>
                </pic:pic>
              </a:graphicData>
            </a:graphic>
          </wp:inline>
        </w:drawing>
      </w:r>
    </w:p>
    <w:p>
      <w:pPr>
        <w:pStyle w:val="CorpoAltF0"/>
        <w:spacing w:before="120"/>
      </w:pPr>
      <w:r>
        <w:t>Per consentire agli utenti la verifica delle tabelle retributive in uso, per le aziende già gestite tale campo viene compilato automaticamente mediante il comando di conversione (</w:t>
      </w:r>
      <w:r>
        <w:rPr>
          <w:b/>
        </w:rPr>
        <w:t>CONVERS</w:t>
      </w:r>
      <w:r>
        <w:t>).</w:t>
      </w:r>
    </w:p>
    <w:p>
      <w:pPr>
        <w:pStyle w:val="CorpoAltF0"/>
      </w:pPr>
      <w:r>
        <w:t>Per tali aziende, pertanto, il programma continuerà come in precedenza a valorizzare gli elementi territoriali della retribuzione in base al comune di lavoro del dipendente (scheda “</w:t>
      </w:r>
      <w:r>
        <w:rPr>
          <w:i/>
        </w:rPr>
        <w:t>Trattenute</w:t>
      </w:r>
      <w:r>
        <w:t xml:space="preserve">” di </w:t>
      </w:r>
      <w:r>
        <w:rPr>
          <w:b/>
        </w:rPr>
        <w:t>DIPE</w:t>
      </w:r>
      <w:r>
        <w:t>) o, se assente, al comune della filiale di riferimento (“</w:t>
      </w:r>
      <w:r>
        <w:rPr>
          <w:i/>
        </w:rPr>
        <w:t>Dati anagrafici</w:t>
      </w:r>
      <w:r>
        <w:t>” della scheda “</w:t>
      </w:r>
      <w:r>
        <w:rPr>
          <w:i/>
        </w:rPr>
        <w:t>Anagrafica</w:t>
      </w:r>
      <w:r>
        <w:t xml:space="preserve">” di </w:t>
      </w:r>
      <w:r>
        <w:rPr>
          <w:b/>
        </w:rPr>
        <w:t>AZIE</w:t>
      </w:r>
      <w:r>
        <w:t>); sarà cura dell’utente deselezionare il campo “</w:t>
      </w:r>
      <w:r>
        <w:rPr>
          <w:i/>
        </w:rPr>
        <w:t>Escludi calcolo retribuzione per fondo agricolo</w:t>
      </w:r>
      <w:r>
        <w:t>” nel momento in cui si intenda adottare la nuova modalità di gestione.</w:t>
      </w:r>
    </w:p>
    <w:p>
      <w:pPr>
        <w:pStyle w:val="CorpoAltF0"/>
        <w:spacing w:before="120"/>
      </w:pPr>
      <w:r>
        <w:t>In fase di creazione di una nuova azienda, tale campo verrà proposto non valorizzato.</w:t>
      </w:r>
    </w:p>
    <w:p>
      <w:pPr>
        <w:pStyle w:val="CorpoAltF0"/>
      </w:pPr>
    </w:p>
    <w:p>
      <w:pPr>
        <w:pStyle w:val="CorpoAltF0"/>
      </w:pPr>
    </w:p>
    <w:p>
      <w:pPr>
        <w:pStyle w:val="CorpoAltF0"/>
      </w:pPr>
      <w:r>
        <w:t>Di seguito si descrivono le modifiche relative alla nuova gestione della retribuzione per fondo agricolo.</w:t>
      </w:r>
    </w:p>
    <w:p>
      <w:pPr>
        <w:pStyle w:val="CorpoAltF0"/>
      </w:pPr>
    </w:p>
    <w:p>
      <w:pPr>
        <w:rPr>
          <w:rFonts w:ascii="Arial" w:hAnsi="Arial"/>
          <w:sz w:val="20"/>
          <w:szCs w:val="20"/>
        </w:rPr>
      </w:pPr>
      <w:r>
        <w:br w:type="page"/>
      </w:r>
    </w:p>
    <w:p>
      <w:pPr>
        <w:pStyle w:val="CorpoAltF0"/>
      </w:pPr>
    </w:p>
    <w:p>
      <w:pPr>
        <w:pStyle w:val="TS-titolo-05"/>
      </w:pPr>
      <w:bookmarkStart w:id="18" w:name="_Toc494715326"/>
      <w:bookmarkStart w:id="19" w:name="_Toc496019803"/>
      <w:bookmarkStart w:id="20" w:name="_Toc496021291"/>
      <w:r>
        <w:rPr>
          <w:b/>
        </w:rPr>
        <w:t>CEDOL</w:t>
      </w:r>
      <w:r>
        <w:t xml:space="preserve"> – Calcolo retribuzione per fondo agricolo</w:t>
      </w:r>
      <w:bookmarkEnd w:id="18"/>
      <w:bookmarkEnd w:id="19"/>
      <w:bookmarkEnd w:id="20"/>
    </w:p>
    <w:p>
      <w:pPr>
        <w:pStyle w:val="CorpoAltF0"/>
        <w:spacing w:before="120"/>
      </w:pPr>
      <w:r>
        <w:t>In fase di inserimento di una voce di calcolo per il lavoratore agricolo, selezionando il rispettivo fondo di lavoro (colonna “</w:t>
      </w:r>
      <w:proofErr w:type="spellStart"/>
      <w:r>
        <w:rPr>
          <w:i/>
        </w:rPr>
        <w:t>F.agr</w:t>
      </w:r>
      <w:proofErr w:type="spellEnd"/>
      <w:r>
        <w:t xml:space="preserve">” di </w:t>
      </w:r>
      <w:r>
        <w:rPr>
          <w:b/>
        </w:rPr>
        <w:t>CEDOL</w:t>
      </w:r>
      <w:r>
        <w:t xml:space="preserve">), il programma provvede a calcolare gli elementi territoriali della retribuzione in funzione della provincia/regione di riferimento del fondo stesso (vedi pag. </w:t>
      </w:r>
      <w:r>
        <w:fldChar w:fldCharType="begin"/>
      </w:r>
      <w:r>
        <w:instrText xml:space="preserve"> PAGEREF AGRI_AZIE_FondiAgricoli \h </w:instrText>
      </w:r>
      <w:r>
        <w:fldChar w:fldCharType="separate"/>
      </w:r>
      <w:r>
        <w:rPr>
          <w:noProof/>
        </w:rPr>
        <w:t>7</w:t>
      </w:r>
      <w:r>
        <w:fldChar w:fldCharType="end"/>
      </w:r>
      <w:r>
        <w:t>).</w:t>
      </w:r>
    </w:p>
    <w:p>
      <w:pPr>
        <w:pStyle w:val="CorpoAltF0"/>
        <w:spacing w:before="120"/>
        <w:jc w:val="center"/>
      </w:pPr>
      <w:r>
        <w:rPr>
          <w:noProof/>
        </w:rPr>
        <w:drawing>
          <wp:inline distT="0" distB="0" distL="0" distR="0">
            <wp:extent cx="5040000" cy="2487320"/>
            <wp:effectExtent l="0" t="0" r="0" b="0"/>
            <wp:docPr id="2" name="Immagine 2"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3049.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2487320"/>
                    </a:xfrm>
                    <a:prstGeom prst="rect">
                      <a:avLst/>
                    </a:prstGeom>
                  </pic:spPr>
                </pic:pic>
              </a:graphicData>
            </a:graphic>
          </wp:inline>
        </w:drawing>
      </w:r>
    </w:p>
    <w:p>
      <w:pPr>
        <w:pStyle w:val="CorpoAltF0"/>
      </w:pPr>
    </w:p>
    <w:p>
      <w:pPr>
        <w:pStyle w:val="CorpoAltF0"/>
      </w:pPr>
      <w:r>
        <w:t>All’interno della sezione “</w:t>
      </w:r>
      <w:r>
        <w:rPr>
          <w:i/>
        </w:rPr>
        <w:t>Retribuzioni</w:t>
      </w:r>
      <w:r>
        <w:t>” (scelta 3 delle “</w:t>
      </w:r>
      <w:r>
        <w:rPr>
          <w:i/>
        </w:rPr>
        <w:t>Funzioni generali</w:t>
      </w:r>
      <w:r>
        <w:t xml:space="preserve">” di </w:t>
      </w:r>
      <w:r>
        <w:rPr>
          <w:b/>
        </w:rPr>
        <w:t>CEDOL</w:t>
      </w:r>
      <w:r>
        <w:t>) è possibile visualizzare le retribuzioni calcolate relativamente ai diversi fondi gestiti nel mese per lo specifico dipendente:</w:t>
      </w:r>
    </w:p>
    <w:p>
      <w:pPr>
        <w:pStyle w:val="CorpoAltF0"/>
        <w:spacing w:before="120"/>
        <w:jc w:val="center"/>
      </w:pPr>
      <w:r>
        <w:rPr>
          <w:noProof/>
        </w:rPr>
        <w:drawing>
          <wp:inline distT="0" distB="0" distL="0" distR="0">
            <wp:extent cx="4320000" cy="2620952"/>
            <wp:effectExtent l="0" t="0" r="0" b="0"/>
            <wp:docPr id="16" name="Immagine 16"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30DEC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2620952"/>
                    </a:xfrm>
                    <a:prstGeom prst="rect">
                      <a:avLst/>
                    </a:prstGeom>
                  </pic:spPr>
                </pic:pic>
              </a:graphicData>
            </a:graphic>
          </wp:inline>
        </w:drawing>
      </w:r>
    </w:p>
    <w:p>
      <w:pPr>
        <w:pStyle w:val="CorpoAltF0"/>
        <w:spacing w:before="120"/>
      </w:pPr>
      <w:r>
        <w:t>Mediante l’apposito campo inserito nella sezione “</w:t>
      </w:r>
      <w:r>
        <w:rPr>
          <w:i/>
        </w:rPr>
        <w:t>Retribuzione</w:t>
      </w:r>
      <w:r>
        <w:t xml:space="preserve">” di </w:t>
      </w:r>
      <w:r>
        <w:rPr>
          <w:b/>
        </w:rPr>
        <w:t>CEDOL</w:t>
      </w:r>
      <w:r>
        <w:t>, è possibile selezionare uno dei fondi movimentati nel cedolino al fine di visualizzare la rispettiva retribuzione calcolata.</w:t>
      </w:r>
    </w:p>
    <w:p>
      <w:pPr>
        <w:pStyle w:val="CorpoAltF0"/>
        <w:spacing w:before="120"/>
      </w:pPr>
      <w:r>
        <w:t xml:space="preserve">Per </w:t>
      </w:r>
      <w:r>
        <w:rPr>
          <w:i/>
        </w:rPr>
        <w:t>default</w:t>
      </w:r>
      <w:r>
        <w:t>, in tale sede il programma propone la visualizzazione della “retribuzione anagrafica” del dipendente (scheda “</w:t>
      </w:r>
      <w:r>
        <w:rPr>
          <w:i/>
        </w:rPr>
        <w:t>Retribuzione</w:t>
      </w:r>
      <w:r>
        <w:t xml:space="preserve">” di </w:t>
      </w:r>
      <w:r>
        <w:rPr>
          <w:b/>
        </w:rPr>
        <w:t>DIPE</w:t>
      </w:r>
      <w:r>
        <w:t>), relativa alla provincia/regione dell’azienda agricola di riferimento (vedi parag. successivo); tale retribuzione verrà riportata nella stampa del cedolino (testata del cedolino) e utilizzata per la valorizzazione del costo per ratei maturati.</w:t>
      </w:r>
    </w:p>
    <w:p>
      <w:pPr>
        <w:pStyle w:val="CorpoAltF0"/>
      </w:pPr>
    </w:p>
    <w:p>
      <w:pPr>
        <w:pStyle w:val="CorpoAltF0"/>
      </w:pPr>
      <w:r>
        <w:t>La specifica retribuzione verrà utilizzata altresì nel calcolo della retribuzione contrattuale giornaliera utile alla verifica del minimale contributivo per gli operi agricoli a tempo determinato (OTD) (vedi “</w:t>
      </w:r>
      <w:r>
        <w:rPr>
          <w:i/>
        </w:rPr>
        <w:t>Dettaglio minimale DMAG</w:t>
      </w:r>
      <w:r>
        <w:t>” della sezione “</w:t>
      </w:r>
      <w:r>
        <w:rPr>
          <w:i/>
        </w:rPr>
        <w:t>Totali &gt; Imponibili</w:t>
      </w:r>
      <w:r>
        <w:t>” del cedolino).</w:t>
      </w:r>
    </w:p>
    <w:p>
      <w:pPr>
        <w:rPr>
          <w:rFonts w:ascii="Arial" w:hAnsi="Arial"/>
          <w:sz w:val="20"/>
          <w:szCs w:val="20"/>
        </w:rPr>
      </w:pPr>
      <w:r>
        <w:br w:type="page"/>
      </w:r>
    </w:p>
    <w:p>
      <w:pPr>
        <w:pStyle w:val="CorpoAltF0"/>
      </w:pPr>
    </w:p>
    <w:p>
      <w:pPr>
        <w:pStyle w:val="TS-titolo-05"/>
      </w:pPr>
      <w:bookmarkStart w:id="21" w:name="AGRI_DIPE_FondoAgricoloRif"/>
      <w:bookmarkStart w:id="22" w:name="_Toc496019804"/>
      <w:bookmarkStart w:id="23" w:name="_Toc496021292"/>
      <w:bookmarkEnd w:id="21"/>
      <w:r>
        <w:rPr>
          <w:b/>
        </w:rPr>
        <w:t>DIPE</w:t>
      </w:r>
      <w:r>
        <w:t xml:space="preserve"> – Fondo agricolo di riferimento</w:t>
      </w:r>
      <w:bookmarkEnd w:id="22"/>
      <w:bookmarkEnd w:id="23"/>
    </w:p>
    <w:p>
      <w:pPr>
        <w:pStyle w:val="CorpoAltF0"/>
        <w:spacing w:before="120"/>
      </w:pPr>
      <w:r>
        <w:t>Nella scheda “</w:t>
      </w:r>
      <w:r>
        <w:rPr>
          <w:i/>
        </w:rPr>
        <w:t>Trattenute</w:t>
      </w:r>
      <w:r>
        <w:t xml:space="preserve">” di </w:t>
      </w:r>
      <w:r>
        <w:rPr>
          <w:b/>
        </w:rPr>
        <w:t>DIPE</w:t>
      </w:r>
      <w:r>
        <w:t>, relativamente ai lavoratori agricoli, è stato inserito il campo “</w:t>
      </w:r>
      <w:r>
        <w:rPr>
          <w:b/>
          <w:i/>
        </w:rPr>
        <w:t>Cod. fondo di riferimento</w:t>
      </w:r>
      <w:r>
        <w:t>”, nel quale è possibile indicare il fondo agricolo di riferimento per il dipendente, ossia quello che verrà proposto come fondo di lavoro in fase di inserimento delle voci di calcolo nel relativo cedolino.</w:t>
      </w:r>
    </w:p>
    <w:p>
      <w:pPr>
        <w:pStyle w:val="CorpoAltF0"/>
        <w:spacing w:before="120"/>
        <w:jc w:val="center"/>
        <w:rPr>
          <w:noProof/>
        </w:rPr>
      </w:pPr>
      <w:r>
        <w:rPr>
          <w:noProof/>
        </w:rPr>
        <w:drawing>
          <wp:inline distT="0" distB="0" distL="0" distR="0">
            <wp:extent cx="5040000" cy="3019085"/>
            <wp:effectExtent l="0" t="0" r="0" b="0"/>
            <wp:docPr id="9" name="Immagine 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78BBE1.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3019085"/>
                    </a:xfrm>
                    <a:prstGeom prst="rect">
                      <a:avLst/>
                    </a:prstGeom>
                  </pic:spPr>
                </pic:pic>
              </a:graphicData>
            </a:graphic>
          </wp:inline>
        </w:drawing>
      </w:r>
    </w:p>
    <w:p>
      <w:pPr>
        <w:pStyle w:val="CorpoAltF0"/>
        <w:spacing w:before="120"/>
      </w:pPr>
      <w:r>
        <w:t>Con l’installazione del presente aggiornamento, in tale campo viene automaticamente riportato il valore presente nel corrispondente campo già presente nella sezione “</w:t>
      </w:r>
      <w:r>
        <w:rPr>
          <w:i/>
        </w:rPr>
        <w:t>Altri dati &gt; Dati lavoratori agricoli</w:t>
      </w:r>
      <w:r>
        <w:t xml:space="preserve">” di </w:t>
      </w:r>
      <w:r>
        <w:rPr>
          <w:b/>
        </w:rPr>
        <w:t>DIPE</w:t>
      </w:r>
      <w:r>
        <w:t>, dove viene mantenuto in sola visualizzazione.</w:t>
      </w:r>
    </w:p>
    <w:p>
      <w:pPr>
        <w:pStyle w:val="CorpoAltF0"/>
        <w:spacing w:before="120"/>
      </w:pPr>
      <w:r>
        <w:t>Nel successivo campo “</w:t>
      </w:r>
      <w:r>
        <w:rPr>
          <w:i/>
        </w:rPr>
        <w:t>Prov./</w:t>
      </w:r>
      <w:proofErr w:type="spellStart"/>
      <w:r>
        <w:rPr>
          <w:i/>
        </w:rPr>
        <w:t>Com</w:t>
      </w:r>
      <w:proofErr w:type="spellEnd"/>
      <w:r>
        <w:rPr>
          <w:i/>
        </w:rPr>
        <w:t>. az. agricola</w:t>
      </w:r>
      <w:r>
        <w:t>” verrà visualizzata la provincia ed il comune di ubicazione del fondo principale dell’azienda agricola di riferimento (</w:t>
      </w:r>
      <w:r>
        <w:rPr>
          <w:b/>
        </w:rPr>
        <w:t>AZIE</w:t>
      </w:r>
      <w:r>
        <w:t xml:space="preserve"> &gt; “</w:t>
      </w:r>
      <w:r>
        <w:rPr>
          <w:i/>
        </w:rPr>
        <w:t xml:space="preserve">Altri dati &gt; Dati aggiuntivi </w:t>
      </w:r>
      <w:proofErr w:type="spellStart"/>
      <w:r>
        <w:rPr>
          <w:i/>
        </w:rPr>
        <w:t>imp</w:t>
      </w:r>
      <w:proofErr w:type="spellEnd"/>
      <w:r>
        <w:rPr>
          <w:i/>
        </w:rPr>
        <w:t>. agricola &gt; Aziende agricole</w:t>
      </w:r>
      <w:r>
        <w:t>” &gt; campo “</w:t>
      </w:r>
      <w:r>
        <w:rPr>
          <w:i/>
        </w:rPr>
        <w:t>Comune ubicazione fondo principale</w:t>
      </w:r>
      <w:r>
        <w:t>”) a cui il fondo selezionato risulta collegato.</w:t>
      </w:r>
    </w:p>
    <w:p>
      <w:pPr>
        <w:pStyle w:val="CorpoAltF0"/>
        <w:spacing w:before="120"/>
      </w:pPr>
      <w:r>
        <w:t>Sulla base di tale provincia verrà determinata la “retribuzione anagrafica” del dipendente (scheda “</w:t>
      </w:r>
      <w:r>
        <w:rPr>
          <w:i/>
        </w:rPr>
        <w:t>Retribuzione</w:t>
      </w:r>
      <w:r>
        <w:t xml:space="preserve">” di </w:t>
      </w:r>
      <w:r>
        <w:rPr>
          <w:b/>
        </w:rPr>
        <w:t>DIPE</w:t>
      </w:r>
      <w:r>
        <w:t>) che viene riportata nella stampa del cedolino (testata del cedolino) e utilizzata per la valorizzazione del costo per ratei maturati (memorizzazione della sezione “</w:t>
      </w:r>
      <w:r>
        <w:rPr>
          <w:i/>
        </w:rPr>
        <w:t>Progressivi &gt; Ratei</w:t>
      </w:r>
      <w:r>
        <w:t xml:space="preserve">” di </w:t>
      </w:r>
      <w:r>
        <w:rPr>
          <w:b/>
        </w:rPr>
        <w:t>DIPE</w:t>
      </w:r>
      <w:r>
        <w:t>).</w:t>
      </w:r>
    </w:p>
    <w:p>
      <w:pPr>
        <w:pStyle w:val="CorpoAltF0"/>
      </w:pPr>
    </w:p>
    <w:p>
      <w:pPr>
        <w:pStyle w:val="CorpoAltF0"/>
      </w:pPr>
      <w:r>
        <w:t>Qualora si intenda determinare, come in precedenza, la “retribuzione anagrafica” in base alla provincia/regione relativa al comune di lavoro del dipendente (“</w:t>
      </w:r>
      <w:r>
        <w:rPr>
          <w:i/>
        </w:rPr>
        <w:t>Comune lavoro</w:t>
      </w:r>
      <w:r>
        <w:t>” della scheda “</w:t>
      </w:r>
      <w:r>
        <w:rPr>
          <w:i/>
        </w:rPr>
        <w:t>Trattenute</w:t>
      </w:r>
      <w:r>
        <w:t xml:space="preserve">” di </w:t>
      </w:r>
      <w:r>
        <w:rPr>
          <w:b/>
        </w:rPr>
        <w:t>DIPE</w:t>
      </w:r>
      <w:r>
        <w:t>) o al comune di ubicazione dell’azienda/filiale (“</w:t>
      </w:r>
      <w:r>
        <w:rPr>
          <w:i/>
        </w:rPr>
        <w:t>Dati anagrafici</w:t>
      </w:r>
      <w:r>
        <w:t>” della scheda “</w:t>
      </w:r>
      <w:r>
        <w:rPr>
          <w:i/>
        </w:rPr>
        <w:t>Anagrafica</w:t>
      </w:r>
      <w:r>
        <w:t xml:space="preserve">” di </w:t>
      </w:r>
      <w:r>
        <w:rPr>
          <w:b/>
        </w:rPr>
        <w:t>AZIE</w:t>
      </w:r>
      <w:r>
        <w:t>), è possibile indicare il valore “</w:t>
      </w:r>
      <w:r>
        <w:rPr>
          <w:b/>
        </w:rPr>
        <w:t>N</w:t>
      </w:r>
      <w:r>
        <w:t>” al campo “</w:t>
      </w:r>
      <w:r>
        <w:rPr>
          <w:i/>
        </w:rPr>
        <w:t>Aziende agricole: calcolo retribuzione anagrafica del dipendente</w:t>
      </w:r>
      <w:r>
        <w:t>” della tabella “</w:t>
      </w:r>
      <w:r>
        <w:rPr>
          <w:i/>
        </w:rPr>
        <w:t>Personalizzazione procedura</w:t>
      </w:r>
      <w:r>
        <w:t>” (</w:t>
      </w:r>
      <w:r>
        <w:rPr>
          <w:b/>
        </w:rPr>
        <w:t>TB1203</w:t>
      </w:r>
      <w:r>
        <w:t xml:space="preserve"> &gt; sezione “</w:t>
      </w:r>
      <w:r>
        <w:rPr>
          <w:i/>
        </w:rPr>
        <w:t>ALTRO &gt; ALTRO 2</w:t>
      </w:r>
      <w:r>
        <w:t>” &gt; codice campo 202).</w:t>
      </w:r>
    </w:p>
    <w:p>
      <w:pPr>
        <w:pStyle w:val="CorpoAltF0"/>
      </w:pPr>
    </w:p>
    <w:p>
      <w:pPr>
        <w:pStyle w:val="CorpoAltF0"/>
      </w:pPr>
    </w:p>
    <w:p>
      <w:pPr>
        <w:pStyle w:val="CorpoAltF0"/>
      </w:pPr>
    </w:p>
    <w:p>
      <w:pPr>
        <w:pStyle w:val="TS-titolo-05"/>
      </w:pPr>
      <w:bookmarkStart w:id="24" w:name="_Toc496019805"/>
      <w:bookmarkStart w:id="25" w:name="_Toc496021293"/>
      <w:r>
        <w:rPr>
          <w:b/>
        </w:rPr>
        <w:t>CEDOL</w:t>
      </w:r>
      <w:r>
        <w:t xml:space="preserve"> – Selezione fondo agricolo</w:t>
      </w:r>
      <w:bookmarkEnd w:id="24"/>
      <w:bookmarkEnd w:id="25"/>
    </w:p>
    <w:p>
      <w:pPr>
        <w:pStyle w:val="CorpoAltF0"/>
        <w:spacing w:before="120"/>
      </w:pPr>
      <w:r>
        <w:t>In fase di elaborazione del cedolino, nella prima voce di calcolo inserita, il programma propone il codice del fondo agricolo indicato come fondo di riferimento del dipendente (vedi parag. precedente).</w:t>
      </w:r>
    </w:p>
    <w:p>
      <w:pPr>
        <w:pStyle w:val="CorpoAltF0"/>
        <w:spacing w:before="120"/>
      </w:pPr>
      <w:r>
        <w:t>A partire dalla presente versione, qualora l’utente selezioni un codice fondo diverso, lo stesso codice verrà automaticamente proposto nelle voci di calcolo successivamente inserite nel cedolino.</w:t>
      </w:r>
    </w:p>
    <w:p>
      <w:pPr>
        <w:pStyle w:val="CorpoAltF0"/>
      </w:pPr>
    </w:p>
    <w:p>
      <w:pPr>
        <w:pStyle w:val="CorpoAltF0"/>
      </w:pPr>
    </w:p>
    <w:p>
      <w:pPr>
        <w:rPr>
          <w:rFonts w:ascii="Arial" w:hAnsi="Arial"/>
          <w:sz w:val="20"/>
          <w:szCs w:val="20"/>
        </w:rPr>
      </w:pPr>
      <w:r>
        <w:br w:type="page"/>
      </w:r>
    </w:p>
    <w:p>
      <w:pPr>
        <w:pStyle w:val="CorpoAltF0"/>
      </w:pPr>
    </w:p>
    <w:p>
      <w:pPr>
        <w:pStyle w:val="TS-titolo-05"/>
      </w:pPr>
      <w:bookmarkStart w:id="26" w:name="AGRI_AZIE_FondiAgricoli"/>
      <w:bookmarkStart w:id="27" w:name="_Toc496019806"/>
      <w:bookmarkStart w:id="28" w:name="_Toc496021294"/>
      <w:bookmarkEnd w:id="26"/>
      <w:r>
        <w:rPr>
          <w:b/>
        </w:rPr>
        <w:t>AZIE</w:t>
      </w:r>
      <w:r>
        <w:t xml:space="preserve"> &gt; Altri dati &gt; Dati aggiuntivi </w:t>
      </w:r>
      <w:proofErr w:type="spellStart"/>
      <w:r>
        <w:t>imp</w:t>
      </w:r>
      <w:proofErr w:type="spellEnd"/>
      <w:r>
        <w:t>. agricola &gt; Fondi agricoli</w:t>
      </w:r>
      <w:bookmarkEnd w:id="27"/>
      <w:bookmarkEnd w:id="28"/>
    </w:p>
    <w:p>
      <w:pPr>
        <w:pStyle w:val="CorpoAltF0"/>
        <w:spacing w:before="120"/>
      </w:pPr>
      <w:r>
        <w:t>Nella tabella dei fondi agricoli è stato inserito il campo “</w:t>
      </w:r>
      <w:r>
        <w:rPr>
          <w:b/>
          <w:i/>
        </w:rPr>
        <w:t>Provincia elementi retributivi</w:t>
      </w:r>
      <w:r>
        <w:t>” che consente di selezionare la provincia/regione da prendere a riferimento per il calcolo degli elementi territoriali della retribuzione, qualora diversa da quella relativa al comune di ubicazione del fondo stesso:</w:t>
      </w:r>
    </w:p>
    <w:p>
      <w:pPr>
        <w:pStyle w:val="CorpoAltF0"/>
        <w:spacing w:before="120"/>
        <w:jc w:val="center"/>
      </w:pPr>
      <w:r>
        <w:rPr>
          <w:noProof/>
        </w:rPr>
        <w:drawing>
          <wp:inline distT="0" distB="0" distL="0" distR="0">
            <wp:extent cx="5040000" cy="2195033"/>
            <wp:effectExtent l="0" t="0" r="0" b="0"/>
            <wp:docPr id="6" name="Immagine 6"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80409.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2195033"/>
                    </a:xfrm>
                    <a:prstGeom prst="rect">
                      <a:avLst/>
                    </a:prstGeom>
                  </pic:spPr>
                </pic:pic>
              </a:graphicData>
            </a:graphic>
          </wp:inline>
        </w:drawing>
      </w:r>
    </w:p>
    <w:p>
      <w:pPr>
        <w:pStyle w:val="CorpoAltF0"/>
        <w:spacing w:before="120"/>
      </w:pPr>
      <w:r>
        <w:t>Tale campo prevede le seguenti opzioni: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77"/>
      </w:tblGrid>
      <w:tr>
        <w:tc>
          <w:tcPr>
            <w:tcW w:w="2802" w:type="dxa"/>
          </w:tcPr>
          <w:p>
            <w:pPr>
              <w:pStyle w:val="CorpoAltF0"/>
              <w:spacing w:before="120"/>
              <w:jc w:val="left"/>
              <w:rPr>
                <w:i/>
              </w:rPr>
            </w:pPr>
            <w:r>
              <w:rPr>
                <w:i/>
              </w:rPr>
              <w:t>nessuna selezione</w:t>
            </w:r>
          </w:p>
        </w:tc>
        <w:tc>
          <w:tcPr>
            <w:tcW w:w="6977" w:type="dxa"/>
          </w:tcPr>
          <w:p>
            <w:pPr>
              <w:pStyle w:val="CorpoAltF0"/>
              <w:spacing w:before="120"/>
            </w:pPr>
            <w:r>
              <w:t xml:space="preserve">(impostazione di </w:t>
            </w:r>
            <w:r>
              <w:rPr>
                <w:i/>
              </w:rPr>
              <w:t>default</w:t>
            </w:r>
            <w:r>
              <w:t>)</w:t>
            </w:r>
            <w:r>
              <w:rPr>
                <w:i/>
              </w:rPr>
              <w:t xml:space="preserve"> </w:t>
            </w:r>
            <w:r>
              <w:t>la provincia/regione di riferimento viene individuata in base al “</w:t>
            </w:r>
            <w:r>
              <w:rPr>
                <w:i/>
              </w:rPr>
              <w:t>Codice comune</w:t>
            </w:r>
            <w:r>
              <w:t>” indicato nel fondo stesso;</w:t>
            </w:r>
          </w:p>
        </w:tc>
      </w:tr>
      <w:tr>
        <w:tc>
          <w:tcPr>
            <w:tcW w:w="2802" w:type="dxa"/>
          </w:tcPr>
          <w:p>
            <w:pPr>
              <w:pStyle w:val="CorpoAltF0"/>
              <w:spacing w:before="120"/>
              <w:jc w:val="left"/>
              <w:rPr>
                <w:i/>
              </w:rPr>
            </w:pPr>
            <w:r>
              <w:rPr>
                <w:i/>
              </w:rPr>
              <w:t>Provincia azienda agricola:</w:t>
            </w:r>
          </w:p>
        </w:tc>
        <w:tc>
          <w:tcPr>
            <w:tcW w:w="6977" w:type="dxa"/>
          </w:tcPr>
          <w:p>
            <w:pPr>
              <w:pStyle w:val="CorpoAltF0"/>
              <w:spacing w:before="120"/>
            </w:pPr>
            <w:r>
              <w:t>la provincia/regione di riferimento viene individuata in base al “</w:t>
            </w:r>
            <w:r>
              <w:rPr>
                <w:i/>
              </w:rPr>
              <w:t>Comune ubicazione fondo principale</w:t>
            </w:r>
            <w:r>
              <w:t>” indicato nell’anagrafica dell’azienda agricola relativa al fondo (campo “</w:t>
            </w:r>
            <w:r>
              <w:rPr>
                <w:i/>
              </w:rPr>
              <w:t>Codice azienda agricola</w:t>
            </w:r>
            <w:r>
              <w:t>” della tabella del fondo);</w:t>
            </w:r>
          </w:p>
        </w:tc>
      </w:tr>
      <w:tr>
        <w:tc>
          <w:tcPr>
            <w:tcW w:w="2802" w:type="dxa"/>
          </w:tcPr>
          <w:p>
            <w:pPr>
              <w:pStyle w:val="CorpoAltF0"/>
              <w:spacing w:before="120"/>
              <w:jc w:val="left"/>
              <w:rPr>
                <w:i/>
              </w:rPr>
            </w:pPr>
            <w:r>
              <w:rPr>
                <w:i/>
              </w:rPr>
              <w:t xml:space="preserve">Provincia di lavoro </w:t>
            </w:r>
            <w:proofErr w:type="spellStart"/>
            <w:r>
              <w:rPr>
                <w:i/>
              </w:rPr>
              <w:t>dipe</w:t>
            </w:r>
            <w:proofErr w:type="spellEnd"/>
            <w:r>
              <w:rPr>
                <w:i/>
              </w:rPr>
              <w:t>/</w:t>
            </w:r>
            <w:proofErr w:type="spellStart"/>
            <w:r>
              <w:rPr>
                <w:i/>
              </w:rPr>
              <w:t>azie</w:t>
            </w:r>
            <w:proofErr w:type="spellEnd"/>
            <w:r>
              <w:rPr>
                <w:i/>
              </w:rPr>
              <w:t>:</w:t>
            </w:r>
          </w:p>
        </w:tc>
        <w:tc>
          <w:tcPr>
            <w:tcW w:w="6977" w:type="dxa"/>
          </w:tcPr>
          <w:p>
            <w:pPr>
              <w:pStyle w:val="CorpoAltF0"/>
              <w:spacing w:before="120"/>
            </w:pPr>
            <w:r>
              <w:t>la provincia/regione di riferimento viene individuata in base al comune di lavoro del dipendente (scheda “</w:t>
            </w:r>
            <w:r>
              <w:rPr>
                <w:i/>
              </w:rPr>
              <w:t>Trattenute</w:t>
            </w:r>
            <w:r>
              <w:t xml:space="preserve">” di </w:t>
            </w:r>
            <w:r>
              <w:rPr>
                <w:b/>
              </w:rPr>
              <w:t>DIPE</w:t>
            </w:r>
            <w:r>
              <w:t>) o, se assente, al comune dei “</w:t>
            </w:r>
            <w:r>
              <w:rPr>
                <w:i/>
              </w:rPr>
              <w:t>Dati anagrafici</w:t>
            </w:r>
            <w:r>
              <w:t>” dell’azienda (scheda “</w:t>
            </w:r>
            <w:r>
              <w:rPr>
                <w:i/>
              </w:rPr>
              <w:t>Anagrafica</w:t>
            </w:r>
            <w:r>
              <w:t xml:space="preserve">” di </w:t>
            </w:r>
            <w:r>
              <w:rPr>
                <w:b/>
              </w:rPr>
              <w:t>AZIE</w:t>
            </w:r>
            <w:r>
              <w:t>).</w:t>
            </w:r>
          </w:p>
        </w:tc>
      </w:tr>
    </w:tbl>
    <w:p>
      <w:pPr>
        <w:pStyle w:val="CorpoAltF0"/>
      </w:pPr>
    </w:p>
    <w:p>
      <w:pPr>
        <w:pStyle w:val="CorpoAltF0"/>
      </w:pPr>
    </w:p>
    <w:p>
      <w:pPr>
        <w:rPr>
          <w:rFonts w:ascii="Arial" w:hAnsi="Arial"/>
          <w:sz w:val="20"/>
          <w:szCs w:val="20"/>
        </w:rPr>
      </w:pPr>
      <w:r>
        <w:br w:type="page"/>
      </w:r>
    </w:p>
    <w:p>
      <w:pPr>
        <w:pStyle w:val="CorpoAltF0"/>
      </w:pPr>
    </w:p>
    <w:p>
      <w:pPr>
        <w:pStyle w:val="TS-titolo-05"/>
      </w:pPr>
      <w:bookmarkStart w:id="29" w:name="AGRI_GEMA01_FondoAgriEvento"/>
      <w:bookmarkStart w:id="30" w:name="_Toc494715328"/>
      <w:bookmarkStart w:id="31" w:name="_Toc496019807"/>
      <w:bookmarkStart w:id="32" w:name="_Toc496021295"/>
      <w:bookmarkEnd w:id="29"/>
      <w:r>
        <w:rPr>
          <w:b/>
        </w:rPr>
        <w:t>GEMA01</w:t>
      </w:r>
      <w:r>
        <w:t xml:space="preserve"> – Gestione eventi per fondo agricolo</w:t>
      </w:r>
      <w:bookmarkEnd w:id="30"/>
      <w:bookmarkEnd w:id="31"/>
      <w:bookmarkEnd w:id="32"/>
    </w:p>
    <w:p>
      <w:pPr>
        <w:pStyle w:val="CorpoAltF0"/>
        <w:spacing w:before="120"/>
      </w:pPr>
      <w:r>
        <w:t xml:space="preserve">Con riferimento agli eventi di malattia, maternità ed infortunio relativi a lavoratori agricoli, gestiti all’interno del comando </w:t>
      </w:r>
      <w:r>
        <w:rPr>
          <w:b/>
        </w:rPr>
        <w:t>GEMA01</w:t>
      </w:r>
      <w:r>
        <w:t>, è stato inserito il campo “</w:t>
      </w:r>
      <w:r>
        <w:rPr>
          <w:b/>
          <w:i/>
        </w:rPr>
        <w:t>Fondo agricolo</w:t>
      </w:r>
      <w:r>
        <w:t>” al fine di indicare il fondo di riferimento per l’evento stesso; il programma propone il fondo di riferimento del dipendente (scheda “</w:t>
      </w:r>
      <w:r>
        <w:rPr>
          <w:i/>
        </w:rPr>
        <w:t>Trattenute</w:t>
      </w:r>
      <w:r>
        <w:t xml:space="preserve">” di </w:t>
      </w:r>
      <w:r>
        <w:rPr>
          <w:b/>
        </w:rPr>
        <w:t>DIPE</w:t>
      </w:r>
      <w:r>
        <w:t>):</w:t>
      </w:r>
    </w:p>
    <w:p>
      <w:pPr>
        <w:pStyle w:val="CorpoAltF0"/>
        <w:spacing w:before="120"/>
        <w:jc w:val="center"/>
      </w:pPr>
      <w:r>
        <w:rPr>
          <w:noProof/>
        </w:rPr>
        <w:drawing>
          <wp:inline distT="0" distB="0" distL="0" distR="0">
            <wp:extent cx="5040000" cy="3023791"/>
            <wp:effectExtent l="0" t="0" r="0" b="0"/>
            <wp:docPr id="17" name="Immagine 17"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30C837.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3023791"/>
                    </a:xfrm>
                    <a:prstGeom prst="rect">
                      <a:avLst/>
                    </a:prstGeom>
                  </pic:spPr>
                </pic:pic>
              </a:graphicData>
            </a:graphic>
          </wp:inline>
        </w:drawing>
      </w:r>
    </w:p>
    <w:p>
      <w:pPr>
        <w:pStyle w:val="CorpoAltF0"/>
        <w:spacing w:before="120"/>
      </w:pPr>
      <w:r>
        <w:t>L’indicazione del fondo agricolo nella gestione dell’evento, consente di:</w:t>
      </w:r>
    </w:p>
    <w:p>
      <w:pPr>
        <w:pStyle w:val="CorpoAltF0"/>
        <w:numPr>
          <w:ilvl w:val="0"/>
          <w:numId w:val="42"/>
        </w:numPr>
        <w:spacing w:before="120"/>
        <w:ind w:left="426"/>
      </w:pPr>
      <w:r>
        <w:t>associare automaticamente lo specifico codice fondo nelle voci di calcolo relative all’evento;</w:t>
      </w:r>
    </w:p>
    <w:p>
      <w:pPr>
        <w:pStyle w:val="CorpoAltF0"/>
        <w:numPr>
          <w:ilvl w:val="0"/>
          <w:numId w:val="42"/>
        </w:numPr>
        <w:spacing w:before="120"/>
        <w:ind w:left="426"/>
      </w:pPr>
      <w:r>
        <w:t>utilizzare la retribuzione relativa allo specifico fondo (vedi parag. precedente) ai fini del calcolo dell’eventuale integrazione c/ditta e dell’importo di differenza di accredito.</w:t>
      </w:r>
    </w:p>
    <w:p>
      <w:pPr>
        <w:pStyle w:val="CorpoAltF0"/>
      </w:pPr>
    </w:p>
    <w:p>
      <w:pPr>
        <w:pStyle w:val="CorpoAltF0"/>
      </w:pPr>
    </w:p>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3" w:name="METASALUTE"/>
            <w:bookmarkStart w:id="34" w:name="_Toc464461499"/>
            <w:bookmarkStart w:id="35" w:name="_Toc494106194"/>
            <w:bookmarkStart w:id="36" w:name="_Toc495303832"/>
            <w:bookmarkStart w:id="37" w:name="_Toc495304581"/>
            <w:bookmarkStart w:id="38" w:name="_Toc496021296"/>
            <w:bookmarkEnd w:id="33"/>
            <w:r>
              <w:t>Fondo METASALUTE</w:t>
            </w:r>
            <w:bookmarkEnd w:id="34"/>
            <w:bookmarkEnd w:id="35"/>
            <w:bookmarkEnd w:id="36"/>
            <w:bookmarkEnd w:id="37"/>
            <w:bookmarkEnd w:id="38"/>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TS-titolo-04"/>
      </w:pPr>
      <w:bookmarkStart w:id="39" w:name="_Toc464461500"/>
      <w:bookmarkStart w:id="40" w:name="_Toc494106195"/>
      <w:bookmarkStart w:id="41" w:name="_Toc495303833"/>
      <w:bookmarkStart w:id="42" w:name="_Toc495304582"/>
      <w:bookmarkStart w:id="43" w:name="_Toc496021297"/>
      <w:r>
        <w:t xml:space="preserve">Nuova disciplina </w:t>
      </w:r>
      <w:proofErr w:type="spellStart"/>
      <w:r>
        <w:t>Metasalute</w:t>
      </w:r>
      <w:proofErr w:type="spellEnd"/>
      <w:r>
        <w:t>: regolamento</w:t>
      </w:r>
      <w:bookmarkEnd w:id="39"/>
      <w:r>
        <w:t xml:space="preserve"> fase transitoria</w:t>
      </w:r>
      <w:bookmarkEnd w:id="40"/>
      <w:bookmarkEnd w:id="41"/>
      <w:bookmarkEnd w:id="42"/>
      <w:bookmarkEnd w:id="43"/>
    </w:p>
    <w:p>
      <w:pPr>
        <w:pStyle w:val="CorpoAltF0"/>
        <w:tabs>
          <w:tab w:val="left" w:pos="284"/>
        </w:tabs>
        <w:spacing w:before="120"/>
      </w:pPr>
      <w:r>
        <w:t xml:space="preserve">Il Fondo </w:t>
      </w:r>
      <w:proofErr w:type="spellStart"/>
      <w:r>
        <w:t>Metasalute</w:t>
      </w:r>
      <w:proofErr w:type="spellEnd"/>
      <w:r>
        <w:t>, con Regolamento pubblicato sul proprio sito il 25 luglio 2017, dando corso alle previsioni di cui all’art. 16 dell’Ipotesi di accordo per il rinnovo del CCNL della Metalmeccanica del 26 novembre 2016, ha disciplinato il funzionamento del Fondo per il periodo dal 1° settembre 2017 al 31 dicembre 2017.</w:t>
      </w:r>
    </w:p>
    <w:p>
      <w:pPr>
        <w:pStyle w:val="CorpoAltF0"/>
        <w:tabs>
          <w:tab w:val="left" w:pos="284"/>
        </w:tabs>
        <w:spacing w:before="60"/>
      </w:pPr>
      <w:r>
        <w:t xml:space="preserve">A decorrere dal 1° ottobre 2017 le aziende che applicano il CCNL della Metalmeccanica sono tenute ad aderire al Fondo </w:t>
      </w:r>
      <w:proofErr w:type="spellStart"/>
      <w:r>
        <w:t>Metasalute</w:t>
      </w:r>
      <w:proofErr w:type="spellEnd"/>
      <w:r>
        <w:t xml:space="preserve"> e ad iscrivere tutti i lavoratori dipendenti con le seguenti tipologie contrattuali:</w:t>
      </w:r>
    </w:p>
    <w:p>
      <w:pPr>
        <w:pStyle w:val="CorpoAltF0"/>
        <w:numPr>
          <w:ilvl w:val="0"/>
          <w:numId w:val="26"/>
        </w:numPr>
        <w:spacing w:before="60"/>
        <w:ind w:left="284" w:hanging="284"/>
      </w:pPr>
      <w:r>
        <w:t>tempo indeterminato, anche part-time;</w:t>
      </w:r>
    </w:p>
    <w:p>
      <w:pPr>
        <w:pStyle w:val="CorpoAltF0"/>
        <w:numPr>
          <w:ilvl w:val="0"/>
          <w:numId w:val="26"/>
        </w:numPr>
        <w:spacing w:before="60"/>
        <w:ind w:left="284" w:hanging="284"/>
      </w:pPr>
      <w:r>
        <w:t>apprendistato;</w:t>
      </w:r>
    </w:p>
    <w:p>
      <w:pPr>
        <w:pStyle w:val="CorpoAltF0"/>
        <w:numPr>
          <w:ilvl w:val="0"/>
          <w:numId w:val="26"/>
        </w:numPr>
        <w:spacing w:before="60"/>
        <w:ind w:left="284" w:hanging="284"/>
      </w:pPr>
      <w:r>
        <w:t>tempo determinato di durata non inferiore a 5 mesi a decorrere dall’iscrizione.</w:t>
      </w:r>
    </w:p>
    <w:p>
      <w:pPr>
        <w:pStyle w:val="CorpoAltF0"/>
        <w:tabs>
          <w:tab w:val="left" w:pos="284"/>
        </w:tabs>
        <w:spacing w:before="60"/>
      </w:pPr>
      <w:r>
        <w:t>La contribuzione diviene totalmente a carico azienda ed è pari ad € 156,00 annui, suddivisi in 12 quote mensili da € 13,00.</w:t>
      </w:r>
    </w:p>
    <w:p>
      <w:pPr>
        <w:pStyle w:val="CorpoAltF0"/>
        <w:tabs>
          <w:tab w:val="left" w:pos="284"/>
        </w:tabs>
        <w:spacing w:before="60"/>
      </w:pPr>
      <w:r>
        <w:t>Il contributo mensile è sempre dovuto in misura piena.</w:t>
      </w:r>
    </w:p>
    <w:p>
      <w:pPr>
        <w:pStyle w:val="CorpoAltF0"/>
        <w:tabs>
          <w:tab w:val="left" w:pos="284"/>
        </w:tabs>
        <w:spacing w:before="60"/>
      </w:pPr>
      <w:r>
        <w:t>Il versamento del contributo deve essere effettuato entro il 10 del mese di ottobre, novembre e dicembre 2017, utilizzando le procedure di pagamento MAV.</w:t>
      </w:r>
    </w:p>
    <w:p>
      <w:pPr>
        <w:pStyle w:val="CorpoAltF0"/>
      </w:pPr>
    </w:p>
    <w:p>
      <w:pPr>
        <w:pStyle w:val="CorpoAltF0"/>
      </w:pPr>
      <w:r>
        <w:t>Di seguito il dettaglio delle modifiche apportate al programma.</w:t>
      </w:r>
    </w:p>
    <w:p>
      <w:pPr>
        <w:pStyle w:val="CorpoAltF0"/>
      </w:pPr>
    </w:p>
    <w:p>
      <w:pPr>
        <w:pStyle w:val="CorpoAltF0"/>
      </w:pPr>
    </w:p>
    <w:p>
      <w:pPr>
        <w:pStyle w:val="TS-titolo-04"/>
      </w:pPr>
      <w:bookmarkStart w:id="44" w:name="_Toc496021298"/>
      <w:r>
        <w:t>Implementazioni software</w:t>
      </w:r>
      <w:bookmarkEnd w:id="44"/>
    </w:p>
    <w:p>
      <w:pPr>
        <w:pStyle w:val="CorpoAltF0"/>
        <w:spacing w:before="120"/>
      </w:pPr>
      <w:r>
        <w:t xml:space="preserve">Dall’elaborazione dei cedolini di ottobre 2017 il programma è stato modificato per non applicare gli automatismi introdotti con la versione PAGHE 2016.1.8 per il Fondo </w:t>
      </w:r>
      <w:proofErr w:type="spellStart"/>
      <w:r>
        <w:t>Metasalute</w:t>
      </w:r>
      <w:proofErr w:type="spellEnd"/>
      <w:r>
        <w:t xml:space="preserve"> (codice ente interno </w:t>
      </w:r>
      <w:r>
        <w:rPr>
          <w:b/>
        </w:rPr>
        <w:t>78</w:t>
      </w:r>
      <w:r>
        <w:t>), utili per il versamento trimestrale anticipato.</w:t>
      </w:r>
    </w:p>
    <w:p>
      <w:pPr>
        <w:pStyle w:val="CorpoAltF0"/>
        <w:spacing w:before="60"/>
      </w:pPr>
      <w:r>
        <w:t>Pertanto, per l’applicazione delle corrette modalità di calcolo e versamento, la tabella “</w:t>
      </w:r>
      <w:r>
        <w:rPr>
          <w:i/>
        </w:rPr>
        <w:t>Descrizione altri enti</w:t>
      </w:r>
      <w:r>
        <w:t>” (</w:t>
      </w:r>
      <w:r>
        <w:rPr>
          <w:b/>
        </w:rPr>
        <w:t>TB0305</w:t>
      </w:r>
      <w:r>
        <w:t>) dovrà presentare le seguenti caratteristiche:</w:t>
      </w:r>
    </w:p>
    <w:p>
      <w:pPr>
        <w:pStyle w:val="CorpoAltF0"/>
        <w:numPr>
          <w:ilvl w:val="0"/>
          <w:numId w:val="40"/>
        </w:numPr>
        <w:spacing w:before="60"/>
        <w:ind w:left="284" w:hanging="256"/>
      </w:pPr>
      <w:r>
        <w:t>valorizzazione delle mensilità di ottobre, novembre e dicembre nella sezione “</w:t>
      </w:r>
      <w:r>
        <w:rPr>
          <w:i/>
        </w:rPr>
        <w:t>Mesi di versamento</w:t>
      </w:r>
      <w:r>
        <w:t>”;</w:t>
      </w:r>
    </w:p>
    <w:p>
      <w:pPr>
        <w:pStyle w:val="CorpoAltF0"/>
        <w:numPr>
          <w:ilvl w:val="0"/>
          <w:numId w:val="40"/>
        </w:numPr>
        <w:spacing w:before="60"/>
        <w:ind w:left="284" w:hanging="256"/>
      </w:pPr>
      <w:r>
        <w:t>compilazione del campo “</w:t>
      </w:r>
      <w:r>
        <w:rPr>
          <w:i/>
        </w:rPr>
        <w:t>Versamento immediato solidarietà</w:t>
      </w:r>
      <w:r>
        <w:t>”;</w:t>
      </w:r>
    </w:p>
    <w:p>
      <w:pPr>
        <w:pStyle w:val="CorpoAltF0"/>
        <w:numPr>
          <w:ilvl w:val="0"/>
          <w:numId w:val="40"/>
        </w:numPr>
        <w:spacing w:before="60"/>
        <w:ind w:left="284" w:hanging="256"/>
      </w:pPr>
      <w:r>
        <w:t>valore “</w:t>
      </w:r>
      <w:r>
        <w:rPr>
          <w:b/>
        </w:rPr>
        <w:t>No</w:t>
      </w:r>
      <w:r>
        <w:t>” al campo “</w:t>
      </w:r>
      <w:r>
        <w:rPr>
          <w:i/>
        </w:rPr>
        <w:t>Dovuto per il periodo di preavviso</w:t>
      </w:r>
      <w:r>
        <w:t>”.</w:t>
      </w:r>
    </w:p>
    <w:p>
      <w:pPr>
        <w:pStyle w:val="CorpoAltF0"/>
        <w:spacing w:before="120"/>
      </w:pPr>
      <w:r>
        <w:t>In tabella “</w:t>
      </w:r>
      <w:r>
        <w:rPr>
          <w:i/>
        </w:rPr>
        <w:t>Contributi altri enti azienda/dipendente</w:t>
      </w:r>
      <w:r>
        <w:t>” (</w:t>
      </w:r>
      <w:r>
        <w:rPr>
          <w:b/>
        </w:rPr>
        <w:t>TB0306</w:t>
      </w:r>
      <w:r>
        <w:t>) dovrà essere impostato un rigo di contribuzione ad importo, pari ad € 13,00, interamente c/azienda.</w:t>
      </w:r>
    </w:p>
    <w:p>
      <w:pPr>
        <w:pStyle w:val="CorpoAltF0"/>
        <w:spacing w:before="120"/>
      </w:pPr>
      <w:r>
        <w:t>Il calcolo verrà effettuato per tutti i dipendenti in forza nel mese, a prescindere dalla data di assunzione o licenziamento.</w:t>
      </w:r>
    </w:p>
    <w:p>
      <w:pPr>
        <w:pStyle w:val="CorpoAltF0"/>
      </w:pPr>
    </w:p>
    <w:p>
      <w:pPr>
        <w:pStyle w:val="CorpoAltF0"/>
      </w:pPr>
    </w:p>
    <w:p>
      <w:pPr>
        <w:pStyle w:val="TS-titolo-04"/>
      </w:pPr>
      <w:bookmarkStart w:id="45" w:name="_Toc495303837"/>
      <w:bookmarkStart w:id="46" w:name="_Toc495304586"/>
      <w:bookmarkStart w:id="47" w:name="_Toc496021299"/>
      <w:r>
        <w:t>Utenti CONTRA</w:t>
      </w:r>
      <w:bookmarkEnd w:id="45"/>
      <w:bookmarkEnd w:id="46"/>
      <w:bookmarkEnd w:id="47"/>
    </w:p>
    <w:p>
      <w:pPr>
        <w:pStyle w:val="CorpoAltF0"/>
        <w:spacing w:before="120"/>
      </w:pPr>
      <w:r>
        <w:t xml:space="preserve">Per gli utenti </w:t>
      </w:r>
      <w:r>
        <w:rPr>
          <w:b/>
        </w:rPr>
        <w:t>CONTRA</w:t>
      </w:r>
      <w:r>
        <w:t xml:space="preserve">, con la versione </w:t>
      </w:r>
      <w:r>
        <w:rPr>
          <w:b/>
        </w:rPr>
        <w:t>CONTRA 2017.10.0</w:t>
      </w:r>
      <w:r>
        <w:t>, verranno fornite le tabelle “</w:t>
      </w:r>
      <w:r>
        <w:rPr>
          <w:i/>
        </w:rPr>
        <w:t>Descrizione altri enti</w:t>
      </w:r>
      <w:r>
        <w:t>” (</w:t>
      </w:r>
      <w:r>
        <w:rPr>
          <w:b/>
        </w:rPr>
        <w:t>TB0305</w:t>
      </w:r>
      <w:r>
        <w:t xml:space="preserve">) </w:t>
      </w:r>
      <w:proofErr w:type="gramStart"/>
      <w:r>
        <w:t>e “</w:t>
      </w:r>
      <w:proofErr w:type="gramEnd"/>
      <w:r>
        <w:rPr>
          <w:i/>
        </w:rPr>
        <w:t>Contributi altri enti azienda/dipendente</w:t>
      </w:r>
      <w:r>
        <w:t>” (</w:t>
      </w:r>
      <w:r>
        <w:rPr>
          <w:b/>
        </w:rPr>
        <w:t>TB0306</w:t>
      </w:r>
      <w:r>
        <w:t xml:space="preserve">) per il Fondo </w:t>
      </w:r>
      <w:proofErr w:type="spellStart"/>
      <w:r>
        <w:t>Metasalute</w:t>
      </w:r>
      <w:proofErr w:type="spellEnd"/>
      <w:r>
        <w:t xml:space="preserve"> comparto Metalmeccanica, compilate come sopra esposto.</w:t>
      </w:r>
    </w:p>
    <w:p>
      <w:pPr>
        <w:pStyle w:val="CorpoAltF0"/>
        <w:spacing w:before="60"/>
        <w:rPr>
          <w:rFonts w:cs="Arial"/>
        </w:rPr>
      </w:pPr>
      <w:r>
        <w:t xml:space="preserve">Si ricorda che per il collegamento automatico della </w:t>
      </w:r>
      <w:r>
        <w:rPr>
          <w:b/>
        </w:rPr>
        <w:t>TB0306</w:t>
      </w:r>
      <w:r>
        <w:t xml:space="preserve"> nell’anagrafica dei dipendenti è possibile associare in azienda una </w:t>
      </w:r>
      <w:r>
        <w:rPr>
          <w:rFonts w:cs="Arial"/>
        </w:rPr>
        <w:t>“</w:t>
      </w:r>
      <w:r>
        <w:rPr>
          <w:rFonts w:cs="Arial"/>
          <w:i/>
          <w:iCs/>
        </w:rPr>
        <w:t>Tabella collegamento altri contributi</w:t>
      </w:r>
      <w:r>
        <w:rPr>
          <w:rFonts w:cs="Arial"/>
        </w:rPr>
        <w:t>” (</w:t>
      </w:r>
      <w:r>
        <w:rPr>
          <w:rFonts w:cs="Arial"/>
          <w:b/>
          <w:bCs/>
        </w:rPr>
        <w:t>TB0313</w:t>
      </w:r>
      <w:r>
        <w:rPr>
          <w:rFonts w:cs="Arial"/>
        </w:rPr>
        <w:t>) opportunamente codificata.</w:t>
      </w:r>
    </w:p>
    <w:p>
      <w:pPr>
        <w:pStyle w:val="CorpoAltF0"/>
        <w:spacing w:before="60"/>
      </w:pPr>
      <w:r>
        <w:rPr>
          <w:rFonts w:cs="Arial"/>
        </w:rPr>
        <w:t xml:space="preserve">Per i dipendenti già iscritti a </w:t>
      </w:r>
      <w:proofErr w:type="spellStart"/>
      <w:r>
        <w:rPr>
          <w:rFonts w:cs="Arial"/>
        </w:rPr>
        <w:t>Metasalute</w:t>
      </w:r>
      <w:proofErr w:type="spellEnd"/>
      <w:r>
        <w:rPr>
          <w:rFonts w:cs="Arial"/>
        </w:rPr>
        <w:t xml:space="preserve"> ai quali risulta collegata la </w:t>
      </w:r>
      <w:r>
        <w:rPr>
          <w:rFonts w:cs="Arial"/>
          <w:b/>
        </w:rPr>
        <w:t>TB0306</w:t>
      </w:r>
      <w:r>
        <w:rPr>
          <w:rFonts w:cs="Arial"/>
        </w:rPr>
        <w:t xml:space="preserve"> precedentemente utilizzata, al fine di rimuovere il relativo codice dalla scheda “</w:t>
      </w:r>
      <w:r>
        <w:rPr>
          <w:rFonts w:cs="Arial"/>
          <w:i/>
        </w:rPr>
        <w:t>Trattenute</w:t>
      </w:r>
      <w:r>
        <w:rPr>
          <w:rFonts w:cs="Arial"/>
        </w:rPr>
        <w:t xml:space="preserve">” di </w:t>
      </w:r>
      <w:r>
        <w:rPr>
          <w:rFonts w:cs="Arial"/>
          <w:b/>
        </w:rPr>
        <w:t>DIPE</w:t>
      </w:r>
      <w:r>
        <w:rPr>
          <w:rFonts w:cs="Arial"/>
        </w:rPr>
        <w:t xml:space="preserve">, con la presente versione viene fornito il programma di utilità </w:t>
      </w:r>
      <w:r>
        <w:rPr>
          <w:rFonts w:cs="Arial"/>
          <w:b/>
        </w:rPr>
        <w:t>UTYCTRAE</w:t>
      </w:r>
      <w:r>
        <w:rPr>
          <w:rFonts w:cs="Arial"/>
        </w:rPr>
        <w:t xml:space="preserve"> (vedi pag. </w:t>
      </w:r>
      <w:r>
        <w:rPr>
          <w:rFonts w:cs="Arial"/>
        </w:rPr>
        <w:fldChar w:fldCharType="begin"/>
      </w:r>
      <w:r>
        <w:rPr>
          <w:rFonts w:cs="Arial"/>
        </w:rPr>
        <w:instrText xml:space="preserve"> PAGEREF UTYCTRAE \h </w:instrText>
      </w:r>
      <w:r>
        <w:rPr>
          <w:rFonts w:cs="Arial"/>
        </w:rPr>
      </w:r>
      <w:r>
        <w:rPr>
          <w:rFonts w:cs="Arial"/>
        </w:rPr>
        <w:fldChar w:fldCharType="separate"/>
      </w:r>
      <w:r>
        <w:rPr>
          <w:rFonts w:cs="Arial"/>
          <w:noProof/>
        </w:rPr>
        <w:t>10</w:t>
      </w:r>
      <w:r>
        <w:rPr>
          <w:rFonts w:cs="Arial"/>
        </w:rPr>
        <w:fldChar w:fldCharType="end"/>
      </w:r>
      <w:r>
        <w:rPr>
          <w:rFonts w:cs="Arial"/>
        </w:rPr>
        <w:t>).</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trPr>
          <w:trHeight w:val="558"/>
        </w:trPr>
        <w:tc>
          <w:tcPr>
            <w:tcW w:w="6874" w:type="dxa"/>
            <w:tcBorders>
              <w:top w:val="nil"/>
              <w:left w:val="nil"/>
              <w:bottom w:val="single" w:sz="12" w:space="0" w:color="auto"/>
              <w:right w:val="nil"/>
            </w:tcBorders>
            <w:vAlign w:val="center"/>
            <w:hideMark/>
          </w:tcPr>
          <w:p>
            <w:pPr>
              <w:pStyle w:val="TS-titolo-01"/>
              <w:outlineLvl w:val="0"/>
            </w:pPr>
            <w:bookmarkStart w:id="48" w:name="UTYCTRAE"/>
            <w:bookmarkStart w:id="49" w:name="_Toc496019808"/>
            <w:bookmarkStart w:id="50" w:name="_Toc496021300"/>
            <w:bookmarkEnd w:id="48"/>
            <w:r>
              <w:t>Utility procedura</w:t>
            </w:r>
            <w:bookmarkEnd w:id="49"/>
            <w:bookmarkEnd w:id="50"/>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51" w:name="_Toc496019809"/>
            <w:bookmarkStart w:id="52" w:name="_Toc496021301"/>
            <w:r>
              <w:t>UTYCTRAE</w:t>
            </w:r>
            <w:bookmarkEnd w:id="51"/>
            <w:bookmarkEnd w:id="52"/>
          </w:p>
        </w:tc>
      </w:tr>
    </w:tbl>
    <w:p>
      <w:pPr>
        <w:pStyle w:val="TS-titolo-04"/>
      </w:pPr>
      <w:bookmarkStart w:id="53" w:name="_Toc496019810"/>
      <w:bookmarkStart w:id="54" w:name="_Toc496021302"/>
      <w:r>
        <w:t>Rimozione collegamento tabella Altri contributi</w:t>
      </w:r>
      <w:bookmarkEnd w:id="53"/>
      <w:bookmarkEnd w:id="54"/>
    </w:p>
    <w:p>
      <w:pPr>
        <w:pStyle w:val="CorpoAltF0"/>
        <w:spacing w:before="120"/>
      </w:pPr>
      <w:r>
        <w:t xml:space="preserve">Implementato il comando </w:t>
      </w:r>
      <w:r>
        <w:rPr>
          <w:b/>
        </w:rPr>
        <w:t>UTYCTRAE</w:t>
      </w:r>
      <w:r>
        <w:t xml:space="preserve"> che consente di rimuovere massivamente il collegamento ad una tabella “</w:t>
      </w:r>
      <w:r>
        <w:rPr>
          <w:i/>
        </w:rPr>
        <w:t>Contributi altri enti</w:t>
      </w:r>
      <w:r>
        <w:t>” (</w:t>
      </w:r>
      <w:r>
        <w:rPr>
          <w:b/>
        </w:rPr>
        <w:t>TB0306</w:t>
      </w:r>
      <w:r>
        <w:t>) dall’anagrafica dei dipendenti selezionati (campi “</w:t>
      </w:r>
      <w:r>
        <w:rPr>
          <w:i/>
        </w:rPr>
        <w:t>Altri contributi – 1/2/3</w:t>
      </w:r>
      <w:r>
        <w:t>” della scheda “</w:t>
      </w:r>
      <w:r>
        <w:rPr>
          <w:i/>
        </w:rPr>
        <w:t>Trattenute</w:t>
      </w:r>
      <w:r>
        <w:t xml:space="preserve">” di </w:t>
      </w:r>
      <w:r>
        <w:rPr>
          <w:b/>
        </w:rPr>
        <w:t>DIPE</w:t>
      </w:r>
      <w:r>
        <w:t>).</w:t>
      </w:r>
    </w:p>
    <w:p>
      <w:pPr>
        <w:pStyle w:val="CorpoAltF0"/>
        <w:spacing w:before="120"/>
      </w:pPr>
      <w:r>
        <w:t xml:space="preserve">Eseguendo il comando </w:t>
      </w:r>
      <w:r>
        <w:rPr>
          <w:b/>
        </w:rPr>
        <w:t>UTYCTRAE</w:t>
      </w:r>
      <w:r>
        <w:t>, sono richieste le seguenti impostazioni di seguito descritte:</w:t>
      </w:r>
    </w:p>
    <w:p>
      <w:pPr>
        <w:pStyle w:val="CorpoAltF0"/>
        <w:spacing w:before="120"/>
        <w:jc w:val="center"/>
      </w:pPr>
      <w:r>
        <w:rPr>
          <w:noProof/>
        </w:rPr>
        <w:drawing>
          <wp:inline distT="0" distB="0" distL="0" distR="0">
            <wp:extent cx="5040000" cy="2583529"/>
            <wp:effectExtent l="0" t="0" r="0" b="0"/>
            <wp:docPr id="18" name="Immagine 1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473B7.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2583529"/>
                    </a:xfrm>
                    <a:prstGeom prst="rect">
                      <a:avLst/>
                    </a:prstGeom>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119"/>
      </w:tblGrid>
      <w:tr>
        <w:tc>
          <w:tcPr>
            <w:tcW w:w="2660" w:type="dxa"/>
          </w:tcPr>
          <w:p>
            <w:pPr>
              <w:pStyle w:val="CorpoAltF0"/>
              <w:spacing w:before="120"/>
              <w:rPr>
                <w:i/>
              </w:rPr>
            </w:pPr>
            <w:r>
              <w:rPr>
                <w:i/>
              </w:rPr>
              <w:t>Cod. tabella altri contributi:</w:t>
            </w:r>
          </w:p>
        </w:tc>
        <w:tc>
          <w:tcPr>
            <w:tcW w:w="7119" w:type="dxa"/>
          </w:tcPr>
          <w:p>
            <w:pPr>
              <w:pStyle w:val="CorpoAltF0"/>
              <w:spacing w:before="120"/>
            </w:pPr>
            <w:r>
              <w:t>codice della tabella “</w:t>
            </w:r>
            <w:r>
              <w:rPr>
                <w:i/>
              </w:rPr>
              <w:t>Contributi altri enti</w:t>
            </w:r>
            <w:r>
              <w:t>” (</w:t>
            </w:r>
            <w:r>
              <w:rPr>
                <w:b/>
              </w:rPr>
              <w:t>TB0306</w:t>
            </w:r>
            <w:r>
              <w:t>) che si intende ricercare e rimuovere dai campi “</w:t>
            </w:r>
            <w:r>
              <w:rPr>
                <w:i/>
              </w:rPr>
              <w:t>Altri contributi – 1/2/3</w:t>
            </w:r>
            <w:r>
              <w:t>”;</w:t>
            </w:r>
          </w:p>
          <w:p>
            <w:pPr>
              <w:pStyle w:val="CorpoAltF0"/>
            </w:pPr>
          </w:p>
        </w:tc>
      </w:tr>
      <w:tr>
        <w:tc>
          <w:tcPr>
            <w:tcW w:w="2660" w:type="dxa"/>
          </w:tcPr>
          <w:p>
            <w:pPr>
              <w:pStyle w:val="CorpoAltF0"/>
              <w:spacing w:before="120"/>
              <w:rPr>
                <w:i/>
              </w:rPr>
            </w:pPr>
            <w:r>
              <w:rPr>
                <w:i/>
              </w:rPr>
              <w:t>Data validità:</w:t>
            </w:r>
          </w:p>
        </w:tc>
        <w:tc>
          <w:tcPr>
            <w:tcW w:w="7119" w:type="dxa"/>
          </w:tcPr>
          <w:p>
            <w:pPr>
              <w:pStyle w:val="CorpoAltF0"/>
              <w:spacing w:before="120"/>
            </w:pPr>
            <w:r>
              <w:t>data di decorrenza della variazione dell’anagrafica dipendente; la variazione, pertanto, verrà effettuata all’interno del periodo storico valido alla data indicata in tale campo, nonché nei periodi con validità successiva eventualmente già creati in anagrafica;</w:t>
            </w:r>
          </w:p>
          <w:p>
            <w:pPr>
              <w:pStyle w:val="CorpoAltF0"/>
            </w:pPr>
          </w:p>
        </w:tc>
      </w:tr>
      <w:tr>
        <w:tc>
          <w:tcPr>
            <w:tcW w:w="2660" w:type="dxa"/>
          </w:tcPr>
          <w:p>
            <w:pPr>
              <w:pStyle w:val="CorpoAltF0"/>
              <w:spacing w:before="120"/>
              <w:rPr>
                <w:i/>
              </w:rPr>
            </w:pPr>
            <w:r>
              <w:rPr>
                <w:i/>
              </w:rPr>
              <w:t>Creare variazione storica:</w:t>
            </w:r>
          </w:p>
          <w:p>
            <w:pPr>
              <w:pStyle w:val="CorpoAltF0"/>
              <w:spacing w:before="40"/>
              <w:rPr>
                <w:i/>
              </w:rPr>
            </w:pPr>
            <w:proofErr w:type="spellStart"/>
            <w:r>
              <w:rPr>
                <w:i/>
              </w:rPr>
              <w:t>Descr</w:t>
            </w:r>
            <w:proofErr w:type="spellEnd"/>
            <w:r>
              <w:rPr>
                <w:i/>
              </w:rPr>
              <w:t>. variazione storica:</w:t>
            </w:r>
          </w:p>
        </w:tc>
        <w:tc>
          <w:tcPr>
            <w:tcW w:w="7119" w:type="dxa"/>
          </w:tcPr>
          <w:p>
            <w:pPr>
              <w:pStyle w:val="CorpoAltF0"/>
              <w:spacing w:before="120"/>
            </w:pPr>
            <w:r>
              <w:t>contrassegnando tale campo, il programma effettuerà la storicizzazione della variazione anagrafica, in base alla data di inizio validità indicata nel campo “</w:t>
            </w:r>
            <w:r>
              <w:rPr>
                <w:i/>
              </w:rPr>
              <w:t>Data validità</w:t>
            </w:r>
            <w:r>
              <w:t>” e la descrizione indicata nel campo “</w:t>
            </w:r>
            <w:proofErr w:type="spellStart"/>
            <w:r>
              <w:rPr>
                <w:i/>
              </w:rPr>
              <w:t>Descr</w:t>
            </w:r>
            <w:proofErr w:type="spellEnd"/>
            <w:r>
              <w:rPr>
                <w:i/>
              </w:rPr>
              <w:t>. variazione storica</w:t>
            </w:r>
            <w:r>
              <w:t>”.</w:t>
            </w:r>
          </w:p>
          <w:p>
            <w:pPr>
              <w:pStyle w:val="CorpoAltF0"/>
            </w:pPr>
          </w:p>
        </w:tc>
      </w:tr>
    </w:tbl>
    <w:p>
      <w:pPr>
        <w:pStyle w:val="CorpoAltF0"/>
      </w:pPr>
    </w:p>
    <w:p>
      <w:pPr>
        <w:pStyle w:val="CorpoAltF0"/>
      </w:pPr>
    </w:p>
    <w:p>
      <w:pPr>
        <w:pStyle w:val="CorpoAltF0"/>
      </w:pPr>
      <w:r>
        <w:t xml:space="preserve">Il comando </w:t>
      </w:r>
      <w:r>
        <w:rPr>
          <w:b/>
        </w:rPr>
        <w:t>UTYCTRAE</w:t>
      </w:r>
      <w:r>
        <w:t xml:space="preserve"> prevede le seguenti scelte.</w:t>
      </w:r>
    </w:p>
    <w:p>
      <w:pPr>
        <w:pStyle w:val="CorpoAltF0"/>
        <w:numPr>
          <w:ilvl w:val="0"/>
          <w:numId w:val="43"/>
        </w:numPr>
        <w:spacing w:before="120"/>
        <w:ind w:left="284" w:hanging="284"/>
      </w:pPr>
      <w:r>
        <w:rPr>
          <w:i/>
        </w:rPr>
        <w:t>Stampa</w:t>
      </w:r>
    </w:p>
    <w:p>
      <w:pPr>
        <w:pStyle w:val="CorpoAltF0"/>
        <w:ind w:left="284"/>
      </w:pPr>
      <w:r>
        <w:t xml:space="preserve">Tale scelta consente di generare una stampa di verifica dei dipendenti nei quali risulta collegato lo specifico codice di tabella </w:t>
      </w:r>
      <w:r>
        <w:rPr>
          <w:b/>
        </w:rPr>
        <w:t>TB0306</w:t>
      </w:r>
      <w:r>
        <w:t xml:space="preserve"> selezionato, evidenziando anche lo specifico campo “</w:t>
      </w:r>
      <w:r>
        <w:rPr>
          <w:i/>
        </w:rPr>
        <w:t>Altri contributi</w:t>
      </w:r>
      <w:r>
        <w:t>” interessato:</w:t>
      </w:r>
    </w:p>
    <w:p>
      <w:pPr>
        <w:pStyle w:val="CorpoAltF0"/>
        <w:ind w:left="284"/>
      </w:pPr>
    </w:p>
    <w:p>
      <w:pPr>
        <w:pStyle w:val="CorpoAltF0"/>
        <w:numPr>
          <w:ilvl w:val="0"/>
          <w:numId w:val="43"/>
        </w:numPr>
        <w:ind w:left="284" w:hanging="284"/>
      </w:pPr>
      <w:r>
        <w:rPr>
          <w:i/>
        </w:rPr>
        <w:t>Stampa e aggiorna</w:t>
      </w:r>
    </w:p>
    <w:p>
      <w:pPr>
        <w:pStyle w:val="CorpoAltF0"/>
        <w:ind w:left="284"/>
      </w:pPr>
      <w:r>
        <w:t xml:space="preserve">Tale scelta, </w:t>
      </w:r>
      <w:r>
        <w:rPr>
          <w:rFonts w:cs="Arial"/>
        </w:rPr>
        <w:t xml:space="preserve">oltre alla generazione della precedente stampa, consente di procedere alla rimozione del codice di tabella </w:t>
      </w:r>
      <w:r>
        <w:rPr>
          <w:rFonts w:cs="Arial"/>
          <w:b/>
        </w:rPr>
        <w:t>TB0306</w:t>
      </w:r>
      <w:r>
        <w:rPr>
          <w:rFonts w:cs="Arial"/>
        </w:rPr>
        <w:t xml:space="preserve"> selezionato, dall’anagrafica dei dipendenti interessati, creando, se richiesto, la relativa variazione storica.</w:t>
      </w: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55" w:name="_Toc496021303"/>
            <w:r>
              <w:t>CCNL Turismo ANPIT</w:t>
            </w:r>
            <w:bookmarkEnd w:id="5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56" w:name="UTYIAMC"/>
            <w:bookmarkStart w:id="57" w:name="_Toc496021304"/>
            <w:bookmarkEnd w:id="56"/>
            <w:r>
              <w:t>UTYIAMC</w:t>
            </w:r>
            <w:bookmarkEnd w:id="57"/>
          </w:p>
        </w:tc>
      </w:tr>
    </w:tbl>
    <w:p>
      <w:pPr>
        <w:pStyle w:val="TS-titolo-04"/>
      </w:pPr>
      <w:bookmarkStart w:id="58" w:name="_Toc454289025"/>
      <w:bookmarkStart w:id="59" w:name="_Toc454356296"/>
      <w:bookmarkStart w:id="60" w:name="_Toc496021305"/>
      <w:r>
        <w:t>Indennità Annuale di Mancata Contrattazione 201</w:t>
      </w:r>
      <w:bookmarkEnd w:id="58"/>
      <w:bookmarkEnd w:id="59"/>
      <w:r>
        <w:t>7</w:t>
      </w:r>
      <w:bookmarkEnd w:id="60"/>
    </w:p>
    <w:p>
      <w:pPr>
        <w:pStyle w:val="CorpoAltF0"/>
        <w:spacing w:before="120"/>
      </w:pPr>
      <w:r>
        <w:t>Con riferimento al CCNL Turismo ANPIT (</w:t>
      </w:r>
      <w:r>
        <w:rPr>
          <w:b/>
        </w:rPr>
        <w:t>CONTRA</w:t>
      </w:r>
      <w:r>
        <w:t xml:space="preserve"> codici </w:t>
      </w:r>
      <w:r>
        <w:rPr>
          <w:b/>
        </w:rPr>
        <w:t>8189/8190</w:t>
      </w:r>
      <w:r>
        <w:t xml:space="preserve">) il comando </w:t>
      </w:r>
      <w:r>
        <w:rPr>
          <w:b/>
        </w:rPr>
        <w:t>UTYIAMC</w:t>
      </w:r>
      <w:r>
        <w:t xml:space="preserve">, utile al calcolo e all’erogazione dell’Indennità Annuale di Mancata Contrattazione (vedi </w:t>
      </w:r>
      <w:proofErr w:type="spellStart"/>
      <w:r>
        <w:t>vers</w:t>
      </w:r>
      <w:proofErr w:type="spellEnd"/>
      <w:r>
        <w:t>. PAGHE 2015.0.11), è stato modificato per consentire l’erogazione delle quote maturate nel 2017 (gennaio – aprile).</w:t>
      </w:r>
    </w:p>
    <w:p>
      <w:pPr>
        <w:pStyle w:val="CorpoAltF0"/>
        <w:spacing w:before="60"/>
      </w:pPr>
      <w:r>
        <w:t>A tal fine, in entrambe le scelte del comando, “</w:t>
      </w:r>
      <w:r>
        <w:rPr>
          <w:i/>
        </w:rPr>
        <w:t>Erogazione annuale</w:t>
      </w:r>
      <w:r>
        <w:t>” ed “</w:t>
      </w:r>
      <w:r>
        <w:rPr>
          <w:i/>
        </w:rPr>
        <w:t>Erogazione per cessazione</w:t>
      </w:r>
      <w:r>
        <w:t>”, è stato inserito il campo “</w:t>
      </w:r>
      <w:r>
        <w:rPr>
          <w:i/>
        </w:rPr>
        <w:t>Periodo erogazione</w:t>
      </w:r>
      <w:r>
        <w:t>”.</w:t>
      </w:r>
    </w:p>
    <w:p>
      <w:pPr>
        <w:pStyle w:val="CorpoAltF0"/>
        <w:spacing w:before="60"/>
      </w:pPr>
      <w:r>
        <w:t>Il nuovo campo prevede i seguenti valori:</w:t>
      </w:r>
    </w:p>
    <w:p>
      <w:pPr>
        <w:pStyle w:val="CorpoAltF0"/>
      </w:pPr>
    </w:p>
    <w:tbl>
      <w:tblPr>
        <w:tblW w:w="10065" w:type="dxa"/>
        <w:tblInd w:w="-34" w:type="dxa"/>
        <w:tblLook w:val="04A0" w:firstRow="1" w:lastRow="0" w:firstColumn="1" w:lastColumn="0" w:noHBand="0" w:noVBand="1"/>
      </w:tblPr>
      <w:tblGrid>
        <w:gridCol w:w="2694"/>
        <w:gridCol w:w="7371"/>
      </w:tblGrid>
      <w:tr>
        <w:tc>
          <w:tcPr>
            <w:tcW w:w="2694" w:type="dxa"/>
          </w:tcPr>
          <w:p>
            <w:pPr>
              <w:pStyle w:val="CorpoAltF0"/>
              <w:rPr>
                <w:i/>
              </w:rPr>
            </w:pPr>
            <w:r>
              <w:rPr>
                <w:i/>
              </w:rPr>
              <w:t>Erogazione annuale</w:t>
            </w:r>
          </w:p>
        </w:tc>
        <w:tc>
          <w:tcPr>
            <w:tcW w:w="7371" w:type="dxa"/>
          </w:tcPr>
          <w:p>
            <w:pPr>
              <w:pStyle w:val="CorpoAltF0"/>
              <w:rPr>
                <w:i/>
              </w:rPr>
            </w:pPr>
          </w:p>
        </w:tc>
      </w:tr>
      <w:tr>
        <w:tc>
          <w:tcPr>
            <w:tcW w:w="2694" w:type="dxa"/>
          </w:tcPr>
          <w:p>
            <w:pPr>
              <w:pStyle w:val="CorpoAltF0"/>
              <w:spacing w:before="60"/>
              <w:jc w:val="right"/>
              <w:rPr>
                <w:b/>
              </w:rPr>
            </w:pPr>
            <w:r>
              <w:rPr>
                <w:b/>
              </w:rPr>
              <w:t>A</w:t>
            </w:r>
          </w:p>
        </w:tc>
        <w:tc>
          <w:tcPr>
            <w:tcW w:w="7371" w:type="dxa"/>
          </w:tcPr>
          <w:p>
            <w:pPr>
              <w:pStyle w:val="CorpoAltF0"/>
              <w:spacing w:before="60"/>
            </w:pPr>
            <w:r>
              <w:t>“</w:t>
            </w:r>
            <w:r>
              <w:rPr>
                <w:i/>
              </w:rPr>
              <w:t xml:space="preserve">Gennaio – </w:t>
            </w:r>
            <w:proofErr w:type="gramStart"/>
            <w:r>
              <w:rPr>
                <w:i/>
              </w:rPr>
              <w:t>Aprile</w:t>
            </w:r>
            <w:proofErr w:type="gramEnd"/>
            <w:r>
              <w:rPr>
                <w:i/>
              </w:rPr>
              <w:t xml:space="preserve"> 2017</w:t>
            </w:r>
            <w:r>
              <w:t>”</w:t>
            </w:r>
          </w:p>
          <w:p>
            <w:pPr>
              <w:pStyle w:val="CorpoAltF0"/>
              <w:spacing w:before="60"/>
            </w:pPr>
            <w:r>
              <w:t>consente di erogare nel mese selezionato al campo “</w:t>
            </w:r>
            <w:r>
              <w:rPr>
                <w:i/>
              </w:rPr>
              <w:t>Mese di erogazione</w:t>
            </w:r>
            <w:r>
              <w:t>” l’IAMC dovuta per i mesi da gennaio ad aprile 2017.</w:t>
            </w:r>
          </w:p>
        </w:tc>
      </w:tr>
      <w:tr>
        <w:tc>
          <w:tcPr>
            <w:tcW w:w="2694" w:type="dxa"/>
          </w:tcPr>
          <w:p>
            <w:pPr>
              <w:pStyle w:val="CorpoAltF0"/>
              <w:spacing w:before="60"/>
              <w:jc w:val="right"/>
              <w:rPr>
                <w:b/>
              </w:rPr>
            </w:pPr>
            <w:r>
              <w:rPr>
                <w:b/>
              </w:rPr>
              <w:t>[</w:t>
            </w:r>
            <w:r>
              <w:rPr>
                <w:b/>
                <w:i/>
              </w:rPr>
              <w:t>spazio</w:t>
            </w:r>
            <w:r>
              <w:rPr>
                <w:b/>
              </w:rPr>
              <w:t>]</w:t>
            </w:r>
          </w:p>
        </w:tc>
        <w:tc>
          <w:tcPr>
            <w:tcW w:w="7371" w:type="dxa"/>
          </w:tcPr>
          <w:p>
            <w:pPr>
              <w:pStyle w:val="CorpoAltF0"/>
              <w:spacing w:before="60"/>
            </w:pPr>
            <w:r>
              <w:t>“</w:t>
            </w:r>
            <w:r>
              <w:rPr>
                <w:i/>
              </w:rPr>
              <w:t xml:space="preserve">Gennaio – </w:t>
            </w:r>
            <w:proofErr w:type="gramStart"/>
            <w:r>
              <w:rPr>
                <w:i/>
              </w:rPr>
              <w:t>Dicembre</w:t>
            </w:r>
            <w:proofErr w:type="gramEnd"/>
            <w:r>
              <w:rPr>
                <w:i/>
              </w:rPr>
              <w:t xml:space="preserve"> anno precedente</w:t>
            </w:r>
            <w:r>
              <w:t>”</w:t>
            </w:r>
          </w:p>
          <w:p>
            <w:pPr>
              <w:pStyle w:val="CorpoAltF0"/>
              <w:spacing w:before="60"/>
            </w:pPr>
            <w:r>
              <w:t>consente di erogare nel mese selezionato al campo “</w:t>
            </w:r>
            <w:r>
              <w:rPr>
                <w:i/>
              </w:rPr>
              <w:t>Mese di erogazione</w:t>
            </w:r>
            <w:r>
              <w:t>” l’IAMC dovuta per l’anno precedente quello di erogazione.</w:t>
            </w:r>
          </w:p>
        </w:tc>
      </w:tr>
      <w:tr>
        <w:tc>
          <w:tcPr>
            <w:tcW w:w="2694" w:type="dxa"/>
          </w:tcPr>
          <w:p>
            <w:pPr>
              <w:pStyle w:val="CorpoAltF0"/>
              <w:spacing w:before="60"/>
              <w:rPr>
                <w:i/>
              </w:rPr>
            </w:pPr>
            <w:r>
              <w:rPr>
                <w:i/>
              </w:rPr>
              <w:t>Erogazione per cessazione</w:t>
            </w:r>
          </w:p>
        </w:tc>
        <w:tc>
          <w:tcPr>
            <w:tcW w:w="7371" w:type="dxa"/>
          </w:tcPr>
          <w:p>
            <w:pPr>
              <w:pStyle w:val="CorpoAltF0"/>
              <w:spacing w:before="60"/>
            </w:pPr>
          </w:p>
        </w:tc>
      </w:tr>
      <w:tr>
        <w:tc>
          <w:tcPr>
            <w:tcW w:w="2694" w:type="dxa"/>
          </w:tcPr>
          <w:p>
            <w:pPr>
              <w:pStyle w:val="CorpoAltF0"/>
              <w:spacing w:before="60"/>
              <w:jc w:val="right"/>
              <w:rPr>
                <w:b/>
              </w:rPr>
            </w:pPr>
            <w:r>
              <w:rPr>
                <w:b/>
              </w:rPr>
              <w:t>A</w:t>
            </w:r>
          </w:p>
        </w:tc>
        <w:tc>
          <w:tcPr>
            <w:tcW w:w="7371" w:type="dxa"/>
          </w:tcPr>
          <w:p>
            <w:pPr>
              <w:pStyle w:val="CorpoAltF0"/>
              <w:spacing w:before="60"/>
            </w:pPr>
            <w:r>
              <w:t>“</w:t>
            </w:r>
            <w:r>
              <w:rPr>
                <w:i/>
              </w:rPr>
              <w:t xml:space="preserve">Gennaio – </w:t>
            </w:r>
            <w:proofErr w:type="gramStart"/>
            <w:r>
              <w:rPr>
                <w:i/>
              </w:rPr>
              <w:t>Aprile</w:t>
            </w:r>
            <w:proofErr w:type="gramEnd"/>
            <w:r>
              <w:rPr>
                <w:i/>
              </w:rPr>
              <w:t xml:space="preserve"> 2017</w:t>
            </w:r>
            <w:r>
              <w:t>”</w:t>
            </w:r>
          </w:p>
          <w:p>
            <w:pPr>
              <w:pStyle w:val="CorpoAltF0"/>
              <w:spacing w:before="60"/>
            </w:pPr>
            <w:r>
              <w:t>consente di erogare nel mese di cessazione, da indicare al campo “</w:t>
            </w:r>
            <w:r>
              <w:rPr>
                <w:i/>
              </w:rPr>
              <w:t>Mese di erogazione</w:t>
            </w:r>
            <w:r>
              <w:t>”, l’IAMC dovuta per i mesi da gennaio ad aprile 2017.</w:t>
            </w:r>
          </w:p>
        </w:tc>
      </w:tr>
      <w:tr>
        <w:tc>
          <w:tcPr>
            <w:tcW w:w="2694" w:type="dxa"/>
          </w:tcPr>
          <w:p>
            <w:pPr>
              <w:pStyle w:val="CorpoAltF0"/>
              <w:spacing w:before="60"/>
              <w:jc w:val="right"/>
              <w:rPr>
                <w:b/>
              </w:rPr>
            </w:pPr>
            <w:r>
              <w:rPr>
                <w:b/>
              </w:rPr>
              <w:t>[spazio]</w:t>
            </w:r>
          </w:p>
        </w:tc>
        <w:tc>
          <w:tcPr>
            <w:tcW w:w="7371" w:type="dxa"/>
          </w:tcPr>
          <w:p>
            <w:pPr>
              <w:pStyle w:val="CorpoAltF0"/>
              <w:spacing w:before="60"/>
            </w:pPr>
            <w:r>
              <w:t>“</w:t>
            </w:r>
            <w:r>
              <w:rPr>
                <w:i/>
              </w:rPr>
              <w:t>Gennaio – Mese licenziamento anno corrente</w:t>
            </w:r>
            <w:r>
              <w:t>”</w:t>
            </w:r>
          </w:p>
          <w:p>
            <w:pPr>
              <w:pStyle w:val="CorpoAltF0"/>
              <w:spacing w:before="60"/>
            </w:pPr>
            <w:r>
              <w:t>consente di erogare nel mese di cessazione, da indicare al campo “</w:t>
            </w:r>
            <w:r>
              <w:rPr>
                <w:i/>
              </w:rPr>
              <w:t>Mese di erogazione</w:t>
            </w:r>
            <w:r>
              <w:t>”, l’IAMC dovuta per l’anno corrente.</w:t>
            </w:r>
          </w:p>
        </w:tc>
      </w:tr>
    </w:tbl>
    <w:p>
      <w:pPr>
        <w:pStyle w:val="CorpoAltF0"/>
      </w:pPr>
    </w:p>
    <w:p>
      <w:pPr>
        <w:pStyle w:val="CorpoAltF0"/>
      </w:pPr>
      <w:r>
        <w:t>Il programma genererà la voce indicata al campo “</w:t>
      </w:r>
      <w:r>
        <w:rPr>
          <w:i/>
        </w:rPr>
        <w:t>Voce di erogazione</w:t>
      </w:r>
      <w:r>
        <w:t>” con l’indicazione dell’anno di riferimento.</w:t>
      </w:r>
    </w:p>
    <w:p>
      <w:pPr>
        <w:pStyle w:val="CorpoAltF0"/>
      </w:pPr>
    </w:p>
    <w:p>
      <w:pPr>
        <w:pStyle w:val="CorpoAltF0"/>
      </w:pPr>
    </w:p>
    <w:p>
      <w:pPr>
        <w:pStyle w:val="CorpoAltF0"/>
      </w:pPr>
      <w:r>
        <w:t>Si precisa che, per entrambe le scelte del comando in oggetto:</w:t>
      </w:r>
    </w:p>
    <w:p>
      <w:pPr>
        <w:pStyle w:val="CorpoAltF0"/>
        <w:numPr>
          <w:ilvl w:val="0"/>
          <w:numId w:val="41"/>
        </w:numPr>
        <w:spacing w:before="60"/>
        <w:ind w:left="283" w:hanging="255"/>
      </w:pPr>
      <w:r>
        <w:t>nel caso di compilazione del nuovo campo con il valore “</w:t>
      </w:r>
      <w:r>
        <w:rPr>
          <w:b/>
        </w:rPr>
        <w:t>A</w:t>
      </w:r>
      <w:r>
        <w:t>”, gli importi da utilizzare per il calcolo verranno rilevati dal “</w:t>
      </w:r>
      <w:r>
        <w:rPr>
          <w:i/>
        </w:rPr>
        <w:t>Numero base</w:t>
      </w:r>
      <w:r>
        <w:t xml:space="preserve">” </w:t>
      </w:r>
      <w:r>
        <w:rPr>
          <w:b/>
        </w:rPr>
        <w:t>1</w:t>
      </w:r>
      <w:r>
        <w:t xml:space="preserve"> della tabella</w:t>
      </w:r>
      <w:r>
        <w:rPr>
          <w:i/>
        </w:rPr>
        <w:t xml:space="preserve"> </w:t>
      </w:r>
      <w:r>
        <w:t>“</w:t>
      </w:r>
      <w:r>
        <w:rPr>
          <w:i/>
        </w:rPr>
        <w:t>Basi</w:t>
      </w:r>
      <w:r>
        <w:t>” (</w:t>
      </w:r>
      <w:r>
        <w:rPr>
          <w:b/>
        </w:rPr>
        <w:t>TB0120</w:t>
      </w:r>
      <w:r>
        <w:t>) creata per i settori in esame;</w:t>
      </w:r>
    </w:p>
    <w:p>
      <w:pPr>
        <w:pStyle w:val="CorpoAltF0"/>
        <w:numPr>
          <w:ilvl w:val="0"/>
          <w:numId w:val="41"/>
        </w:numPr>
        <w:spacing w:before="60"/>
        <w:ind w:left="283" w:hanging="255"/>
      </w:pPr>
      <w:r>
        <w:t>nel caso di compilazione con il valore “</w:t>
      </w:r>
      <w:r>
        <w:rPr>
          <w:b/>
        </w:rPr>
        <w:t>spazio</w:t>
      </w:r>
      <w:r>
        <w:t>”, gli importi da utilizzare per il calcolo verranno rilevati dal “</w:t>
      </w:r>
      <w:r>
        <w:rPr>
          <w:i/>
        </w:rPr>
        <w:t>Numero base</w:t>
      </w:r>
      <w:r>
        <w:t xml:space="preserve">” </w:t>
      </w:r>
      <w:r>
        <w:rPr>
          <w:b/>
        </w:rPr>
        <w:t>2</w:t>
      </w:r>
      <w:r>
        <w:t xml:space="preserve"> della medesima tabella.</w:t>
      </w:r>
    </w:p>
    <w:p>
      <w:pPr>
        <w:pStyle w:val="CorpoAltF0"/>
      </w:pPr>
    </w:p>
    <w:p>
      <w:pPr>
        <w:pStyle w:val="CorpoAltF0"/>
      </w:pPr>
    </w:p>
    <w:p>
      <w:pPr>
        <w:pStyle w:val="CorpoAltF0"/>
      </w:pPr>
      <w:r>
        <w:t xml:space="preserve">Per gli utenti </w:t>
      </w:r>
      <w:r>
        <w:rPr>
          <w:b/>
        </w:rPr>
        <w:t>CONTRA</w:t>
      </w:r>
      <w:r>
        <w:t xml:space="preserve">, nelle note di rilascio della versione </w:t>
      </w:r>
      <w:r>
        <w:rPr>
          <w:b/>
        </w:rPr>
        <w:t>CONTRA 2017.10.0</w:t>
      </w:r>
      <w:r>
        <w:t xml:space="preserve"> viene fornito il dettaglio degli specifici codici contratto interessati e delle relative disposizioni contrattuali.</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61" w:name="_Toc485630903"/>
            <w:bookmarkStart w:id="62" w:name="_Toc493496713"/>
            <w:bookmarkStart w:id="63" w:name="_Toc496021306"/>
            <w:r>
              <w:t>Archivi di base</w:t>
            </w:r>
            <w:bookmarkEnd w:id="61"/>
            <w:bookmarkEnd w:id="62"/>
            <w:bookmarkEnd w:id="63"/>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Tabelle trattenute sociali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64" w:name="TB0307_CtrCE_Eccezioni"/>
            <w:bookmarkStart w:id="65" w:name="_Toc485630904"/>
            <w:bookmarkStart w:id="66" w:name="_Toc496021307"/>
            <w:bookmarkEnd w:id="64"/>
            <w:r>
              <w:t>TB0307</w:t>
            </w:r>
            <w:bookmarkEnd w:id="65"/>
            <w:bookmarkEnd w:id="66"/>
          </w:p>
        </w:tc>
      </w:tr>
    </w:tbl>
    <w:p>
      <w:pPr>
        <w:pStyle w:val="TS-titolo-04"/>
      </w:pPr>
      <w:bookmarkStart w:id="67" w:name="_Toc444885166"/>
      <w:bookmarkStart w:id="68" w:name="_Toc446344719"/>
      <w:bookmarkStart w:id="69" w:name="_Toc446433487"/>
      <w:bookmarkStart w:id="70" w:name="_Toc449524425"/>
      <w:bookmarkStart w:id="71" w:name="_Toc449528167"/>
      <w:bookmarkStart w:id="72" w:name="_Toc464461509"/>
      <w:bookmarkStart w:id="73" w:name="_Toc477797045"/>
      <w:bookmarkStart w:id="74" w:name="_Toc477799123"/>
      <w:bookmarkStart w:id="75" w:name="_Toc485630905"/>
      <w:bookmarkStart w:id="76" w:name="_Toc496021308"/>
      <w:r>
        <w:t>Contributi cassa edil</w:t>
      </w:r>
      <w:bookmarkEnd w:id="67"/>
      <w:bookmarkEnd w:id="68"/>
      <w:bookmarkEnd w:id="69"/>
      <w:bookmarkEnd w:id="70"/>
      <w:bookmarkEnd w:id="71"/>
      <w:bookmarkEnd w:id="72"/>
      <w:bookmarkEnd w:id="73"/>
      <w:bookmarkEnd w:id="74"/>
      <w:r>
        <w:t xml:space="preserve">e &gt; </w:t>
      </w:r>
      <w:bookmarkStart w:id="77" w:name="_Toc444620260"/>
      <w:bookmarkStart w:id="78" w:name="_Toc444885168"/>
      <w:bookmarkStart w:id="79" w:name="_Toc446344720"/>
      <w:bookmarkStart w:id="80" w:name="_Toc446433488"/>
      <w:bookmarkStart w:id="81" w:name="_Toc449524426"/>
      <w:bookmarkStart w:id="82" w:name="_Toc449528168"/>
      <w:bookmarkStart w:id="83" w:name="_Toc464461510"/>
      <w:bookmarkStart w:id="84" w:name="_Toc477797046"/>
      <w:bookmarkStart w:id="85" w:name="_Toc477799124"/>
      <w:r>
        <w:t>Scheda Eccezioni</w:t>
      </w:r>
      <w:bookmarkEnd w:id="75"/>
      <w:bookmarkEnd w:id="77"/>
      <w:bookmarkEnd w:id="78"/>
      <w:bookmarkEnd w:id="79"/>
      <w:bookmarkEnd w:id="80"/>
      <w:bookmarkEnd w:id="81"/>
      <w:bookmarkEnd w:id="82"/>
      <w:bookmarkEnd w:id="83"/>
      <w:bookmarkEnd w:id="84"/>
      <w:bookmarkEnd w:id="85"/>
      <w:bookmarkEnd w:id="76"/>
    </w:p>
    <w:p>
      <w:pPr>
        <w:pStyle w:val="TS-titolo-05"/>
      </w:pPr>
      <w:bookmarkStart w:id="86" w:name="_Toc485630906"/>
      <w:bookmarkStart w:id="87" w:name="_Toc496021309"/>
      <w:r>
        <w:t>Cassa Edile di Parma</w:t>
      </w:r>
      <w:bookmarkEnd w:id="86"/>
      <w:bookmarkEnd w:id="87"/>
    </w:p>
    <w:p>
      <w:pPr>
        <w:pStyle w:val="CorpoAltF0"/>
        <w:tabs>
          <w:tab w:val="left" w:pos="284"/>
        </w:tabs>
        <w:spacing w:before="120"/>
      </w:pPr>
      <w:r>
        <w:t xml:space="preserve">Modificato il calcolo associato al </w:t>
      </w:r>
      <w:r>
        <w:rPr>
          <w:rFonts w:cs="Arial"/>
          <w:iCs/>
        </w:rPr>
        <w:t>“</w:t>
      </w:r>
      <w:r>
        <w:rPr>
          <w:rFonts w:cs="Arial"/>
          <w:i/>
          <w:iCs/>
        </w:rPr>
        <w:t>Codice calcolo particolare</w:t>
      </w:r>
      <w:r>
        <w:rPr>
          <w:rFonts w:cs="Arial"/>
          <w:iCs/>
        </w:rPr>
        <w:t>”</w:t>
      </w:r>
      <w:r>
        <w:rPr>
          <w:rFonts w:cs="Arial"/>
        </w:rPr>
        <w:t xml:space="preserve"> </w:t>
      </w:r>
      <w:r>
        <w:rPr>
          <w:rFonts w:cs="Arial"/>
          <w:b/>
          <w:bCs/>
        </w:rPr>
        <w:t>PR00</w:t>
      </w:r>
      <w:r>
        <w:t xml:space="preserve">, relativo alla Cassa Edile di Parma, nel caso di evento di </w:t>
      </w:r>
      <w:r>
        <w:rPr>
          <w:b/>
          <w:u w:val="single"/>
        </w:rPr>
        <w:t>malattia</w:t>
      </w:r>
      <w:r>
        <w:t xml:space="preserve"> di durata pari o inferiore a 6 giorni per i dipendenti part-time, al fine di riproporzionare alla relativa percentuale il monte ore richiesto per il riconoscimento dell’integrazione e del rimborso dell’evento (almeno 158 ore denunciate al mese, per ogni mese, nel trimestre precedente l’evento, oppure almeno 948 ore complessive nel semestre precedente l’evento).</w:t>
      </w:r>
    </w:p>
    <w:p>
      <w:pPr>
        <w:pStyle w:val="CorpoAltF0"/>
        <w:spacing w:before="60"/>
      </w:pPr>
      <w:r>
        <w:t>La scheda “</w:t>
      </w:r>
      <w:r>
        <w:rPr>
          <w:i/>
        </w:rPr>
        <w:t>Eccezioni</w:t>
      </w:r>
      <w:r>
        <w:t>” non deve essere modificata.</w:t>
      </w:r>
    </w:p>
    <w:p>
      <w:pPr>
        <w:pStyle w:val="CorpoAltF0"/>
      </w:pPr>
    </w:p>
    <w:p>
      <w:pPr>
        <w:pStyle w:val="CorpoAltF0"/>
        <w:rPr>
          <w:highlight w:val="magenta"/>
        </w:rPr>
      </w:pPr>
    </w:p>
    <w:p>
      <w:pPr>
        <w:pStyle w:val="WWNewPage"/>
        <w:rPr>
          <w:highlight w:val="magenta"/>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Parametri e personalizzazioni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88" w:name="TB1223_SelScadAutom"/>
            <w:bookmarkStart w:id="89" w:name="_Toc496017021"/>
            <w:bookmarkStart w:id="90" w:name="_Toc496020971"/>
            <w:bookmarkStart w:id="91" w:name="_Toc496021310"/>
            <w:bookmarkEnd w:id="88"/>
            <w:r>
              <w:t>TB1223</w:t>
            </w:r>
            <w:bookmarkEnd w:id="89"/>
            <w:bookmarkEnd w:id="90"/>
            <w:bookmarkEnd w:id="91"/>
          </w:p>
        </w:tc>
      </w:tr>
    </w:tbl>
    <w:p>
      <w:pPr>
        <w:pStyle w:val="TS-titolo-04"/>
      </w:pPr>
      <w:bookmarkStart w:id="92" w:name="_Toc496017022"/>
      <w:bookmarkStart w:id="93" w:name="_Toc496020972"/>
      <w:bookmarkStart w:id="94" w:name="_Toc496021311"/>
      <w:r>
        <w:t>Selezione scadenze automatiche</w:t>
      </w:r>
      <w:bookmarkEnd w:id="92"/>
      <w:bookmarkEnd w:id="93"/>
      <w:bookmarkEnd w:id="94"/>
      <w:r>
        <w:t xml:space="preserve"> </w:t>
      </w:r>
    </w:p>
    <w:p>
      <w:pPr>
        <w:pStyle w:val="CorpoAltF0"/>
        <w:spacing w:before="120"/>
      </w:pPr>
      <w:r>
        <w:t>Con riferimento alla gestione delle scadenze automatiche (“S” al campo “</w:t>
      </w:r>
      <w:r>
        <w:rPr>
          <w:i/>
        </w:rPr>
        <w:t>SCADE – Stampa scadenze automatiche</w:t>
      </w:r>
      <w:r>
        <w:t>” nella scheda “</w:t>
      </w:r>
      <w:r>
        <w:rPr>
          <w:i/>
        </w:rPr>
        <w:t>Altro</w:t>
      </w:r>
      <w:r>
        <w:t xml:space="preserve">” di </w:t>
      </w:r>
      <w:r>
        <w:rPr>
          <w:b/>
        </w:rPr>
        <w:t>TB1203</w:t>
      </w:r>
      <w:r>
        <w:t>), è stata inserita la possibilità di escludere una o più delle scadenze previste.</w:t>
      </w:r>
    </w:p>
    <w:p>
      <w:pPr>
        <w:pStyle w:val="CorpoAltF0"/>
        <w:spacing w:before="60"/>
      </w:pPr>
      <w:r>
        <w:t>A tal fine è stata introdotta la nuova tabella “</w:t>
      </w:r>
      <w:r>
        <w:rPr>
          <w:b/>
          <w:i/>
        </w:rPr>
        <w:t>Selezione scadenze automatiche</w:t>
      </w:r>
      <w:r>
        <w:t>” (</w:t>
      </w:r>
      <w:r>
        <w:rPr>
          <w:b/>
        </w:rPr>
        <w:t>TB1223</w:t>
      </w:r>
      <w:r>
        <w:t>):</w:t>
      </w:r>
    </w:p>
    <w:p>
      <w:pPr>
        <w:pStyle w:val="CorpoAltF0"/>
        <w:spacing w:before="120"/>
        <w:jc w:val="center"/>
      </w:pPr>
      <w:r>
        <w:rPr>
          <w:noProof/>
        </w:rPr>
        <w:drawing>
          <wp:inline distT="0" distB="0" distL="0" distR="0">
            <wp:extent cx="5040000" cy="387081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3870819"/>
                    </a:xfrm>
                    <a:prstGeom prst="rect">
                      <a:avLst/>
                    </a:prstGeom>
                  </pic:spPr>
                </pic:pic>
              </a:graphicData>
            </a:graphic>
          </wp:inline>
        </w:drawing>
      </w:r>
    </w:p>
    <w:p>
      <w:pPr>
        <w:pStyle w:val="CorpoAltF0"/>
      </w:pPr>
    </w:p>
    <w:p>
      <w:pPr>
        <w:pStyle w:val="CorpoAltF0"/>
      </w:pPr>
      <w:r>
        <w:t>Contrassegnando il campo “</w:t>
      </w:r>
      <w:r>
        <w:rPr>
          <w:i/>
        </w:rPr>
        <w:t>Escludi scadenza</w:t>
      </w:r>
      <w:r>
        <w:t>” il programma provvederà a non evidenziare, se presente, la specifica scadenza automatica selezionata.</w:t>
      </w:r>
    </w:p>
    <w:p>
      <w:pPr>
        <w:pStyle w:val="CorpoAltF0"/>
        <w:spacing w:before="60"/>
      </w:pPr>
      <w:r>
        <w:t>La tabella può essere creata a livello generale (zero al campo “</w:t>
      </w:r>
      <w:r>
        <w:rPr>
          <w:i/>
        </w:rPr>
        <w:t>Azienda</w:t>
      </w:r>
      <w:r>
        <w:t xml:space="preserve">”) oppure per singola azienda. </w:t>
      </w: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bookmarkStart w:id="95" w:name="GestioneStorico"/>
            <w:bookmarkEnd w:id="95"/>
            <w:r>
              <w:rPr>
                <w:rFonts w:ascii="Arial" w:hAnsi="Arial" w:cs="Arial"/>
                <w:b/>
                <w:i/>
                <w:sz w:val="24"/>
                <w:szCs w:val="24"/>
              </w:rPr>
              <w:t>Anagrafiche e gestioni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96" w:name="_Toc496017019"/>
            <w:bookmarkStart w:id="97" w:name="_Toc496021035"/>
            <w:bookmarkStart w:id="98" w:name="_Toc496021312"/>
            <w:r>
              <w:t>AZIE / DIPE</w:t>
            </w:r>
            <w:bookmarkEnd w:id="96"/>
            <w:bookmarkEnd w:id="97"/>
            <w:bookmarkEnd w:id="98"/>
          </w:p>
        </w:tc>
      </w:tr>
    </w:tbl>
    <w:p>
      <w:pPr>
        <w:pStyle w:val="TS-titolo-04"/>
      </w:pPr>
      <w:bookmarkStart w:id="99" w:name="_Toc496017020"/>
      <w:bookmarkStart w:id="100" w:name="_Toc496021036"/>
      <w:bookmarkStart w:id="101" w:name="_Toc496021313"/>
      <w:r>
        <w:t>Gestione storico</w:t>
      </w:r>
      <w:bookmarkEnd w:id="99"/>
      <w:bookmarkEnd w:id="100"/>
      <w:bookmarkEnd w:id="101"/>
      <w:r>
        <w:t xml:space="preserve"> </w:t>
      </w:r>
    </w:p>
    <w:p>
      <w:pPr>
        <w:pStyle w:val="CorpoAltF0"/>
        <w:spacing w:before="120"/>
      </w:pPr>
      <w:r>
        <w:t>L’opzione “</w:t>
      </w:r>
      <w:r>
        <w:rPr>
          <w:i/>
        </w:rPr>
        <w:t>Gestione storico</w:t>
      </w:r>
      <w:r>
        <w:t>”, posta all’interno del menu “</w:t>
      </w:r>
      <w:r>
        <w:rPr>
          <w:i/>
        </w:rPr>
        <w:t>Funzioni</w:t>
      </w:r>
      <w:r>
        <w:t>” &gt; riquadro “</w:t>
      </w:r>
      <w:r>
        <w:rPr>
          <w:i/>
        </w:rPr>
        <w:t>Variazioni storiche</w:t>
      </w:r>
      <w:r>
        <w:t xml:space="preserve">” dell’anagrafica dipendente e azienda, è stata implementata al fine di esporre, </w:t>
      </w:r>
      <w:r>
        <w:rPr>
          <w:rFonts w:cs="Arial"/>
        </w:rPr>
        <w:t xml:space="preserve">per ogni validità, l’utente e </w:t>
      </w:r>
      <w:r>
        <w:t>la data riferiti sia alla creazione della stessa che all’ultima modifica eventualmente effettuata senza generare un nuovo periodo di validità.</w:t>
      </w:r>
    </w:p>
    <w:p>
      <w:pPr>
        <w:pStyle w:val="CorpoAltF0"/>
        <w:spacing w:before="60"/>
      </w:pPr>
      <w:r>
        <w:t>A tal fine è stata inserita la nuova colonna “</w:t>
      </w:r>
      <w:r>
        <w:rPr>
          <w:b/>
          <w:i/>
        </w:rPr>
        <w:t>Creazione</w:t>
      </w:r>
      <w:r>
        <w:t>” e la precedente colonna “</w:t>
      </w:r>
      <w:r>
        <w:rPr>
          <w:i/>
        </w:rPr>
        <w:t xml:space="preserve">Utente – data </w:t>
      </w:r>
      <w:proofErr w:type="spellStart"/>
      <w:r>
        <w:rPr>
          <w:i/>
        </w:rPr>
        <w:t>storic</w:t>
      </w:r>
      <w:proofErr w:type="spellEnd"/>
      <w:r>
        <w:t>.” è stata rinominata in “</w:t>
      </w:r>
      <w:r>
        <w:rPr>
          <w:b/>
          <w:i/>
        </w:rPr>
        <w:t>Ultima modifica</w:t>
      </w:r>
      <w:r>
        <w:t>”:</w:t>
      </w:r>
    </w:p>
    <w:p>
      <w:pPr>
        <w:pStyle w:val="CorpoAltF0"/>
        <w:spacing w:before="120"/>
        <w:jc w:val="center"/>
      </w:pPr>
      <w:r>
        <w:rPr>
          <w:noProof/>
        </w:rPr>
        <w:drawing>
          <wp:inline distT="0" distB="0" distL="0" distR="0">
            <wp:extent cx="5040000" cy="308243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3082433"/>
                    </a:xfrm>
                    <a:prstGeom prst="rect">
                      <a:avLst/>
                    </a:prstGeom>
                  </pic:spPr>
                </pic:pic>
              </a:graphicData>
            </a:graphic>
          </wp:inline>
        </w:drawing>
      </w:r>
    </w:p>
    <w:p>
      <w:pPr>
        <w:pStyle w:val="CorpoAltF0"/>
        <w:spacing w:before="120"/>
      </w:pPr>
      <w:r>
        <w:t>Il programma a partire dalla presente versione in caso di creazione di una nuova validità provvederà a compilare entrambi i campi, invece, in caso di variazione di un periodo precedente a quello in corso senza creazione di una nuova storicizzazione provvederà a compilare il campo “</w:t>
      </w:r>
      <w:r>
        <w:rPr>
          <w:i/>
        </w:rPr>
        <w:t>Ultima modifica</w:t>
      </w:r>
      <w:r>
        <w:t>” indicando la data e l’utente che ha effettuato tale variazione senza modificare i dati memorizzati al campo “</w:t>
      </w:r>
      <w:r>
        <w:rPr>
          <w:i/>
        </w:rPr>
        <w:t>Creazione</w:t>
      </w:r>
      <w:r>
        <w:t>”.</w:t>
      </w:r>
    </w:p>
    <w:p>
      <w:pPr>
        <w:pStyle w:val="CorpoAltF0"/>
      </w:pP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02" w:name="_Toc496021314"/>
            <w:r>
              <w:t>Altri enti</w:t>
            </w:r>
            <w:bookmarkEnd w:id="102"/>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Gestione denuncia casse edili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03" w:name="_Toc496021315"/>
            <w:r>
              <w:t>STEDIL</w:t>
            </w:r>
            <w:bookmarkEnd w:id="103"/>
          </w:p>
        </w:tc>
      </w:tr>
    </w:tbl>
    <w:p>
      <w:pPr>
        <w:pStyle w:val="TS-titolo-04"/>
      </w:pPr>
      <w:bookmarkStart w:id="104" w:name="STEDIL_MUT_Torino"/>
      <w:bookmarkStart w:id="105" w:name="_Toc494115012"/>
      <w:bookmarkStart w:id="106" w:name="_Toc496021316"/>
      <w:bookmarkEnd w:id="104"/>
      <w:r>
        <w:t>MUT – Cassa Edile di Torino</w:t>
      </w:r>
      <w:bookmarkEnd w:id="105"/>
      <w:bookmarkEnd w:id="106"/>
    </w:p>
    <w:p>
      <w:pPr>
        <w:pStyle w:val="CorpoAltF0"/>
        <w:tabs>
          <w:tab w:val="left" w:pos="284"/>
        </w:tabs>
        <w:spacing w:before="120"/>
      </w:pPr>
      <w:r>
        <w:t>Modificato il programma di generazione del file telematico MUT per la Cassa Edile in oggetto, al fine di determinare l’importo del campo &lt;</w:t>
      </w:r>
      <w:proofErr w:type="spellStart"/>
      <w:r>
        <w:t>TFR_PagaOraria</w:t>
      </w:r>
      <w:proofErr w:type="spellEnd"/>
      <w:r>
        <w:t>&gt; sulla base del valore del campo &lt;</w:t>
      </w:r>
      <w:proofErr w:type="spellStart"/>
      <w:r>
        <w:t>TFR_OreUtili</w:t>
      </w:r>
      <w:proofErr w:type="spellEnd"/>
      <w:r>
        <w:t>&gt; (valore arrotondato e non decimale).</w:t>
      </w:r>
    </w:p>
    <w:p>
      <w:pPr>
        <w:pStyle w:val="CorpoAltF0"/>
        <w:spacing w:before="60"/>
      </w:pPr>
      <w:r>
        <w:t>Analoga modifica è stata effettuata per la stampa “</w:t>
      </w:r>
      <w:r>
        <w:rPr>
          <w:i/>
        </w:rPr>
        <w:t>Elenco dei lavoratori occupati</w:t>
      </w:r>
      <w:r>
        <w:t>”.</w:t>
      </w:r>
    </w:p>
    <w:p>
      <w:pPr>
        <w:rPr>
          <w:rFonts w:ascii="Arial" w:hAnsi="Arial"/>
          <w:sz w:val="20"/>
          <w:szCs w:val="20"/>
        </w:rPr>
      </w:pPr>
    </w:p>
    <w:p>
      <w:pPr>
        <w:rPr>
          <w:rFonts w:ascii="Arial" w:hAnsi="Arial"/>
          <w:sz w:val="20"/>
          <w:szCs w:val="20"/>
        </w:rPr>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trPr>
          <w:trHeight w:val="558"/>
        </w:trPr>
        <w:tc>
          <w:tcPr>
            <w:tcW w:w="6874" w:type="dxa"/>
            <w:tcBorders>
              <w:top w:val="nil"/>
              <w:left w:val="nil"/>
              <w:bottom w:val="single" w:sz="12" w:space="0" w:color="auto"/>
              <w:right w:val="nil"/>
            </w:tcBorders>
            <w:vAlign w:val="center"/>
            <w:hideMark/>
          </w:tcPr>
          <w:p>
            <w:pPr>
              <w:pStyle w:val="TS-titolo-01"/>
              <w:outlineLvl w:val="0"/>
            </w:pPr>
            <w:bookmarkStart w:id="107" w:name="TELFONDI_STAFONDI"/>
            <w:bookmarkStart w:id="108" w:name="_Toc496021154"/>
            <w:bookmarkStart w:id="109" w:name="_Toc496021317"/>
            <w:bookmarkEnd w:id="107"/>
            <w:r>
              <w:t>Fondi di previdenza</w:t>
            </w:r>
            <w:bookmarkEnd w:id="108"/>
            <w:bookmarkEnd w:id="109"/>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10" w:name="_Toc496021155"/>
            <w:bookmarkStart w:id="111" w:name="_Toc496021318"/>
            <w:r>
              <w:t>TELFONDI / STAFONDI</w:t>
            </w:r>
            <w:bookmarkEnd w:id="110"/>
            <w:bookmarkEnd w:id="111"/>
          </w:p>
        </w:tc>
      </w:tr>
    </w:tbl>
    <w:p>
      <w:pPr>
        <w:pStyle w:val="TS-titolo-04"/>
      </w:pPr>
      <w:bookmarkStart w:id="112" w:name="_Toc496021156"/>
      <w:bookmarkStart w:id="113" w:name="_Toc496021319"/>
      <w:r>
        <w:t>Telematico e Stampa Fondo COMETA</w:t>
      </w:r>
      <w:bookmarkEnd w:id="112"/>
      <w:bookmarkEnd w:id="113"/>
    </w:p>
    <w:p>
      <w:pPr>
        <w:pStyle w:val="CorpoAltF0"/>
        <w:spacing w:before="120"/>
      </w:pPr>
      <w:r>
        <w:t>Modificato il programma di generazione del telematico e stampa relativi alla contribuzione al fondo COMETA (codice interno 407), al fine di sommare nella contribuzione ordinaria c/azienda anche l’eventuale contribuzione aggiuntiva c/azienda.</w:t>
      </w:r>
    </w:p>
    <w:p>
      <w:pPr>
        <w:pStyle w:val="CorpoAltF0"/>
        <w:spacing w:before="120"/>
      </w:pPr>
      <w:r>
        <w:t xml:space="preserve">Si ricorda che la contribuzione aggiuntiva riconosciuta in sostituzione di premi di produttività continua ad essere esposta distintamente nell’apposito campo della stampa e del telematico (vedi </w:t>
      </w:r>
      <w:proofErr w:type="spellStart"/>
      <w:r>
        <w:t>vers</w:t>
      </w:r>
      <w:proofErr w:type="spellEnd"/>
      <w:r>
        <w:t>. PAGHE 2017.1.4).</w:t>
      </w: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14" w:name="_Toc493752301"/>
            <w:bookmarkStart w:id="115" w:name="_Toc496021320"/>
            <w:r>
              <w:t>Utility e funzioni varie</w:t>
            </w:r>
            <w:bookmarkEnd w:id="114"/>
            <w:bookmarkEnd w:id="11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16" w:name="UTYINC"/>
            <w:bookmarkStart w:id="117" w:name="_Toc493752302"/>
            <w:bookmarkStart w:id="118" w:name="_Toc496021321"/>
            <w:bookmarkEnd w:id="116"/>
            <w:r>
              <w:t>UTYINC</w:t>
            </w:r>
            <w:bookmarkEnd w:id="117"/>
            <w:bookmarkEnd w:id="118"/>
          </w:p>
        </w:tc>
      </w:tr>
    </w:tbl>
    <w:p>
      <w:pPr>
        <w:pStyle w:val="TS-titolo-04"/>
      </w:pPr>
      <w:bookmarkStart w:id="119" w:name="_Toc493752303"/>
      <w:bookmarkStart w:id="120" w:name="_Toc496021322"/>
      <w:r>
        <w:t xml:space="preserve">Incentivo occupazione </w:t>
      </w:r>
      <w:bookmarkEnd w:id="119"/>
      <w:r>
        <w:t>giovani</w:t>
      </w:r>
      <w:bookmarkEnd w:id="120"/>
    </w:p>
    <w:p>
      <w:pPr>
        <w:pStyle w:val="CorpoAltF0"/>
        <w:spacing w:before="120"/>
      </w:pPr>
      <w:r>
        <w:t>Relativamente all’incentivo in oggetto, la scelta “</w:t>
      </w:r>
      <w:r>
        <w:rPr>
          <w:i/>
        </w:rPr>
        <w:t>Calcolo recupero</w:t>
      </w:r>
      <w:r>
        <w:t xml:space="preserve">” del comando </w:t>
      </w:r>
      <w:r>
        <w:rPr>
          <w:b/>
        </w:rPr>
        <w:t>UTYINC</w:t>
      </w:r>
      <w:r>
        <w:t xml:space="preserve"> è stata modificata al fine di effettuare </w:t>
      </w:r>
      <w:r>
        <w:rPr>
          <w:rFonts w:cs="Arial"/>
        </w:rPr>
        <w:t>il</w:t>
      </w:r>
      <w:r>
        <w:t xml:space="preserve"> ricalcolo dell’incentivo per tutte le mensilità spettanti precedenti quella corrente, e non per la sola mensilità precedente.</w:t>
      </w:r>
    </w:p>
    <w:p>
      <w:pPr>
        <w:rPr>
          <w:rFonts w:ascii="Arial" w:hAnsi="Arial"/>
          <w:sz w:val="20"/>
          <w:szCs w:val="20"/>
        </w:rPr>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21" w:name="BUDGET"/>
            <w:bookmarkStart w:id="122" w:name="_Toc494100075"/>
            <w:bookmarkStart w:id="123" w:name="_Toc496021245"/>
            <w:bookmarkStart w:id="124" w:name="_Toc496021323"/>
            <w:bookmarkEnd w:id="121"/>
            <w:r>
              <w:t>Budget e Costo del Personale</w:t>
            </w:r>
            <w:bookmarkEnd w:id="122"/>
            <w:bookmarkEnd w:id="123"/>
            <w:bookmarkEnd w:id="12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25" w:name="_Toc494100076"/>
            <w:bookmarkStart w:id="126" w:name="_Toc496021246"/>
            <w:bookmarkStart w:id="127" w:name="_Toc496021324"/>
            <w:r>
              <w:t>BUDGET</w:t>
            </w:r>
            <w:bookmarkEnd w:id="125"/>
            <w:bookmarkEnd w:id="126"/>
            <w:bookmarkEnd w:id="127"/>
          </w:p>
        </w:tc>
      </w:tr>
    </w:tbl>
    <w:p>
      <w:pPr>
        <w:pStyle w:val="TS-titolo-04"/>
      </w:pPr>
      <w:bookmarkStart w:id="128" w:name="_Toc494100077"/>
      <w:bookmarkStart w:id="129" w:name="_Toc496021247"/>
      <w:bookmarkStart w:id="130" w:name="_Toc496021325"/>
      <w:r>
        <w:t>Interruzione elaborazione preventivo / consuntivo</w:t>
      </w:r>
      <w:bookmarkEnd w:id="128"/>
      <w:bookmarkEnd w:id="129"/>
      <w:bookmarkEnd w:id="130"/>
    </w:p>
    <w:p>
      <w:pPr>
        <w:pStyle w:val="CorpoAltF0"/>
        <w:spacing w:before="120"/>
      </w:pPr>
      <w:r>
        <w:t>Inserita la possibilità di interrompere l’elaborazione del preventivo / consuntivo prima del termine, selezionando il tasto funzione “</w:t>
      </w:r>
      <w:r>
        <w:rPr>
          <w:i/>
        </w:rPr>
        <w:t>F9 Uscita</w:t>
      </w:r>
      <w:r>
        <w:t>” disponibile nel corso dell’elaborazione.</w:t>
      </w:r>
    </w:p>
    <w:p>
      <w:pPr>
        <w:pStyle w:val="CorpoAltF0"/>
      </w:pPr>
    </w:p>
    <w:sectPr>
      <w:headerReference w:type="default" r:id="rId22"/>
      <w:footerReference w:type="default" r:id="rId23"/>
      <w:pgSz w:w="11907" w:h="16840" w:code="9"/>
      <w:pgMar w:top="567" w:right="992"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2017.2.0</w:t>
          </w:r>
        </w:p>
      </w:tc>
      <w:tc>
        <w:tcPr>
          <w:tcW w:w="1701" w:type="dxa"/>
        </w:tcPr>
        <w:p>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2</w:t>
          </w:r>
          <w:r>
            <w:rPr>
              <w:rStyle w:val="Numeropagina"/>
              <w:rFonts w:ascii="Arial" w:hAnsi="Arial" w:cs="Arial"/>
              <w:sz w:val="20"/>
            </w:rPr>
            <w:fldChar w:fldCharType="end"/>
          </w:r>
        </w:p>
      </w:tc>
    </w:tr>
  </w:tbl>
  <w:p>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2017.2.0</w:t>
          </w:r>
        </w:p>
      </w:tc>
      <w:tc>
        <w:tcPr>
          <w:tcW w:w="1701" w:type="dxa"/>
        </w:tcPr>
        <w:p>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14</w:t>
          </w:r>
          <w:r>
            <w:rPr>
              <w:rStyle w:val="Numeropagina"/>
              <w:rFonts w:ascii="Arial" w:hAnsi="Arial" w:cs="Arial"/>
              <w:sz w:val="20"/>
            </w:rPr>
            <w:fldChar w:fldCharType="end"/>
          </w:r>
        </w:p>
        <w:p>
          <w:pPr>
            <w:spacing w:line="240" w:lineRule="atLeast"/>
            <w:jc w:val="right"/>
            <w:rPr>
              <w:rStyle w:val="Numeropagina"/>
              <w:rFonts w:ascii="Arial" w:hAnsi="Arial" w:cs="Arial"/>
              <w:sz w:val="20"/>
            </w:rPr>
          </w:pPr>
          <w:r>
            <w:rPr>
              <w:rStyle w:val="Numeropagina"/>
              <w:rFonts w:ascii="Arial" w:hAnsi="Arial" w:cs="Arial"/>
              <w:sz w:val="20"/>
            </w:rPr>
          </w:r>
          <w:r>
            <w:rPr>
              <w:rStyle w:val="Numeropagina"/>
              <w:rFonts w:ascii="Arial" w:hAnsi="Arial" w:cs="Arial"/>
              <w:sz w:val="20"/>
            </w:rPr>
            <w:pict>
              <v:roundrect id="AutoShape 1" o:spid="_x0000_s2049" style="width:68.6pt;height:12.45pt;visibility:visible;mso-left-percent:-10001;mso-top-percent:-10001;mso-position-horizontal:absolute;mso-position-horizontal-relative:char;mso-position-vertical:absolute;mso-position-vertical-relative:line;mso-left-percent:-10001;mso-top-percent:-10001" arcsize="10923f" filled="f" fillcolor="#365f91" strokecolor="#365f91 [2404]">
                <v:textbox style="mso-next-textbox:#AutoShape 1" inset=",.3mm,,.3mm">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wrap type="none"/>
                <w10:anchorlock/>
              </v:roundrect>
            </w:pict>
          </w:r>
        </w:p>
      </w:tc>
    </w:tr>
  </w:tbl>
  <w:p>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trPr>
        <w:cantSplit/>
      </w:trPr>
      <w:tc>
        <w:tcPr>
          <w:tcW w:w="2835" w:type="dxa"/>
          <w:tcBorders>
            <w:top w:val="nil"/>
            <w:left w:val="nil"/>
            <w:bottom w:val="single" w:sz="4" w:space="0" w:color="auto"/>
            <w:right w:val="nil"/>
          </w:tcBorders>
        </w:tcPr>
        <w:p>
          <w:pPr>
            <w:pStyle w:val="Intestazione"/>
            <w:rPr>
              <w:rFonts w:ascii="Courier" w:hAnsi="Courier"/>
              <w:b/>
            </w:rPr>
          </w:pPr>
          <w:r>
            <w:rPr>
              <w:rFonts w:ascii="Courier" w:hAnsi="Courier"/>
              <w:b/>
              <w:noProof/>
            </w:rPr>
            <w:drawing>
              <wp:inline distT="0" distB="0" distL="0" distR="0">
                <wp:extent cx="1693545" cy="367030"/>
                <wp:effectExtent l="0" t="0" r="1905" b="0"/>
                <wp:docPr id="10" name="Immagine 10"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pPr>
            <w:pStyle w:val="Intestazione"/>
            <w:jc w:val="right"/>
            <w:rPr>
              <w:rFonts w:ascii="Arial" w:hAnsi="Arial" w:cs="Arial"/>
            </w:rPr>
          </w:pPr>
        </w:p>
      </w:tc>
    </w:tr>
    <w:tr>
      <w:trPr>
        <w:cantSplit/>
      </w:trPr>
      <w:tc>
        <w:tcPr>
          <w:tcW w:w="9639" w:type="dxa"/>
          <w:gridSpan w:val="3"/>
          <w:tcBorders>
            <w:top w:val="single" w:sz="4" w:space="0" w:color="auto"/>
            <w:left w:val="nil"/>
            <w:bottom w:val="nil"/>
            <w:right w:val="nil"/>
          </w:tcBorders>
          <w:vAlign w:val="bottom"/>
        </w:tcPr>
        <w:p>
          <w:pPr>
            <w:pStyle w:val="Intestazione"/>
            <w:jc w:val="center"/>
            <w:rPr>
              <w:rFonts w:ascii="Arial" w:hAnsi="Arial" w:cs="Arial"/>
              <w:color w:val="000080"/>
              <w:sz w:val="12"/>
            </w:rPr>
          </w:pPr>
        </w:p>
        <w:p>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pPr>
            <w:pStyle w:val="Intestazione"/>
            <w:rPr>
              <w:rFonts w:ascii="Arial" w:hAnsi="Arial" w:cs="Arial"/>
              <w:b/>
              <w:bCs/>
              <w:color w:val="000080"/>
              <w:sz w:val="10"/>
              <w:szCs w:val="10"/>
            </w:rPr>
          </w:pPr>
        </w:p>
      </w:tc>
    </w:tr>
  </w:tbl>
  <w:p>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trPr>
        <w:trHeight w:hRule="exact" w:val="567"/>
      </w:trPr>
      <w:tc>
        <w:tcPr>
          <w:tcW w:w="9639" w:type="dxa"/>
        </w:tcPr>
        <w:p>
          <w:pPr>
            <w:pStyle w:val="TS-testata-01"/>
            <w:tabs>
              <w:tab w:val="clear" w:pos="9638"/>
            </w:tabs>
            <w:rPr>
              <w:b w:val="0"/>
              <w:color w:val="FFFFFF"/>
              <w:sz w:val="32"/>
            </w:rPr>
          </w:pPr>
          <w:r>
            <w:t>PAGHE – IMPLEMENTAZIONI</w:t>
          </w:r>
        </w:p>
      </w:tc>
    </w:tr>
  </w:tbl>
  <w:p>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85pt;height:13.85pt;visibility:visible;mso-wrap-style:square" o:bullet="t">
        <v:imagedata r:id="rId1" o:title=""/>
      </v:shape>
    </w:pict>
  </w:numPicBullet>
  <w:abstractNum w:abstractNumId="0" w15:restartNumberingAfterBreak="0">
    <w:nsid w:val="00000006"/>
    <w:multiLevelType w:val="singleLevel"/>
    <w:tmpl w:val="00000006"/>
    <w:name w:val="WW8Num14"/>
    <w:lvl w:ilvl="0">
      <w:start w:val="1"/>
      <w:numFmt w:val="bullet"/>
      <w:lvlText w:val=""/>
      <w:lvlJc w:val="left"/>
      <w:pPr>
        <w:tabs>
          <w:tab w:val="num" w:pos="0"/>
        </w:tabs>
        <w:ind w:left="890" w:hanging="360"/>
      </w:pPr>
      <w:rPr>
        <w:rFonts w:ascii="Wingdings" w:hAnsi="Wingdings" w:cs="Wingdings" w:hint="default"/>
      </w:rPr>
    </w:lvl>
  </w:abstractNum>
  <w:abstractNum w:abstractNumId="1" w15:restartNumberingAfterBreak="0">
    <w:nsid w:val="00000007"/>
    <w:multiLevelType w:val="singleLevel"/>
    <w:tmpl w:val="00000007"/>
    <w:name w:val="WW8Num18"/>
    <w:lvl w:ilvl="0">
      <w:start w:val="1"/>
      <w:numFmt w:val="bullet"/>
      <w:lvlText w:val=""/>
      <w:lvlJc w:val="left"/>
      <w:pPr>
        <w:tabs>
          <w:tab w:val="num" w:pos="757"/>
        </w:tabs>
        <w:ind w:left="757" w:hanging="284"/>
      </w:pPr>
      <w:rPr>
        <w:rFonts w:ascii="Wingdings" w:hAnsi="Wingdings" w:cs="Wingdings" w:hint="default"/>
      </w:rPr>
    </w:lvl>
  </w:abstractNum>
  <w:abstractNum w:abstractNumId="2" w15:restartNumberingAfterBreak="0">
    <w:nsid w:val="003E6735"/>
    <w:multiLevelType w:val="hybridMultilevel"/>
    <w:tmpl w:val="4E20B7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1A2C28"/>
    <w:multiLevelType w:val="hybridMultilevel"/>
    <w:tmpl w:val="507C0D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E8678E"/>
    <w:multiLevelType w:val="hybridMultilevel"/>
    <w:tmpl w:val="E282541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451ACA"/>
    <w:multiLevelType w:val="hybridMultilevel"/>
    <w:tmpl w:val="2CF66260"/>
    <w:lvl w:ilvl="0" w:tplc="6DCED66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D91007"/>
    <w:multiLevelType w:val="hybridMultilevel"/>
    <w:tmpl w:val="3F589400"/>
    <w:lvl w:ilvl="0" w:tplc="0410000B">
      <w:start w:val="1"/>
      <w:numFmt w:val="bullet"/>
      <w:lvlText w:val=""/>
      <w:lvlJc w:val="left"/>
      <w:pPr>
        <w:tabs>
          <w:tab w:val="num" w:pos="1276"/>
        </w:tabs>
        <w:ind w:left="1276" w:hanging="360"/>
      </w:pPr>
      <w:rPr>
        <w:rFonts w:ascii="Wingdings" w:hAnsi="Wingdings" w:hint="default"/>
      </w:rPr>
    </w:lvl>
    <w:lvl w:ilvl="1" w:tplc="04100003" w:tentative="1">
      <w:start w:val="1"/>
      <w:numFmt w:val="bullet"/>
      <w:lvlText w:val="o"/>
      <w:lvlJc w:val="left"/>
      <w:pPr>
        <w:tabs>
          <w:tab w:val="num" w:pos="1996"/>
        </w:tabs>
        <w:ind w:left="1996" w:hanging="360"/>
      </w:pPr>
      <w:rPr>
        <w:rFonts w:ascii="Courier New" w:hAnsi="Courier New" w:cs="Courier New" w:hint="default"/>
      </w:rPr>
    </w:lvl>
    <w:lvl w:ilvl="2" w:tplc="04100005" w:tentative="1">
      <w:start w:val="1"/>
      <w:numFmt w:val="bullet"/>
      <w:lvlText w:val=""/>
      <w:lvlJc w:val="left"/>
      <w:pPr>
        <w:tabs>
          <w:tab w:val="num" w:pos="2716"/>
        </w:tabs>
        <w:ind w:left="2716" w:hanging="360"/>
      </w:pPr>
      <w:rPr>
        <w:rFonts w:ascii="Wingdings" w:hAnsi="Wingdings" w:hint="default"/>
      </w:rPr>
    </w:lvl>
    <w:lvl w:ilvl="3" w:tplc="04100001" w:tentative="1">
      <w:start w:val="1"/>
      <w:numFmt w:val="bullet"/>
      <w:lvlText w:val=""/>
      <w:lvlJc w:val="left"/>
      <w:pPr>
        <w:tabs>
          <w:tab w:val="num" w:pos="3436"/>
        </w:tabs>
        <w:ind w:left="3436" w:hanging="360"/>
      </w:pPr>
      <w:rPr>
        <w:rFonts w:ascii="Symbol" w:hAnsi="Symbol" w:hint="default"/>
      </w:rPr>
    </w:lvl>
    <w:lvl w:ilvl="4" w:tplc="04100003" w:tentative="1">
      <w:start w:val="1"/>
      <w:numFmt w:val="bullet"/>
      <w:lvlText w:val="o"/>
      <w:lvlJc w:val="left"/>
      <w:pPr>
        <w:tabs>
          <w:tab w:val="num" w:pos="4156"/>
        </w:tabs>
        <w:ind w:left="4156" w:hanging="360"/>
      </w:pPr>
      <w:rPr>
        <w:rFonts w:ascii="Courier New" w:hAnsi="Courier New" w:cs="Courier New" w:hint="default"/>
      </w:rPr>
    </w:lvl>
    <w:lvl w:ilvl="5" w:tplc="04100005" w:tentative="1">
      <w:start w:val="1"/>
      <w:numFmt w:val="bullet"/>
      <w:lvlText w:val=""/>
      <w:lvlJc w:val="left"/>
      <w:pPr>
        <w:tabs>
          <w:tab w:val="num" w:pos="4876"/>
        </w:tabs>
        <w:ind w:left="4876" w:hanging="360"/>
      </w:pPr>
      <w:rPr>
        <w:rFonts w:ascii="Wingdings" w:hAnsi="Wingdings" w:hint="default"/>
      </w:rPr>
    </w:lvl>
    <w:lvl w:ilvl="6" w:tplc="04100001" w:tentative="1">
      <w:start w:val="1"/>
      <w:numFmt w:val="bullet"/>
      <w:lvlText w:val=""/>
      <w:lvlJc w:val="left"/>
      <w:pPr>
        <w:tabs>
          <w:tab w:val="num" w:pos="5596"/>
        </w:tabs>
        <w:ind w:left="5596" w:hanging="360"/>
      </w:pPr>
      <w:rPr>
        <w:rFonts w:ascii="Symbol" w:hAnsi="Symbol" w:hint="default"/>
      </w:rPr>
    </w:lvl>
    <w:lvl w:ilvl="7" w:tplc="04100003" w:tentative="1">
      <w:start w:val="1"/>
      <w:numFmt w:val="bullet"/>
      <w:lvlText w:val="o"/>
      <w:lvlJc w:val="left"/>
      <w:pPr>
        <w:tabs>
          <w:tab w:val="num" w:pos="6316"/>
        </w:tabs>
        <w:ind w:left="6316" w:hanging="360"/>
      </w:pPr>
      <w:rPr>
        <w:rFonts w:ascii="Courier New" w:hAnsi="Courier New" w:cs="Courier New" w:hint="default"/>
      </w:rPr>
    </w:lvl>
    <w:lvl w:ilvl="8" w:tplc="04100005" w:tentative="1">
      <w:start w:val="1"/>
      <w:numFmt w:val="bullet"/>
      <w:lvlText w:val=""/>
      <w:lvlJc w:val="left"/>
      <w:pPr>
        <w:tabs>
          <w:tab w:val="num" w:pos="7036"/>
        </w:tabs>
        <w:ind w:left="7036" w:hanging="360"/>
      </w:pPr>
      <w:rPr>
        <w:rFonts w:ascii="Wingdings" w:hAnsi="Wingdings" w:hint="default"/>
      </w:rPr>
    </w:lvl>
  </w:abstractNum>
  <w:abstractNum w:abstractNumId="7" w15:restartNumberingAfterBreak="0">
    <w:nsid w:val="10E1390B"/>
    <w:multiLevelType w:val="hybridMultilevel"/>
    <w:tmpl w:val="0FF6CE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0B5E2A"/>
    <w:multiLevelType w:val="hybridMultilevel"/>
    <w:tmpl w:val="5A3898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9D4B38"/>
    <w:multiLevelType w:val="hybridMultilevel"/>
    <w:tmpl w:val="BAF021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021497"/>
    <w:multiLevelType w:val="hybridMultilevel"/>
    <w:tmpl w:val="CA4E8C3A"/>
    <w:lvl w:ilvl="0" w:tplc="C53AF078">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1"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2" w15:restartNumberingAfterBreak="0">
    <w:nsid w:val="183307E5"/>
    <w:multiLevelType w:val="hybridMultilevel"/>
    <w:tmpl w:val="009A81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9D3659A"/>
    <w:multiLevelType w:val="hybridMultilevel"/>
    <w:tmpl w:val="3D542FD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15:restartNumberingAfterBreak="0">
    <w:nsid w:val="1BAE1F49"/>
    <w:multiLevelType w:val="hybridMultilevel"/>
    <w:tmpl w:val="6AB87184"/>
    <w:lvl w:ilvl="0" w:tplc="47BA2694">
      <w:start w:val="8522"/>
      <w:numFmt w:val="bullet"/>
      <w:lvlText w:val="-"/>
      <w:lvlJc w:val="left"/>
      <w:pPr>
        <w:ind w:left="752" w:hanging="360"/>
      </w:pPr>
      <w:rPr>
        <w:rFonts w:ascii="Arial" w:eastAsia="Times New Roman" w:hAnsi="Arial" w:cs="Aria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5" w15:restartNumberingAfterBreak="0">
    <w:nsid w:val="26E02C3A"/>
    <w:multiLevelType w:val="hybridMultilevel"/>
    <w:tmpl w:val="DE60B8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DE26F9"/>
    <w:multiLevelType w:val="hybridMultilevel"/>
    <w:tmpl w:val="98DE231E"/>
    <w:lvl w:ilvl="0" w:tplc="71FAF9B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6862E6"/>
    <w:multiLevelType w:val="hybridMultilevel"/>
    <w:tmpl w:val="A98AC114"/>
    <w:lvl w:ilvl="0" w:tplc="D7380D5E">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97E0ECB"/>
    <w:multiLevelType w:val="hybridMultilevel"/>
    <w:tmpl w:val="782470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575BBE"/>
    <w:multiLevelType w:val="hybridMultilevel"/>
    <w:tmpl w:val="8572E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D95EA7"/>
    <w:multiLevelType w:val="hybridMultilevel"/>
    <w:tmpl w:val="44B08F1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06C4F33"/>
    <w:multiLevelType w:val="hybridMultilevel"/>
    <w:tmpl w:val="2632B5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2EF3F7C"/>
    <w:multiLevelType w:val="hybridMultilevel"/>
    <w:tmpl w:val="BA2CDDC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69F2F50"/>
    <w:multiLevelType w:val="hybridMultilevel"/>
    <w:tmpl w:val="BA840C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894320C"/>
    <w:multiLevelType w:val="hybridMultilevel"/>
    <w:tmpl w:val="5A7A566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AEF0FC9"/>
    <w:multiLevelType w:val="hybridMultilevel"/>
    <w:tmpl w:val="007E2E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DAA5C75"/>
    <w:multiLevelType w:val="hybridMultilevel"/>
    <w:tmpl w:val="6D142A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F9E43CC"/>
    <w:multiLevelType w:val="hybridMultilevel"/>
    <w:tmpl w:val="D6B431EE"/>
    <w:lvl w:ilvl="0" w:tplc="C7CA1D0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1F758F3"/>
    <w:multiLevelType w:val="hybridMultilevel"/>
    <w:tmpl w:val="257A21CE"/>
    <w:lvl w:ilvl="0" w:tplc="D0644046">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94B0315"/>
    <w:multiLevelType w:val="hybridMultilevel"/>
    <w:tmpl w:val="6D166D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4F6C1D"/>
    <w:multiLevelType w:val="hybridMultilevel"/>
    <w:tmpl w:val="A678D0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C686EAA"/>
    <w:multiLevelType w:val="hybridMultilevel"/>
    <w:tmpl w:val="AA620A8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6657F2"/>
    <w:multiLevelType w:val="hybridMultilevel"/>
    <w:tmpl w:val="4A88B5D6"/>
    <w:lvl w:ilvl="0" w:tplc="7C761D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0290A90"/>
    <w:multiLevelType w:val="hybridMultilevel"/>
    <w:tmpl w:val="22764A36"/>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1323BFD"/>
    <w:multiLevelType w:val="hybridMultilevel"/>
    <w:tmpl w:val="339C6450"/>
    <w:lvl w:ilvl="0" w:tplc="E19CDF1E">
      <w:start w:val="2"/>
      <w:numFmt w:val="bullet"/>
      <w:lvlText w:val="-"/>
      <w:lvlJc w:val="left"/>
      <w:pPr>
        <w:ind w:left="720" w:hanging="360"/>
      </w:pPr>
      <w:rPr>
        <w:rFonts w:ascii="Arial" w:eastAsia="Times New Roman" w:hAnsi="Arial" w:cs="Aria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5847079"/>
    <w:multiLevelType w:val="hybridMultilevel"/>
    <w:tmpl w:val="A6FA71D8"/>
    <w:lvl w:ilvl="0" w:tplc="81669CE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7677A7"/>
    <w:multiLevelType w:val="hybridMultilevel"/>
    <w:tmpl w:val="4BB86A2E"/>
    <w:lvl w:ilvl="0" w:tplc="C682094A">
      <w:start w:val="1"/>
      <w:numFmt w:val="bullet"/>
      <w:lvlText w:val="-"/>
      <w:lvlJc w:val="left"/>
      <w:pPr>
        <w:ind w:left="720" w:hanging="360"/>
      </w:pPr>
      <w:rPr>
        <w:rFonts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8B27FDD"/>
    <w:multiLevelType w:val="hybridMultilevel"/>
    <w:tmpl w:val="1A7C6C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FDE0567"/>
    <w:multiLevelType w:val="hybridMultilevel"/>
    <w:tmpl w:val="FDD445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1722508"/>
    <w:multiLevelType w:val="hybridMultilevel"/>
    <w:tmpl w:val="DCCC3FD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0" w15:restartNumberingAfterBreak="0">
    <w:nsid w:val="661C19CA"/>
    <w:multiLevelType w:val="hybridMultilevel"/>
    <w:tmpl w:val="AE6CDD2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CB81B5A"/>
    <w:multiLevelType w:val="hybridMultilevel"/>
    <w:tmpl w:val="E77032E0"/>
    <w:lvl w:ilvl="0" w:tplc="9F724C54">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2"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65242B"/>
    <w:multiLevelType w:val="hybridMultilevel"/>
    <w:tmpl w:val="1304EDA2"/>
    <w:lvl w:ilvl="0" w:tplc="43A2FFD0">
      <w:start w:val="1"/>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E985254"/>
    <w:multiLevelType w:val="hybridMultilevel"/>
    <w:tmpl w:val="7B4A21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5"/>
  </w:num>
  <w:num w:numId="4">
    <w:abstractNumId w:val="29"/>
  </w:num>
  <w:num w:numId="5">
    <w:abstractNumId w:val="14"/>
  </w:num>
  <w:num w:numId="6">
    <w:abstractNumId w:val="41"/>
  </w:num>
  <w:num w:numId="7">
    <w:abstractNumId w:val="20"/>
  </w:num>
  <w:num w:numId="8">
    <w:abstractNumId w:val="3"/>
  </w:num>
  <w:num w:numId="9">
    <w:abstractNumId w:val="26"/>
  </w:num>
  <w:num w:numId="10">
    <w:abstractNumId w:val="33"/>
  </w:num>
  <w:num w:numId="11">
    <w:abstractNumId w:val="37"/>
  </w:num>
  <w:num w:numId="12">
    <w:abstractNumId w:val="12"/>
  </w:num>
  <w:num w:numId="13">
    <w:abstractNumId w:val="21"/>
  </w:num>
  <w:num w:numId="14">
    <w:abstractNumId w:val="31"/>
  </w:num>
  <w:num w:numId="15">
    <w:abstractNumId w:val="34"/>
  </w:num>
  <w:num w:numId="16">
    <w:abstractNumId w:val="18"/>
  </w:num>
  <w:num w:numId="17">
    <w:abstractNumId w:val="30"/>
  </w:num>
  <w:num w:numId="18">
    <w:abstractNumId w:val="43"/>
  </w:num>
  <w:num w:numId="19">
    <w:abstractNumId w:val="24"/>
  </w:num>
  <w:num w:numId="20">
    <w:abstractNumId w:val="10"/>
  </w:num>
  <w:num w:numId="21">
    <w:abstractNumId w:val="19"/>
  </w:num>
  <w:num w:numId="22">
    <w:abstractNumId w:val="13"/>
  </w:num>
  <w:num w:numId="23">
    <w:abstractNumId w:val="32"/>
  </w:num>
  <w:num w:numId="24">
    <w:abstractNumId w:val="15"/>
  </w:num>
  <w:num w:numId="25">
    <w:abstractNumId w:val="39"/>
  </w:num>
  <w:num w:numId="26">
    <w:abstractNumId w:val="44"/>
  </w:num>
  <w:num w:numId="27">
    <w:abstractNumId w:val="35"/>
  </w:num>
  <w:num w:numId="28">
    <w:abstractNumId w:val="4"/>
  </w:num>
  <w:num w:numId="29">
    <w:abstractNumId w:val="17"/>
  </w:num>
  <w:num w:numId="30">
    <w:abstractNumId w:val="16"/>
  </w:num>
  <w:num w:numId="31">
    <w:abstractNumId w:val="40"/>
  </w:num>
  <w:num w:numId="32">
    <w:abstractNumId w:val="9"/>
  </w:num>
  <w:num w:numId="33">
    <w:abstractNumId w:val="22"/>
  </w:num>
  <w:num w:numId="34">
    <w:abstractNumId w:val="42"/>
  </w:num>
  <w:num w:numId="35">
    <w:abstractNumId w:val="36"/>
  </w:num>
  <w:num w:numId="36">
    <w:abstractNumId w:val="2"/>
  </w:num>
  <w:num w:numId="37">
    <w:abstractNumId w:val="5"/>
  </w:num>
  <w:num w:numId="38">
    <w:abstractNumId w:val="28"/>
  </w:num>
  <w:num w:numId="39">
    <w:abstractNumId w:val="8"/>
  </w:num>
  <w:num w:numId="40">
    <w:abstractNumId w:val="7"/>
  </w:num>
  <w:num w:numId="41">
    <w:abstractNumId w:val="27"/>
  </w:num>
  <w:num w:numId="42">
    <w:abstractNumId w:val="23"/>
  </w:num>
  <w:num w:numId="43">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2051" fill="f" fillcolor="white" strokecolor="red">
      <v:fill color="white" on="f"/>
      <v:stroke color="red" weight="1.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1.25pt"/>
    </o:shapedefaults>
    <o:shapelayout v:ext="edit">
      <o:idmap v:ext="edit" data="1"/>
    </o:shapelayout>
  </w:shapeDefaults>
  <w:decimalSymbol w:val=","/>
  <w:listSeparator w:val=";"/>
  <w15:docId w15:val="{C0E91E20-DDBA-48EE-A7F0-D580937A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left" w:pos="993"/>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character" w:customStyle="1" w:styleId="TS-titolo-01Carattere">
    <w:name w:val="TS-titolo-01 Carattere"/>
    <w:link w:val="TS-titolo-01"/>
    <w:rPr>
      <w:rFonts w:ascii="Arial" w:hAnsi="Arial" w:cs="Arial"/>
      <w:b/>
      <w:i/>
      <w:sz w:val="28"/>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qFormat/>
    <w:rPr>
      <w:b/>
      <w:bCs/>
      <w:i w:val="0"/>
      <w:iCs w:val="0"/>
    </w:rPr>
  </w:style>
  <w:style w:type="paragraph" w:customStyle="1" w:styleId="Ignora">
    <w:name w:val="Ignora"/>
    <w:basedOn w:val="CorpoAltF0"/>
    <w:qFormat/>
  </w:style>
  <w:style w:type="character" w:customStyle="1" w:styleId="Corpodeltesto3Carattere">
    <w:name w:val="Corpo del testo 3 Carattere"/>
    <w:basedOn w:val="Carpredefinitoparagrafo"/>
    <w:link w:val="Corpodeltesto3"/>
    <w:rPr>
      <w:rFonts w:ascii="Arial" w:hAnsi="Arial"/>
      <w:b/>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5292">
      <w:bodyDiv w:val="1"/>
      <w:marLeft w:val="0"/>
      <w:marRight w:val="0"/>
      <w:marTop w:val="0"/>
      <w:marBottom w:val="0"/>
      <w:divBdr>
        <w:top w:val="none" w:sz="0" w:space="0" w:color="auto"/>
        <w:left w:val="none" w:sz="0" w:space="0" w:color="auto"/>
        <w:bottom w:val="none" w:sz="0" w:space="0" w:color="auto"/>
        <w:right w:val="none" w:sz="0" w:space="0" w:color="auto"/>
      </w:divBdr>
      <w:divsChild>
        <w:div w:id="1887911113">
          <w:marLeft w:val="0"/>
          <w:marRight w:val="0"/>
          <w:marTop w:val="0"/>
          <w:marBottom w:val="0"/>
          <w:divBdr>
            <w:top w:val="none" w:sz="0" w:space="0" w:color="auto"/>
            <w:left w:val="none" w:sz="0" w:space="0" w:color="auto"/>
            <w:bottom w:val="none" w:sz="0" w:space="0" w:color="auto"/>
            <w:right w:val="none" w:sz="0" w:space="0" w:color="auto"/>
          </w:divBdr>
          <w:divsChild>
            <w:div w:id="998192128">
              <w:marLeft w:val="0"/>
              <w:marRight w:val="0"/>
              <w:marTop w:val="0"/>
              <w:marBottom w:val="0"/>
              <w:divBdr>
                <w:top w:val="none" w:sz="0" w:space="0" w:color="auto"/>
                <w:left w:val="none" w:sz="0" w:space="0" w:color="auto"/>
                <w:bottom w:val="none" w:sz="0" w:space="0" w:color="auto"/>
                <w:right w:val="none" w:sz="0" w:space="0" w:color="auto"/>
              </w:divBdr>
              <w:divsChild>
                <w:div w:id="560024906">
                  <w:marLeft w:val="0"/>
                  <w:marRight w:val="0"/>
                  <w:marTop w:val="0"/>
                  <w:marBottom w:val="0"/>
                  <w:divBdr>
                    <w:top w:val="none" w:sz="0" w:space="0" w:color="auto"/>
                    <w:left w:val="none" w:sz="0" w:space="0" w:color="auto"/>
                    <w:bottom w:val="none" w:sz="0" w:space="0" w:color="auto"/>
                    <w:right w:val="none" w:sz="0" w:space="0" w:color="auto"/>
                  </w:divBdr>
                  <w:divsChild>
                    <w:div w:id="643313024">
                      <w:marLeft w:val="150"/>
                      <w:marRight w:val="150"/>
                      <w:marTop w:val="120"/>
                      <w:marBottom w:val="0"/>
                      <w:divBdr>
                        <w:top w:val="none" w:sz="0" w:space="0" w:color="auto"/>
                        <w:left w:val="none" w:sz="0" w:space="0" w:color="auto"/>
                        <w:bottom w:val="none" w:sz="0" w:space="0" w:color="auto"/>
                        <w:right w:val="none" w:sz="0" w:space="0" w:color="auto"/>
                      </w:divBdr>
                      <w:divsChild>
                        <w:div w:id="702828083">
                          <w:marLeft w:val="0"/>
                          <w:marRight w:val="0"/>
                          <w:marTop w:val="0"/>
                          <w:marBottom w:val="0"/>
                          <w:divBdr>
                            <w:top w:val="none" w:sz="0" w:space="0" w:color="auto"/>
                            <w:left w:val="none" w:sz="0" w:space="0" w:color="auto"/>
                            <w:bottom w:val="none" w:sz="0" w:space="0" w:color="auto"/>
                            <w:right w:val="single" w:sz="6" w:space="8" w:color="DDDDDD"/>
                          </w:divBdr>
                          <w:divsChild>
                            <w:div w:id="1828789027">
                              <w:marLeft w:val="0"/>
                              <w:marRight w:val="0"/>
                              <w:marTop w:val="0"/>
                              <w:marBottom w:val="0"/>
                              <w:divBdr>
                                <w:top w:val="none" w:sz="0" w:space="0" w:color="auto"/>
                                <w:left w:val="none" w:sz="0" w:space="0" w:color="auto"/>
                                <w:bottom w:val="none" w:sz="0" w:space="0" w:color="auto"/>
                                <w:right w:val="none" w:sz="0" w:space="0" w:color="auto"/>
                              </w:divBdr>
                              <w:divsChild>
                                <w:div w:id="677121778">
                                  <w:marLeft w:val="0"/>
                                  <w:marRight w:val="0"/>
                                  <w:marTop w:val="0"/>
                                  <w:marBottom w:val="0"/>
                                  <w:divBdr>
                                    <w:top w:val="none" w:sz="0" w:space="0" w:color="auto"/>
                                    <w:left w:val="none" w:sz="0" w:space="0" w:color="auto"/>
                                    <w:bottom w:val="none" w:sz="0" w:space="0" w:color="auto"/>
                                    <w:right w:val="none" w:sz="0" w:space="0" w:color="auto"/>
                                  </w:divBdr>
                                  <w:divsChild>
                                    <w:div w:id="1627733351">
                                      <w:marLeft w:val="0"/>
                                      <w:marRight w:val="0"/>
                                      <w:marTop w:val="0"/>
                                      <w:marBottom w:val="0"/>
                                      <w:divBdr>
                                        <w:top w:val="none" w:sz="0" w:space="0" w:color="auto"/>
                                        <w:left w:val="none" w:sz="0" w:space="0" w:color="auto"/>
                                        <w:bottom w:val="none" w:sz="0" w:space="0" w:color="auto"/>
                                        <w:right w:val="none" w:sz="0" w:space="0" w:color="auto"/>
                                      </w:divBdr>
                                      <w:divsChild>
                                        <w:div w:id="12777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52628">
      <w:bodyDiv w:val="1"/>
      <w:marLeft w:val="0"/>
      <w:marRight w:val="0"/>
      <w:marTop w:val="0"/>
      <w:marBottom w:val="0"/>
      <w:divBdr>
        <w:top w:val="none" w:sz="0" w:space="0" w:color="auto"/>
        <w:left w:val="none" w:sz="0" w:space="0" w:color="auto"/>
        <w:bottom w:val="none" w:sz="0" w:space="0" w:color="auto"/>
        <w:right w:val="none" w:sz="0" w:space="0" w:color="auto"/>
      </w:divBdr>
    </w:div>
    <w:div w:id="61951878">
      <w:bodyDiv w:val="1"/>
      <w:marLeft w:val="0"/>
      <w:marRight w:val="0"/>
      <w:marTop w:val="0"/>
      <w:marBottom w:val="0"/>
      <w:divBdr>
        <w:top w:val="none" w:sz="0" w:space="0" w:color="auto"/>
        <w:left w:val="none" w:sz="0" w:space="0" w:color="auto"/>
        <w:bottom w:val="none" w:sz="0" w:space="0" w:color="auto"/>
        <w:right w:val="none" w:sz="0" w:space="0" w:color="auto"/>
      </w:divBdr>
    </w:div>
    <w:div w:id="192882101">
      <w:bodyDiv w:val="1"/>
      <w:marLeft w:val="0"/>
      <w:marRight w:val="0"/>
      <w:marTop w:val="0"/>
      <w:marBottom w:val="0"/>
      <w:divBdr>
        <w:top w:val="none" w:sz="0" w:space="0" w:color="auto"/>
        <w:left w:val="none" w:sz="0" w:space="0" w:color="auto"/>
        <w:bottom w:val="none" w:sz="0" w:space="0" w:color="auto"/>
        <w:right w:val="none" w:sz="0" w:space="0" w:color="auto"/>
      </w:divBdr>
    </w:div>
    <w:div w:id="332991996">
      <w:bodyDiv w:val="1"/>
      <w:marLeft w:val="0"/>
      <w:marRight w:val="0"/>
      <w:marTop w:val="0"/>
      <w:marBottom w:val="0"/>
      <w:divBdr>
        <w:top w:val="none" w:sz="0" w:space="0" w:color="auto"/>
        <w:left w:val="none" w:sz="0" w:space="0" w:color="auto"/>
        <w:bottom w:val="none" w:sz="0" w:space="0" w:color="auto"/>
        <w:right w:val="none" w:sz="0" w:space="0" w:color="auto"/>
      </w:divBdr>
      <w:divsChild>
        <w:div w:id="11406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7173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43284787">
      <w:bodyDiv w:val="1"/>
      <w:marLeft w:val="0"/>
      <w:marRight w:val="0"/>
      <w:marTop w:val="0"/>
      <w:marBottom w:val="0"/>
      <w:divBdr>
        <w:top w:val="none" w:sz="0" w:space="0" w:color="auto"/>
        <w:left w:val="none" w:sz="0" w:space="0" w:color="auto"/>
        <w:bottom w:val="none" w:sz="0" w:space="0" w:color="auto"/>
        <w:right w:val="none" w:sz="0" w:space="0" w:color="auto"/>
      </w:divBdr>
      <w:divsChild>
        <w:div w:id="671222115">
          <w:marLeft w:val="0"/>
          <w:marRight w:val="0"/>
          <w:marTop w:val="0"/>
          <w:marBottom w:val="0"/>
          <w:divBdr>
            <w:top w:val="none" w:sz="0" w:space="0" w:color="auto"/>
            <w:left w:val="none" w:sz="0" w:space="0" w:color="auto"/>
            <w:bottom w:val="none" w:sz="0" w:space="0" w:color="auto"/>
            <w:right w:val="none" w:sz="0" w:space="0" w:color="auto"/>
          </w:divBdr>
          <w:divsChild>
            <w:div w:id="2141990863">
              <w:marLeft w:val="0"/>
              <w:marRight w:val="0"/>
              <w:marTop w:val="0"/>
              <w:marBottom w:val="0"/>
              <w:divBdr>
                <w:top w:val="none" w:sz="0" w:space="0" w:color="auto"/>
                <w:left w:val="none" w:sz="0" w:space="0" w:color="auto"/>
                <w:bottom w:val="none" w:sz="0" w:space="0" w:color="auto"/>
                <w:right w:val="none" w:sz="0" w:space="0" w:color="auto"/>
              </w:divBdr>
              <w:divsChild>
                <w:div w:id="571817721">
                  <w:marLeft w:val="0"/>
                  <w:marRight w:val="0"/>
                  <w:marTop w:val="0"/>
                  <w:marBottom w:val="0"/>
                  <w:divBdr>
                    <w:top w:val="none" w:sz="0" w:space="0" w:color="auto"/>
                    <w:left w:val="none" w:sz="0" w:space="0" w:color="auto"/>
                    <w:bottom w:val="none" w:sz="0" w:space="0" w:color="auto"/>
                    <w:right w:val="none" w:sz="0" w:space="0" w:color="auto"/>
                  </w:divBdr>
                  <w:divsChild>
                    <w:div w:id="1829981437">
                      <w:marLeft w:val="150"/>
                      <w:marRight w:val="150"/>
                      <w:marTop w:val="120"/>
                      <w:marBottom w:val="0"/>
                      <w:divBdr>
                        <w:top w:val="none" w:sz="0" w:space="0" w:color="auto"/>
                        <w:left w:val="none" w:sz="0" w:space="0" w:color="auto"/>
                        <w:bottom w:val="none" w:sz="0" w:space="0" w:color="auto"/>
                        <w:right w:val="none" w:sz="0" w:space="0" w:color="auto"/>
                      </w:divBdr>
                      <w:divsChild>
                        <w:div w:id="1751537669">
                          <w:marLeft w:val="0"/>
                          <w:marRight w:val="0"/>
                          <w:marTop w:val="0"/>
                          <w:marBottom w:val="0"/>
                          <w:divBdr>
                            <w:top w:val="none" w:sz="0" w:space="0" w:color="auto"/>
                            <w:left w:val="none" w:sz="0" w:space="0" w:color="auto"/>
                            <w:bottom w:val="none" w:sz="0" w:space="0" w:color="auto"/>
                            <w:right w:val="single" w:sz="6" w:space="8" w:color="DDDDDD"/>
                          </w:divBdr>
                          <w:divsChild>
                            <w:div w:id="1137336970">
                              <w:marLeft w:val="0"/>
                              <w:marRight w:val="0"/>
                              <w:marTop w:val="0"/>
                              <w:marBottom w:val="90"/>
                              <w:divBdr>
                                <w:top w:val="single" w:sz="6" w:space="5" w:color="D7D7D7"/>
                                <w:left w:val="single" w:sz="6" w:space="5" w:color="D7D7D7"/>
                                <w:bottom w:val="single" w:sz="6" w:space="5" w:color="D7D7D7"/>
                                <w:right w:val="single" w:sz="6" w:space="5" w:color="D7D7D7"/>
                              </w:divBdr>
                              <w:divsChild>
                                <w:div w:id="1255557263">
                                  <w:marLeft w:val="0"/>
                                  <w:marRight w:val="0"/>
                                  <w:marTop w:val="0"/>
                                  <w:marBottom w:val="0"/>
                                  <w:divBdr>
                                    <w:top w:val="none" w:sz="0" w:space="0" w:color="auto"/>
                                    <w:left w:val="none" w:sz="0" w:space="0" w:color="auto"/>
                                    <w:bottom w:val="none" w:sz="0" w:space="0" w:color="auto"/>
                                    <w:right w:val="none" w:sz="0" w:space="0" w:color="auto"/>
                                  </w:divBdr>
                                  <w:divsChild>
                                    <w:div w:id="16283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70032690">
      <w:bodyDiv w:val="1"/>
      <w:marLeft w:val="0"/>
      <w:marRight w:val="0"/>
      <w:marTop w:val="0"/>
      <w:marBottom w:val="0"/>
      <w:divBdr>
        <w:top w:val="none" w:sz="0" w:space="0" w:color="auto"/>
        <w:left w:val="none" w:sz="0" w:space="0" w:color="auto"/>
        <w:bottom w:val="none" w:sz="0" w:space="0" w:color="auto"/>
        <w:right w:val="none" w:sz="0" w:space="0" w:color="auto"/>
      </w:divBdr>
      <w:divsChild>
        <w:div w:id="1745299062">
          <w:marLeft w:val="0"/>
          <w:marRight w:val="0"/>
          <w:marTop w:val="0"/>
          <w:marBottom w:val="0"/>
          <w:divBdr>
            <w:top w:val="none" w:sz="0" w:space="0" w:color="auto"/>
            <w:left w:val="none" w:sz="0" w:space="0" w:color="auto"/>
            <w:bottom w:val="none" w:sz="0" w:space="0" w:color="auto"/>
            <w:right w:val="none" w:sz="0" w:space="0" w:color="auto"/>
          </w:divBdr>
          <w:divsChild>
            <w:div w:id="1547983991">
              <w:marLeft w:val="0"/>
              <w:marRight w:val="0"/>
              <w:marTop w:val="0"/>
              <w:marBottom w:val="0"/>
              <w:divBdr>
                <w:top w:val="none" w:sz="0" w:space="0" w:color="auto"/>
                <w:left w:val="none" w:sz="0" w:space="0" w:color="auto"/>
                <w:bottom w:val="none" w:sz="0" w:space="0" w:color="auto"/>
                <w:right w:val="none" w:sz="0" w:space="0" w:color="auto"/>
              </w:divBdr>
              <w:divsChild>
                <w:div w:id="1098871001">
                  <w:marLeft w:val="0"/>
                  <w:marRight w:val="0"/>
                  <w:marTop w:val="0"/>
                  <w:marBottom w:val="0"/>
                  <w:divBdr>
                    <w:top w:val="none" w:sz="0" w:space="0" w:color="auto"/>
                    <w:left w:val="none" w:sz="0" w:space="0" w:color="auto"/>
                    <w:bottom w:val="none" w:sz="0" w:space="0" w:color="auto"/>
                    <w:right w:val="none" w:sz="0" w:space="0" w:color="auto"/>
                  </w:divBdr>
                  <w:divsChild>
                    <w:div w:id="356346269">
                      <w:marLeft w:val="150"/>
                      <w:marRight w:val="150"/>
                      <w:marTop w:val="120"/>
                      <w:marBottom w:val="0"/>
                      <w:divBdr>
                        <w:top w:val="none" w:sz="0" w:space="0" w:color="auto"/>
                        <w:left w:val="none" w:sz="0" w:space="0" w:color="auto"/>
                        <w:bottom w:val="none" w:sz="0" w:space="0" w:color="auto"/>
                        <w:right w:val="none" w:sz="0" w:space="0" w:color="auto"/>
                      </w:divBdr>
                      <w:divsChild>
                        <w:div w:id="1157575527">
                          <w:marLeft w:val="0"/>
                          <w:marRight w:val="0"/>
                          <w:marTop w:val="0"/>
                          <w:marBottom w:val="0"/>
                          <w:divBdr>
                            <w:top w:val="none" w:sz="0" w:space="0" w:color="auto"/>
                            <w:left w:val="none" w:sz="0" w:space="0" w:color="auto"/>
                            <w:bottom w:val="none" w:sz="0" w:space="0" w:color="auto"/>
                            <w:right w:val="single" w:sz="6" w:space="8" w:color="DDDDDD"/>
                          </w:divBdr>
                          <w:divsChild>
                            <w:div w:id="1897088383">
                              <w:marLeft w:val="0"/>
                              <w:marRight w:val="0"/>
                              <w:marTop w:val="0"/>
                              <w:marBottom w:val="0"/>
                              <w:divBdr>
                                <w:top w:val="none" w:sz="0" w:space="0" w:color="auto"/>
                                <w:left w:val="none" w:sz="0" w:space="0" w:color="auto"/>
                                <w:bottom w:val="none" w:sz="0" w:space="0" w:color="auto"/>
                                <w:right w:val="none" w:sz="0" w:space="0" w:color="auto"/>
                              </w:divBdr>
                              <w:divsChild>
                                <w:div w:id="2032410379">
                                  <w:marLeft w:val="0"/>
                                  <w:marRight w:val="0"/>
                                  <w:marTop w:val="0"/>
                                  <w:marBottom w:val="0"/>
                                  <w:divBdr>
                                    <w:top w:val="none" w:sz="0" w:space="0" w:color="auto"/>
                                    <w:left w:val="none" w:sz="0" w:space="0" w:color="auto"/>
                                    <w:bottom w:val="none" w:sz="0" w:space="0" w:color="auto"/>
                                    <w:right w:val="none" w:sz="0" w:space="0" w:color="auto"/>
                                  </w:divBdr>
                                  <w:divsChild>
                                    <w:div w:id="1780103655">
                                      <w:marLeft w:val="0"/>
                                      <w:marRight w:val="0"/>
                                      <w:marTop w:val="0"/>
                                      <w:marBottom w:val="0"/>
                                      <w:divBdr>
                                        <w:top w:val="none" w:sz="0" w:space="0" w:color="auto"/>
                                        <w:left w:val="none" w:sz="0" w:space="0" w:color="auto"/>
                                        <w:bottom w:val="none" w:sz="0" w:space="0" w:color="auto"/>
                                        <w:right w:val="none" w:sz="0" w:space="0" w:color="auto"/>
                                      </w:divBdr>
                                      <w:divsChild>
                                        <w:div w:id="15852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0633781">
      <w:bodyDiv w:val="1"/>
      <w:marLeft w:val="0"/>
      <w:marRight w:val="0"/>
      <w:marTop w:val="0"/>
      <w:marBottom w:val="0"/>
      <w:divBdr>
        <w:top w:val="none" w:sz="0" w:space="0" w:color="auto"/>
        <w:left w:val="none" w:sz="0" w:space="0" w:color="auto"/>
        <w:bottom w:val="none" w:sz="0" w:space="0" w:color="auto"/>
        <w:right w:val="none" w:sz="0" w:space="0" w:color="auto"/>
      </w:divBdr>
    </w:div>
    <w:div w:id="491066332">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505025945">
      <w:bodyDiv w:val="1"/>
      <w:marLeft w:val="0"/>
      <w:marRight w:val="0"/>
      <w:marTop w:val="0"/>
      <w:marBottom w:val="0"/>
      <w:divBdr>
        <w:top w:val="none" w:sz="0" w:space="0" w:color="auto"/>
        <w:left w:val="none" w:sz="0" w:space="0" w:color="auto"/>
        <w:bottom w:val="none" w:sz="0" w:space="0" w:color="auto"/>
        <w:right w:val="none" w:sz="0" w:space="0" w:color="auto"/>
      </w:divBdr>
    </w:div>
    <w:div w:id="531961644">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856772791">
      <w:bodyDiv w:val="1"/>
      <w:marLeft w:val="0"/>
      <w:marRight w:val="0"/>
      <w:marTop w:val="0"/>
      <w:marBottom w:val="0"/>
      <w:divBdr>
        <w:top w:val="none" w:sz="0" w:space="0" w:color="auto"/>
        <w:left w:val="none" w:sz="0" w:space="0" w:color="auto"/>
        <w:bottom w:val="none" w:sz="0" w:space="0" w:color="auto"/>
        <w:right w:val="none" w:sz="0" w:space="0" w:color="auto"/>
      </w:divBdr>
    </w:div>
    <w:div w:id="906262063">
      <w:bodyDiv w:val="1"/>
      <w:marLeft w:val="0"/>
      <w:marRight w:val="0"/>
      <w:marTop w:val="0"/>
      <w:marBottom w:val="0"/>
      <w:divBdr>
        <w:top w:val="none" w:sz="0" w:space="0" w:color="auto"/>
        <w:left w:val="none" w:sz="0" w:space="0" w:color="auto"/>
        <w:bottom w:val="none" w:sz="0" w:space="0" w:color="auto"/>
        <w:right w:val="none" w:sz="0" w:space="0" w:color="auto"/>
      </w:divBdr>
    </w:div>
    <w:div w:id="950629428">
      <w:bodyDiv w:val="1"/>
      <w:marLeft w:val="0"/>
      <w:marRight w:val="0"/>
      <w:marTop w:val="0"/>
      <w:marBottom w:val="0"/>
      <w:divBdr>
        <w:top w:val="none" w:sz="0" w:space="0" w:color="auto"/>
        <w:left w:val="none" w:sz="0" w:space="0" w:color="auto"/>
        <w:bottom w:val="none" w:sz="0" w:space="0" w:color="auto"/>
        <w:right w:val="none" w:sz="0" w:space="0" w:color="auto"/>
      </w:divBdr>
      <w:divsChild>
        <w:div w:id="2745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64916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146437947">
      <w:bodyDiv w:val="1"/>
      <w:marLeft w:val="0"/>
      <w:marRight w:val="0"/>
      <w:marTop w:val="0"/>
      <w:marBottom w:val="0"/>
      <w:divBdr>
        <w:top w:val="none" w:sz="0" w:space="0" w:color="auto"/>
        <w:left w:val="none" w:sz="0" w:space="0" w:color="auto"/>
        <w:bottom w:val="none" w:sz="0" w:space="0" w:color="auto"/>
        <w:right w:val="none" w:sz="0" w:space="0" w:color="auto"/>
      </w:divBdr>
      <w:divsChild>
        <w:div w:id="573667508">
          <w:marLeft w:val="0"/>
          <w:marRight w:val="0"/>
          <w:marTop w:val="0"/>
          <w:marBottom w:val="0"/>
          <w:divBdr>
            <w:top w:val="none" w:sz="0" w:space="0" w:color="auto"/>
            <w:left w:val="none" w:sz="0" w:space="0" w:color="auto"/>
            <w:bottom w:val="none" w:sz="0" w:space="0" w:color="auto"/>
            <w:right w:val="none" w:sz="0" w:space="0" w:color="auto"/>
          </w:divBdr>
          <w:divsChild>
            <w:div w:id="2065255166">
              <w:marLeft w:val="0"/>
              <w:marRight w:val="0"/>
              <w:marTop w:val="0"/>
              <w:marBottom w:val="0"/>
              <w:divBdr>
                <w:top w:val="none" w:sz="0" w:space="0" w:color="auto"/>
                <w:left w:val="none" w:sz="0" w:space="0" w:color="auto"/>
                <w:bottom w:val="none" w:sz="0" w:space="0" w:color="auto"/>
                <w:right w:val="none" w:sz="0" w:space="0" w:color="auto"/>
              </w:divBdr>
              <w:divsChild>
                <w:div w:id="1597246051">
                  <w:marLeft w:val="0"/>
                  <w:marRight w:val="0"/>
                  <w:marTop w:val="0"/>
                  <w:marBottom w:val="0"/>
                  <w:divBdr>
                    <w:top w:val="none" w:sz="0" w:space="0" w:color="auto"/>
                    <w:left w:val="none" w:sz="0" w:space="0" w:color="auto"/>
                    <w:bottom w:val="none" w:sz="0" w:space="0" w:color="auto"/>
                    <w:right w:val="none" w:sz="0" w:space="0" w:color="auto"/>
                  </w:divBdr>
                  <w:divsChild>
                    <w:div w:id="77406696">
                      <w:marLeft w:val="150"/>
                      <w:marRight w:val="150"/>
                      <w:marTop w:val="120"/>
                      <w:marBottom w:val="0"/>
                      <w:divBdr>
                        <w:top w:val="none" w:sz="0" w:space="0" w:color="auto"/>
                        <w:left w:val="none" w:sz="0" w:space="0" w:color="auto"/>
                        <w:bottom w:val="none" w:sz="0" w:space="0" w:color="auto"/>
                        <w:right w:val="none" w:sz="0" w:space="0" w:color="auto"/>
                      </w:divBdr>
                      <w:divsChild>
                        <w:div w:id="1634746953">
                          <w:marLeft w:val="0"/>
                          <w:marRight w:val="0"/>
                          <w:marTop w:val="0"/>
                          <w:marBottom w:val="0"/>
                          <w:divBdr>
                            <w:top w:val="none" w:sz="0" w:space="0" w:color="auto"/>
                            <w:left w:val="none" w:sz="0" w:space="0" w:color="auto"/>
                            <w:bottom w:val="none" w:sz="0" w:space="0" w:color="auto"/>
                            <w:right w:val="single" w:sz="6" w:space="8" w:color="DDDDDD"/>
                          </w:divBdr>
                          <w:divsChild>
                            <w:div w:id="244657608">
                              <w:marLeft w:val="0"/>
                              <w:marRight w:val="0"/>
                              <w:marTop w:val="0"/>
                              <w:marBottom w:val="90"/>
                              <w:divBdr>
                                <w:top w:val="single" w:sz="6" w:space="5" w:color="D7D7D7"/>
                                <w:left w:val="single" w:sz="6" w:space="5" w:color="D7D7D7"/>
                                <w:bottom w:val="single" w:sz="6" w:space="5" w:color="D7D7D7"/>
                                <w:right w:val="single" w:sz="6" w:space="5" w:color="D7D7D7"/>
                              </w:divBdr>
                              <w:divsChild>
                                <w:div w:id="1287076918">
                                  <w:marLeft w:val="0"/>
                                  <w:marRight w:val="0"/>
                                  <w:marTop w:val="0"/>
                                  <w:marBottom w:val="0"/>
                                  <w:divBdr>
                                    <w:top w:val="none" w:sz="0" w:space="0" w:color="auto"/>
                                    <w:left w:val="none" w:sz="0" w:space="0" w:color="auto"/>
                                    <w:bottom w:val="none" w:sz="0" w:space="0" w:color="auto"/>
                                    <w:right w:val="none" w:sz="0" w:space="0" w:color="auto"/>
                                  </w:divBdr>
                                  <w:divsChild>
                                    <w:div w:id="14539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060839">
      <w:bodyDiv w:val="1"/>
      <w:marLeft w:val="0"/>
      <w:marRight w:val="0"/>
      <w:marTop w:val="0"/>
      <w:marBottom w:val="0"/>
      <w:divBdr>
        <w:top w:val="none" w:sz="0" w:space="0" w:color="auto"/>
        <w:left w:val="none" w:sz="0" w:space="0" w:color="auto"/>
        <w:bottom w:val="none" w:sz="0" w:space="0" w:color="auto"/>
        <w:right w:val="none" w:sz="0" w:space="0" w:color="auto"/>
      </w:divBdr>
      <w:divsChild>
        <w:div w:id="1048843444">
          <w:marLeft w:val="0"/>
          <w:marRight w:val="0"/>
          <w:marTop w:val="0"/>
          <w:marBottom w:val="0"/>
          <w:divBdr>
            <w:top w:val="none" w:sz="0" w:space="0" w:color="auto"/>
            <w:left w:val="none" w:sz="0" w:space="0" w:color="auto"/>
            <w:bottom w:val="none" w:sz="0" w:space="0" w:color="auto"/>
            <w:right w:val="none" w:sz="0" w:space="0" w:color="auto"/>
          </w:divBdr>
          <w:divsChild>
            <w:div w:id="1198200531">
              <w:marLeft w:val="0"/>
              <w:marRight w:val="0"/>
              <w:marTop w:val="0"/>
              <w:marBottom w:val="0"/>
              <w:divBdr>
                <w:top w:val="none" w:sz="0" w:space="0" w:color="auto"/>
                <w:left w:val="none" w:sz="0" w:space="0" w:color="auto"/>
                <w:bottom w:val="none" w:sz="0" w:space="0" w:color="auto"/>
                <w:right w:val="none" w:sz="0" w:space="0" w:color="auto"/>
              </w:divBdr>
              <w:divsChild>
                <w:div w:id="165898372">
                  <w:marLeft w:val="0"/>
                  <w:marRight w:val="0"/>
                  <w:marTop w:val="0"/>
                  <w:marBottom w:val="0"/>
                  <w:divBdr>
                    <w:top w:val="none" w:sz="0" w:space="0" w:color="auto"/>
                    <w:left w:val="none" w:sz="0" w:space="0" w:color="auto"/>
                    <w:bottom w:val="none" w:sz="0" w:space="0" w:color="auto"/>
                    <w:right w:val="none" w:sz="0" w:space="0" w:color="auto"/>
                  </w:divBdr>
                  <w:divsChild>
                    <w:div w:id="375089003">
                      <w:marLeft w:val="150"/>
                      <w:marRight w:val="150"/>
                      <w:marTop w:val="120"/>
                      <w:marBottom w:val="0"/>
                      <w:divBdr>
                        <w:top w:val="none" w:sz="0" w:space="0" w:color="auto"/>
                        <w:left w:val="none" w:sz="0" w:space="0" w:color="auto"/>
                        <w:bottom w:val="none" w:sz="0" w:space="0" w:color="auto"/>
                        <w:right w:val="none" w:sz="0" w:space="0" w:color="auto"/>
                      </w:divBdr>
                      <w:divsChild>
                        <w:div w:id="1265574334">
                          <w:marLeft w:val="0"/>
                          <w:marRight w:val="0"/>
                          <w:marTop w:val="0"/>
                          <w:marBottom w:val="0"/>
                          <w:divBdr>
                            <w:top w:val="none" w:sz="0" w:space="0" w:color="auto"/>
                            <w:left w:val="none" w:sz="0" w:space="0" w:color="auto"/>
                            <w:bottom w:val="none" w:sz="0" w:space="0" w:color="auto"/>
                            <w:right w:val="single" w:sz="6" w:space="8" w:color="DDDDDD"/>
                          </w:divBdr>
                          <w:divsChild>
                            <w:div w:id="209804777">
                              <w:marLeft w:val="0"/>
                              <w:marRight w:val="0"/>
                              <w:marTop w:val="0"/>
                              <w:marBottom w:val="90"/>
                              <w:divBdr>
                                <w:top w:val="single" w:sz="6" w:space="5" w:color="D7D7D7"/>
                                <w:left w:val="single" w:sz="6" w:space="5" w:color="D7D7D7"/>
                                <w:bottom w:val="single" w:sz="6" w:space="5" w:color="D7D7D7"/>
                                <w:right w:val="single" w:sz="6" w:space="5" w:color="D7D7D7"/>
                              </w:divBdr>
                              <w:divsChild>
                                <w:div w:id="1626157210">
                                  <w:marLeft w:val="0"/>
                                  <w:marRight w:val="0"/>
                                  <w:marTop w:val="0"/>
                                  <w:marBottom w:val="0"/>
                                  <w:divBdr>
                                    <w:top w:val="none" w:sz="0" w:space="0" w:color="auto"/>
                                    <w:left w:val="none" w:sz="0" w:space="0" w:color="auto"/>
                                    <w:bottom w:val="none" w:sz="0" w:space="0" w:color="auto"/>
                                    <w:right w:val="none" w:sz="0" w:space="0" w:color="auto"/>
                                  </w:divBdr>
                                  <w:divsChild>
                                    <w:div w:id="4771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80017">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77407660">
      <w:bodyDiv w:val="1"/>
      <w:marLeft w:val="0"/>
      <w:marRight w:val="0"/>
      <w:marTop w:val="0"/>
      <w:marBottom w:val="0"/>
      <w:divBdr>
        <w:top w:val="none" w:sz="0" w:space="0" w:color="auto"/>
        <w:left w:val="none" w:sz="0" w:space="0" w:color="auto"/>
        <w:bottom w:val="none" w:sz="0" w:space="0" w:color="auto"/>
        <w:right w:val="none" w:sz="0" w:space="0" w:color="auto"/>
      </w:divBdr>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4188">
      <w:bodyDiv w:val="1"/>
      <w:marLeft w:val="0"/>
      <w:marRight w:val="0"/>
      <w:marTop w:val="0"/>
      <w:marBottom w:val="0"/>
      <w:divBdr>
        <w:top w:val="none" w:sz="0" w:space="0" w:color="auto"/>
        <w:left w:val="none" w:sz="0" w:space="0" w:color="auto"/>
        <w:bottom w:val="none" w:sz="0" w:space="0" w:color="auto"/>
        <w:right w:val="none" w:sz="0" w:space="0" w:color="auto"/>
      </w:divBdr>
    </w:div>
    <w:div w:id="1756052993">
      <w:bodyDiv w:val="1"/>
      <w:marLeft w:val="0"/>
      <w:marRight w:val="0"/>
      <w:marTop w:val="0"/>
      <w:marBottom w:val="0"/>
      <w:divBdr>
        <w:top w:val="none" w:sz="0" w:space="0" w:color="auto"/>
        <w:left w:val="none" w:sz="0" w:space="0" w:color="auto"/>
        <w:bottom w:val="none" w:sz="0" w:space="0" w:color="auto"/>
        <w:right w:val="none" w:sz="0" w:space="0" w:color="auto"/>
      </w:divBdr>
    </w:div>
    <w:div w:id="2056005071">
      <w:bodyDiv w:val="1"/>
      <w:marLeft w:val="0"/>
      <w:marRight w:val="0"/>
      <w:marTop w:val="0"/>
      <w:marBottom w:val="0"/>
      <w:divBdr>
        <w:top w:val="none" w:sz="0" w:space="0" w:color="auto"/>
        <w:left w:val="none" w:sz="0" w:space="0" w:color="auto"/>
        <w:bottom w:val="none" w:sz="0" w:space="0" w:color="auto"/>
        <w:right w:val="none" w:sz="0" w:space="0" w:color="auto"/>
      </w:divBdr>
      <w:divsChild>
        <w:div w:id="45033568">
          <w:marLeft w:val="0"/>
          <w:marRight w:val="0"/>
          <w:marTop w:val="0"/>
          <w:marBottom w:val="0"/>
          <w:divBdr>
            <w:top w:val="none" w:sz="0" w:space="0" w:color="auto"/>
            <w:left w:val="none" w:sz="0" w:space="0" w:color="auto"/>
            <w:bottom w:val="none" w:sz="0" w:space="0" w:color="auto"/>
            <w:right w:val="none" w:sz="0" w:space="0" w:color="auto"/>
          </w:divBdr>
          <w:divsChild>
            <w:div w:id="1721397766">
              <w:marLeft w:val="0"/>
              <w:marRight w:val="0"/>
              <w:marTop w:val="0"/>
              <w:marBottom w:val="0"/>
              <w:divBdr>
                <w:top w:val="none" w:sz="0" w:space="0" w:color="auto"/>
                <w:left w:val="none" w:sz="0" w:space="0" w:color="auto"/>
                <w:bottom w:val="none" w:sz="0" w:space="0" w:color="auto"/>
                <w:right w:val="none" w:sz="0" w:space="0" w:color="auto"/>
              </w:divBdr>
              <w:divsChild>
                <w:div w:id="1139958029">
                  <w:marLeft w:val="0"/>
                  <w:marRight w:val="0"/>
                  <w:marTop w:val="0"/>
                  <w:marBottom w:val="0"/>
                  <w:divBdr>
                    <w:top w:val="none" w:sz="0" w:space="0" w:color="auto"/>
                    <w:left w:val="none" w:sz="0" w:space="0" w:color="auto"/>
                    <w:bottom w:val="none" w:sz="0" w:space="0" w:color="auto"/>
                    <w:right w:val="none" w:sz="0" w:space="0" w:color="auto"/>
                  </w:divBdr>
                  <w:divsChild>
                    <w:div w:id="566303501">
                      <w:marLeft w:val="150"/>
                      <w:marRight w:val="150"/>
                      <w:marTop w:val="120"/>
                      <w:marBottom w:val="0"/>
                      <w:divBdr>
                        <w:top w:val="none" w:sz="0" w:space="0" w:color="auto"/>
                        <w:left w:val="none" w:sz="0" w:space="0" w:color="auto"/>
                        <w:bottom w:val="none" w:sz="0" w:space="0" w:color="auto"/>
                        <w:right w:val="none" w:sz="0" w:space="0" w:color="auto"/>
                      </w:divBdr>
                      <w:divsChild>
                        <w:div w:id="1214734554">
                          <w:marLeft w:val="0"/>
                          <w:marRight w:val="0"/>
                          <w:marTop w:val="0"/>
                          <w:marBottom w:val="0"/>
                          <w:divBdr>
                            <w:top w:val="none" w:sz="0" w:space="0" w:color="auto"/>
                            <w:left w:val="none" w:sz="0" w:space="0" w:color="auto"/>
                            <w:bottom w:val="none" w:sz="0" w:space="0" w:color="auto"/>
                            <w:right w:val="single" w:sz="6" w:space="8" w:color="DDDDDD"/>
                          </w:divBdr>
                          <w:divsChild>
                            <w:div w:id="877398489">
                              <w:marLeft w:val="0"/>
                              <w:marRight w:val="0"/>
                              <w:marTop w:val="0"/>
                              <w:marBottom w:val="0"/>
                              <w:divBdr>
                                <w:top w:val="none" w:sz="0" w:space="0" w:color="auto"/>
                                <w:left w:val="none" w:sz="0" w:space="0" w:color="auto"/>
                                <w:bottom w:val="none" w:sz="0" w:space="0" w:color="auto"/>
                                <w:right w:val="none" w:sz="0" w:space="0" w:color="auto"/>
                              </w:divBdr>
                              <w:divsChild>
                                <w:div w:id="690109582">
                                  <w:marLeft w:val="0"/>
                                  <w:marRight w:val="0"/>
                                  <w:marTop w:val="0"/>
                                  <w:marBottom w:val="0"/>
                                  <w:divBdr>
                                    <w:top w:val="none" w:sz="0" w:space="0" w:color="auto"/>
                                    <w:left w:val="none" w:sz="0" w:space="0" w:color="auto"/>
                                    <w:bottom w:val="none" w:sz="0" w:space="0" w:color="auto"/>
                                    <w:right w:val="none" w:sz="0" w:space="0" w:color="auto"/>
                                  </w:divBdr>
                                  <w:divsChild>
                                    <w:div w:id="951546195">
                                      <w:marLeft w:val="0"/>
                                      <w:marRight w:val="0"/>
                                      <w:marTop w:val="0"/>
                                      <w:marBottom w:val="0"/>
                                      <w:divBdr>
                                        <w:top w:val="none" w:sz="0" w:space="0" w:color="auto"/>
                                        <w:left w:val="none" w:sz="0" w:space="0" w:color="auto"/>
                                        <w:bottom w:val="none" w:sz="0" w:space="0" w:color="auto"/>
                                        <w:right w:val="none" w:sz="0" w:space="0" w:color="auto"/>
                                      </w:divBdr>
                                      <w:divsChild>
                                        <w:div w:id="277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tmp"/><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amadsen\Winny\Paghe\Documentale\MODELLI%20NOTE\PAGHE_AAAAXXYY_IMP.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C9038-D8A5-4A4A-B74F-8ADEACC4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PAGHE_AAAAXXYY_IMP.dotx</Template>
  <TotalTime>8606</TotalTime>
  <Pages>14</Pages>
  <Words>3387</Words>
  <Characters>19311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22653</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Luca Moricoli</cp:lastModifiedBy>
  <cp:revision>471</cp:revision>
  <cp:lastPrinted>2017-10-17T15:36:00Z</cp:lastPrinted>
  <dcterms:created xsi:type="dcterms:W3CDTF">2017-07-25T07:42:00Z</dcterms:created>
  <dcterms:modified xsi:type="dcterms:W3CDTF">2017-10-17T15:36:00Z</dcterms:modified>
</cp:coreProperties>
</file>