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>RELEASE Versione 2017.2.2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2017.2.2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31.10.2017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.2.2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Aziende agricole</w:t>
            </w:r>
          </w:p>
          <w:p>
            <w:pPr>
              <w:pStyle w:val="corpoAltF"/>
              <w:ind w:left="454" w:right="170"/>
            </w:pPr>
            <w:r>
              <w:t>Implementata, a partire dalla mensilità di ottobre 2017, la gestione degli eventi di Cassa Integrazione Operai Agricoli (CISOA).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Contributo contrattuale Fondi di settore</w:t>
            </w:r>
          </w:p>
          <w:p>
            <w:pPr>
              <w:pStyle w:val="corpoAltF"/>
              <w:ind w:left="454" w:right="170"/>
            </w:pPr>
            <w:r>
              <w:t>Implementato il programma per calcolare e memorizzare sistematicamente l’eventuale contributo contrattuale da versare al Fondo di settore.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Lavoratori Spettacolo e Sportivi Professionisti</w:t>
            </w:r>
          </w:p>
          <w:p>
            <w:pPr>
              <w:pStyle w:val="corpoAltF"/>
              <w:ind w:left="454" w:right="170"/>
            </w:pPr>
            <w:r>
              <w:t>Sono state apportate modifiche alla compilazione della testata del cedolino, con riferimento alle giornate contribuite/retribuite.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AZIE/DIPE – Selezione comune cessato</w:t>
            </w:r>
          </w:p>
          <w:p>
            <w:pPr>
              <w:pStyle w:val="CorpoAltF0"/>
              <w:ind w:left="448"/>
            </w:pPr>
            <w:r>
              <w:t>Implementato il programma per segnalare la compilazione dei campi relativi al comune di residenza e domicilio con un codice comune catastale relativo a un comune cessato.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  <w:tab w:val="num" w:pos="447"/>
              </w:tabs>
              <w:spacing w:before="60"/>
              <w:ind w:right="170" w:hanging="556"/>
            </w:pPr>
            <w:r>
              <w:rPr>
                <w:b/>
                <w:sz w:val="22"/>
                <w:szCs w:val="22"/>
              </w:rPr>
              <w:t>TRAFPC – Collegamento codice fondo previdenza</w:t>
            </w:r>
          </w:p>
          <w:p>
            <w:pPr>
              <w:pStyle w:val="CorpoAltF0"/>
              <w:ind w:left="448"/>
            </w:pPr>
            <w:r>
              <w:t>Implementato funzione utile al fine di consentire il cambio in maniera massiva del codice fondo e categoria collegati in anagrafica dipendente.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  <w:tab w:val="num" w:pos="447"/>
              </w:tabs>
              <w:spacing w:before="60"/>
              <w:ind w:right="170" w:hanging="5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Confluenza fondo Prev.i.log in fondo Priamo</w:t>
            </w:r>
          </w:p>
          <w:p>
            <w:pPr>
              <w:pStyle w:val="CorpoAltF0"/>
              <w:ind w:left="448"/>
            </w:pPr>
            <w:r>
              <w:t>Gestione del cambio del fondo di previdenza per i dipendenti precedentemente aderenti al fondo Prev.i.log che, a partire dalla mensilità di ottobre 2017, confluisce nel fondo Priamo.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TB0307 – Tabella contributi casse edili</w:t>
            </w:r>
          </w:p>
          <w:p>
            <w:pPr>
              <w:pStyle w:val="corpoAltF"/>
              <w:ind w:left="454" w:right="170"/>
            </w:pPr>
            <w:r>
              <w:t>Modificato il calcolo associato al “</w:t>
            </w:r>
            <w:r>
              <w:rPr>
                <w:i/>
              </w:rPr>
              <w:t>Codice calcolo particolare</w:t>
            </w:r>
            <w:r>
              <w:t xml:space="preserve">” </w:t>
            </w:r>
            <w:r>
              <w:rPr>
                <w:b/>
              </w:rPr>
              <w:t>BS00</w:t>
            </w:r>
            <w:r>
              <w:t xml:space="preserve"> (Cassa Edile di Brescia) e </w:t>
            </w:r>
            <w:r>
              <w:rPr>
                <w:b/>
              </w:rPr>
              <w:t>UD00</w:t>
            </w:r>
            <w:r>
              <w:t xml:space="preserve"> (Cassa Edile di Udine).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TB1102 – Tabella Dati presenze</w:t>
            </w:r>
          </w:p>
          <w:p>
            <w:pPr>
              <w:pStyle w:val="corpoAltF"/>
              <w:ind w:left="454" w:right="170"/>
            </w:pPr>
            <w:r>
              <w:t xml:space="preserve">Introdotto il nuovo codice </w:t>
            </w:r>
            <w:r>
              <w:rPr>
                <w:b/>
              </w:rPr>
              <w:t>7</w:t>
            </w:r>
            <w:r>
              <w:t xml:space="preserve"> per il trattamento della ex festività del 4 novembre.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DIPE &gt; Progressivi &gt; Fondo previdenza</w:t>
            </w:r>
          </w:p>
          <w:p>
            <w:pPr>
              <w:pStyle w:val="corpoAltF"/>
              <w:ind w:left="454" w:right="170"/>
            </w:pPr>
            <w:r>
              <w:t>Introdotta la nuova sezione “</w:t>
            </w:r>
            <w:r>
              <w:rPr>
                <w:i/>
              </w:rPr>
              <w:t>Fondi</w:t>
            </w:r>
            <w:r>
              <w:t>” per la memorizzazione dei codici Fondi di previdenza a cui versa il dipendente.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41" w:right="170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41" w:right="170"/>
            </w:pPr>
            <w:r>
              <w:t>Correzione anomalie varie.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 / Operazioni manuali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0"/>
            </w:pPr>
          </w:p>
          <w:p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>
            <w:pPr>
              <w:pStyle w:val="CorpoAltF0"/>
            </w:pPr>
          </w:p>
        </w:tc>
      </w:tr>
    </w:tbl>
    <w:p>
      <w:pPr>
        <w:pStyle w:val="CorpoAltF0"/>
      </w:pPr>
      <w:bookmarkStart w:id="0" w:name="_Toc33011301"/>
      <w:r>
        <w:br w:type="page"/>
      </w:r>
      <w:bookmarkStart w:id="1" w:name="_GoBack"/>
      <w:bookmarkEnd w:id="1"/>
    </w:p>
    <w:p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>
      <w:pPr>
        <w:pStyle w:val="Ignora"/>
        <w:rPr>
          <w:sz w:val="10"/>
          <w:szCs w:val="10"/>
          <w:lang w:val="en-GB"/>
        </w:rPr>
      </w:pPr>
    </w:p>
    <w:p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>
        <w:rPr>
          <w:rFonts w:ascii="LFT Etica Lt" w:hAnsi="LFT Etica Lt"/>
          <w:b/>
          <w:sz w:val="18"/>
          <w:szCs w:val="18"/>
        </w:rPr>
        <w:t>Ubuntu 16.04 LTS 64 bit</w:t>
      </w:r>
    </w:p>
    <w:p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Gecom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TeamPortal ultima versione rilasciata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Sysint/W 20140100 </w:t>
      </w:r>
    </w:p>
    <w:p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SysIntGateway ultima versione rilasciata</w:t>
      </w:r>
    </w:p>
    <w:p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</w:p>
    <w:bookmarkEnd w:id="0"/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2017.2.2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3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4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39617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F17AED43-DE08-4D76-80F1-200C60A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llegamentoipertestuale0">
    <w:name w:val="collegamento_ipertestuale"/>
    <w:basedOn w:val="Carpredefinitoparagrafo"/>
    <w:rPr>
      <w:color w:val="0000FF"/>
      <w:u w:val="single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70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15">
              <w:marLeft w:val="9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C45F-CFF6-4116-B892-A19EE5CD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461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106</cp:revision>
  <cp:lastPrinted>2017-09-21T07:50:00Z</cp:lastPrinted>
  <dcterms:created xsi:type="dcterms:W3CDTF">2017-07-25T07:53:00Z</dcterms:created>
  <dcterms:modified xsi:type="dcterms:W3CDTF">2017-10-31T13:43:00Z</dcterms:modified>
</cp:coreProperties>
</file>