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WTipoDocumento"/>
        <w:ind w:left="0"/>
      </w:pPr>
      <w:bookmarkStart w:id="0" w:name="_Toc33011301"/>
      <w:r>
        <w:t>IMPLEMENTAZIONI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3"/>
        <w:gridCol w:w="3544"/>
        <w:gridCol w:w="3831"/>
      </w:tblGrid>
      <w:tr>
        <w:trPr>
          <w:cantSplit/>
          <w:trHeight w:val="221"/>
          <w:jc w:val="center"/>
        </w:trPr>
        <w:tc>
          <w:tcPr>
            <w:tcW w:w="2273" w:type="dxa"/>
            <w:vMerge w:val="restart"/>
            <w:tcBorders>
              <w:top w:val="nil"/>
              <w:left w:val="nil"/>
              <w:bottom w:val="nil"/>
              <w:right w:val="single" w:sz="4" w:space="0" w:color="365F91"/>
            </w:tcBorders>
            <w:tcMar>
              <w:left w:w="28" w:type="dxa"/>
              <w:right w:w="28" w:type="dxa"/>
            </w:tcMar>
          </w:tcPr>
          <w:p>
            <w:pPr>
              <w:pStyle w:val="CorpoAltF0"/>
              <w:jc w:val="center"/>
              <w:rPr>
                <w:rFonts w:cs="Arial"/>
              </w:rPr>
            </w:pPr>
            <w:bookmarkStart w:id="1" w:name="INDICE"/>
            <w:bookmarkEnd w:id="1"/>
            <w:r>
              <w:rPr>
                <w:rFonts w:cs="Arial"/>
                <w:noProof/>
              </w:rPr>
              <w:drawing>
                <wp:inline distT="0" distB="0" distL="0" distR="0">
                  <wp:extent cx="1158875" cy="1384300"/>
                  <wp:effectExtent l="0" t="0" r="3175" b="6350"/>
                  <wp:docPr id="8" name="Immagine 1" descr="PAGHE_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HE_splas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8875" cy="1384300"/>
                          </a:xfrm>
                          <a:prstGeom prst="rect">
                            <a:avLst/>
                          </a:prstGeom>
                          <a:noFill/>
                          <a:ln>
                            <a:noFill/>
                          </a:ln>
                        </pic:spPr>
                      </pic:pic>
                    </a:graphicData>
                  </a:graphic>
                </wp:inline>
              </w:drawing>
            </w:r>
          </w:p>
        </w:tc>
        <w:tc>
          <w:tcPr>
            <w:tcW w:w="7375" w:type="dxa"/>
            <w:gridSpan w:val="2"/>
            <w:tcBorders>
              <w:top w:val="single" w:sz="4" w:space="0" w:color="365F91"/>
              <w:left w:val="single" w:sz="4" w:space="0" w:color="365F91"/>
              <w:bottom w:val="single" w:sz="4" w:space="0" w:color="365F91"/>
              <w:right w:val="single" w:sz="4" w:space="0" w:color="365F91"/>
            </w:tcBorders>
            <w:shd w:val="clear" w:color="auto" w:fill="CCCCCC"/>
            <w:vAlign w:val="center"/>
          </w:tcPr>
          <w:p>
            <w:pPr>
              <w:pStyle w:val="CorpoAltF0"/>
              <w:rPr>
                <w:rFonts w:cs="Arial"/>
                <w:b/>
              </w:rPr>
            </w:pPr>
            <w:r>
              <w:rPr>
                <w:rFonts w:cs="Arial"/>
                <w:b/>
              </w:rPr>
              <w:t>RELEASE Versione 2017.2.2</w:t>
            </w:r>
          </w:p>
        </w:tc>
      </w:tr>
      <w:tr>
        <w:trPr>
          <w:cantSplit/>
          <w:trHeight w:val="268"/>
          <w:jc w:val="center"/>
        </w:trPr>
        <w:tc>
          <w:tcPr>
            <w:tcW w:w="2273" w:type="dxa"/>
            <w:vMerge/>
            <w:tcBorders>
              <w:left w:val="nil"/>
              <w:bottom w:val="nil"/>
              <w:right w:val="single" w:sz="4" w:space="0" w:color="365F91"/>
            </w:tcBorders>
            <w:tcMar>
              <w:left w:w="28" w:type="dxa"/>
              <w:right w:w="28" w:type="dxa"/>
            </w:tcMar>
          </w:tcPr>
          <w:p>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ind w:right="227"/>
              <w:jc w:val="right"/>
              <w:rPr>
                <w:rFonts w:ascii="Arial" w:hAnsi="Arial" w:cs="Arial"/>
                <w:b/>
                <w:bCs/>
              </w:rPr>
            </w:pPr>
            <w:r>
              <w:rPr>
                <w:rFonts w:ascii="Arial" w:hAnsi="Arial" w:cs="Arial"/>
                <w:b/>
                <w:bCs/>
              </w:rPr>
              <w:t>Applicativo:</w:t>
            </w:r>
          </w:p>
        </w:tc>
        <w:tc>
          <w:tcPr>
            <w:tcW w:w="3831"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spacing w:before="120" w:after="120"/>
              <w:rPr>
                <w:rFonts w:ascii="Arial" w:hAnsi="Arial" w:cs="Arial"/>
                <w:sz w:val="28"/>
                <w:szCs w:val="28"/>
              </w:rPr>
            </w:pPr>
            <w:r>
              <w:rPr>
                <w:rFonts w:ascii="Arial" w:hAnsi="Arial" w:cs="Arial"/>
                <w:b/>
                <w:sz w:val="28"/>
                <w:szCs w:val="28"/>
              </w:rPr>
              <w:t>GECOM PAGHE</w:t>
            </w:r>
          </w:p>
        </w:tc>
      </w:tr>
      <w:tr>
        <w:trPr>
          <w:cantSplit/>
          <w:trHeight w:val="266"/>
          <w:jc w:val="center"/>
        </w:trPr>
        <w:tc>
          <w:tcPr>
            <w:tcW w:w="2273" w:type="dxa"/>
            <w:vMerge/>
            <w:tcBorders>
              <w:left w:val="nil"/>
              <w:bottom w:val="nil"/>
              <w:right w:val="single" w:sz="4" w:space="0" w:color="365F91"/>
            </w:tcBorders>
            <w:tcMar>
              <w:left w:w="28" w:type="dxa"/>
              <w:right w:w="28" w:type="dxa"/>
            </w:tcMar>
          </w:tcPr>
          <w:p>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ind w:right="227"/>
              <w:jc w:val="right"/>
              <w:rPr>
                <w:rFonts w:ascii="Arial" w:hAnsi="Arial" w:cs="Arial"/>
                <w:b/>
                <w:bCs/>
              </w:rPr>
            </w:pPr>
            <w:r>
              <w:rPr>
                <w:rFonts w:ascii="Arial" w:hAnsi="Arial" w:cs="Arial"/>
                <w:b/>
                <w:bCs/>
              </w:rPr>
              <w:t>Oggetto:</w:t>
            </w:r>
          </w:p>
        </w:tc>
        <w:tc>
          <w:tcPr>
            <w:tcW w:w="3831"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rPr>
                <w:rFonts w:ascii="Arial" w:hAnsi="Arial" w:cs="Arial"/>
                <w:b/>
              </w:rPr>
            </w:pPr>
            <w:r>
              <w:rPr>
                <w:rFonts w:ascii="Arial" w:hAnsi="Arial" w:cs="Arial"/>
              </w:rPr>
              <w:t>Aggiornamento procedura</w:t>
            </w:r>
          </w:p>
        </w:tc>
      </w:tr>
      <w:tr>
        <w:trPr>
          <w:cantSplit/>
          <w:trHeight w:val="266"/>
          <w:jc w:val="center"/>
        </w:trPr>
        <w:tc>
          <w:tcPr>
            <w:tcW w:w="2273" w:type="dxa"/>
            <w:vMerge/>
            <w:tcBorders>
              <w:left w:val="nil"/>
              <w:bottom w:val="nil"/>
              <w:right w:val="single" w:sz="4" w:space="0" w:color="365F91"/>
            </w:tcBorders>
            <w:tcMar>
              <w:left w:w="28" w:type="dxa"/>
              <w:right w:w="28" w:type="dxa"/>
            </w:tcMar>
          </w:tcPr>
          <w:p>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ind w:right="227"/>
              <w:jc w:val="right"/>
              <w:rPr>
                <w:rFonts w:ascii="Arial" w:hAnsi="Arial" w:cs="Arial"/>
                <w:b/>
                <w:bCs/>
              </w:rPr>
            </w:pPr>
            <w:r>
              <w:rPr>
                <w:rFonts w:ascii="Arial" w:hAnsi="Arial" w:cs="Arial"/>
                <w:b/>
                <w:bCs/>
              </w:rPr>
              <w:t>Versione:</w:t>
            </w:r>
          </w:p>
        </w:tc>
        <w:tc>
          <w:tcPr>
            <w:tcW w:w="3831"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rPr>
                <w:rFonts w:ascii="Arial" w:hAnsi="Arial" w:cs="Arial"/>
                <w:b/>
              </w:rPr>
            </w:pPr>
            <w:r>
              <w:rPr>
                <w:rFonts w:ascii="Arial" w:hAnsi="Arial" w:cs="Arial"/>
                <w:b/>
              </w:rPr>
              <w:t>2017.2.2 (Update)</w:t>
            </w:r>
          </w:p>
        </w:tc>
      </w:tr>
      <w:tr>
        <w:trPr>
          <w:cantSplit/>
          <w:trHeight w:val="266"/>
          <w:jc w:val="center"/>
        </w:trPr>
        <w:tc>
          <w:tcPr>
            <w:tcW w:w="2273" w:type="dxa"/>
            <w:vMerge/>
            <w:tcBorders>
              <w:left w:val="nil"/>
              <w:bottom w:val="nil"/>
              <w:right w:val="single" w:sz="4" w:space="0" w:color="365F91"/>
            </w:tcBorders>
            <w:tcMar>
              <w:left w:w="28" w:type="dxa"/>
              <w:right w:w="28" w:type="dxa"/>
            </w:tcMar>
          </w:tcPr>
          <w:p>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ind w:right="227"/>
              <w:jc w:val="right"/>
              <w:rPr>
                <w:rFonts w:ascii="Arial" w:hAnsi="Arial" w:cs="Arial"/>
                <w:b/>
                <w:bCs/>
              </w:rPr>
            </w:pPr>
            <w:r>
              <w:rPr>
                <w:rFonts w:ascii="Arial" w:hAnsi="Arial" w:cs="Arial"/>
                <w:b/>
                <w:bCs/>
              </w:rPr>
              <w:t>Data di rilascio:</w:t>
            </w:r>
          </w:p>
        </w:tc>
        <w:tc>
          <w:tcPr>
            <w:tcW w:w="3831"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rPr>
                <w:rFonts w:ascii="Arial" w:hAnsi="Arial" w:cs="Arial"/>
                <w:b/>
              </w:rPr>
            </w:pPr>
            <w:r>
              <w:rPr>
                <w:rFonts w:ascii="Arial" w:hAnsi="Arial" w:cs="Arial"/>
                <w:b/>
              </w:rPr>
              <w:t>31.10.2017</w:t>
            </w:r>
          </w:p>
        </w:tc>
      </w:tr>
      <w:tr>
        <w:trPr>
          <w:cantSplit/>
          <w:trHeight w:val="266"/>
          <w:jc w:val="center"/>
        </w:trPr>
        <w:tc>
          <w:tcPr>
            <w:tcW w:w="2273" w:type="dxa"/>
            <w:vMerge/>
            <w:tcBorders>
              <w:left w:val="nil"/>
              <w:bottom w:val="nil"/>
              <w:right w:val="single" w:sz="4" w:space="0" w:color="365F91"/>
            </w:tcBorders>
            <w:tcMar>
              <w:left w:w="28" w:type="dxa"/>
              <w:right w:w="28" w:type="dxa"/>
            </w:tcMar>
          </w:tcPr>
          <w:p>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ind w:right="227"/>
              <w:jc w:val="right"/>
              <w:rPr>
                <w:rFonts w:ascii="Arial" w:hAnsi="Arial" w:cs="Arial"/>
                <w:b/>
                <w:bCs/>
              </w:rPr>
            </w:pPr>
            <w:r>
              <w:rPr>
                <w:rFonts w:ascii="Arial" w:hAnsi="Arial" w:cs="Arial"/>
                <w:b/>
                <w:bCs/>
              </w:rPr>
              <w:t>Riferimento:</w:t>
            </w:r>
          </w:p>
        </w:tc>
        <w:tc>
          <w:tcPr>
            <w:tcW w:w="3831"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rPr>
                <w:rFonts w:ascii="Arial" w:hAnsi="Arial" w:cs="Arial"/>
                <w:b/>
              </w:rPr>
            </w:pPr>
            <w:r>
              <w:rPr>
                <w:rFonts w:ascii="Arial" w:hAnsi="Arial" w:cs="Arial"/>
                <w:b/>
              </w:rPr>
              <w:t>Implementazioni</w:t>
            </w:r>
          </w:p>
        </w:tc>
      </w:tr>
      <w:tr>
        <w:trPr>
          <w:cantSplit/>
          <w:trHeight w:val="266"/>
          <w:jc w:val="center"/>
        </w:trPr>
        <w:tc>
          <w:tcPr>
            <w:tcW w:w="2273" w:type="dxa"/>
            <w:vMerge/>
            <w:tcBorders>
              <w:left w:val="nil"/>
              <w:bottom w:val="nil"/>
              <w:right w:val="single" w:sz="4" w:space="0" w:color="365F91"/>
            </w:tcBorders>
            <w:tcMar>
              <w:left w:w="28" w:type="dxa"/>
              <w:right w:w="28" w:type="dxa"/>
            </w:tcMar>
          </w:tcPr>
          <w:p>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ind w:right="227"/>
              <w:jc w:val="right"/>
              <w:rPr>
                <w:rFonts w:ascii="Arial" w:hAnsi="Arial" w:cs="Arial"/>
                <w:b/>
                <w:bCs/>
              </w:rPr>
            </w:pPr>
            <w:r>
              <w:rPr>
                <w:rFonts w:ascii="Arial" w:hAnsi="Arial" w:cs="Arial"/>
                <w:b/>
                <w:bCs/>
              </w:rPr>
              <w:t>Classificazione:</w:t>
            </w:r>
          </w:p>
        </w:tc>
        <w:tc>
          <w:tcPr>
            <w:tcW w:w="3831"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rPr>
                <w:rFonts w:ascii="Arial" w:hAnsi="Arial" w:cs="Arial"/>
                <w:b/>
              </w:rPr>
            </w:pPr>
            <w:r>
              <w:rPr>
                <w:rFonts w:ascii="Arial" w:hAnsi="Arial" w:cs="Arial"/>
                <w:b/>
              </w:rPr>
              <w:t>Guida utente</w:t>
            </w:r>
          </w:p>
        </w:tc>
      </w:tr>
    </w:tbl>
    <w:p>
      <w:pPr>
        <w:pStyle w:val="Ignora"/>
      </w:pPr>
    </w:p>
    <w:p>
      <w:pPr>
        <w:pStyle w:val="Ignora"/>
      </w:pPr>
    </w:p>
    <w:p>
      <w:pPr>
        <w:pStyle w:val="WWNewPage"/>
      </w:pPr>
    </w:p>
    <w:p>
      <w:pPr>
        <w:pStyle w:val="Ignora"/>
        <w:pBdr>
          <w:top w:val="single" w:sz="12" w:space="1" w:color="1F497D" w:themeColor="text2"/>
          <w:left w:val="single" w:sz="12" w:space="4" w:color="1F497D" w:themeColor="text2"/>
          <w:bottom w:val="single" w:sz="18" w:space="1" w:color="1F497D" w:themeColor="text2"/>
          <w:right w:val="single" w:sz="18" w:space="4" w:color="1F497D" w:themeColor="text2"/>
        </w:pBdr>
        <w:ind w:left="142" w:right="141"/>
        <w:jc w:val="center"/>
        <w:rPr>
          <w:b/>
          <w:i/>
          <w:spacing w:val="14"/>
          <w:sz w:val="28"/>
          <w:szCs w:val="28"/>
        </w:rPr>
      </w:pPr>
      <w:r>
        <w:rPr>
          <w:b/>
          <w:i/>
          <w:spacing w:val="14"/>
          <w:sz w:val="28"/>
          <w:szCs w:val="28"/>
        </w:rPr>
        <w:t>IMPLEMENTAZIONI</w:t>
      </w:r>
    </w:p>
    <w:p>
      <w:pPr>
        <w:pStyle w:val="Ignora"/>
      </w:pPr>
    </w:p>
    <w:p>
      <w:pPr>
        <w:pStyle w:val="Sommario1"/>
        <w:rPr>
          <w:rFonts w:asciiTheme="minorHAnsi" w:eastAsiaTheme="minorEastAsia" w:hAnsiTheme="minorHAnsi" w:cstheme="minorBidi"/>
          <w:b w:val="0"/>
          <w:color w:val="auto"/>
          <w:sz w:val="22"/>
          <w:szCs w:val="22"/>
        </w:rPr>
      </w:pPr>
      <w:r>
        <w:rPr>
          <w:rStyle w:val="Collegamentoipertestuale"/>
          <w:b w:val="0"/>
          <w:i/>
          <w:iCs/>
          <w:color w:val="auto"/>
          <w:spacing w:val="-20"/>
          <w:szCs w:val="28"/>
          <w:u w:val="none"/>
        </w:rPr>
        <w:fldChar w:fldCharType="begin"/>
      </w:r>
      <w:r>
        <w:rPr>
          <w:rStyle w:val="Collegamentoipertestuale"/>
          <w:b w:val="0"/>
          <w:i/>
          <w:iCs/>
          <w:color w:val="auto"/>
          <w:spacing w:val="-20"/>
          <w:szCs w:val="28"/>
          <w:u w:val="none"/>
        </w:rPr>
        <w:instrText xml:space="preserve"> TOC \h \z \t "TS-titolo-01;1;TS-titolo-04;4;TS-titolo-Comando;2;TS-titolo-05;5;WW_NormativaSoftware;3" </w:instrText>
      </w:r>
      <w:r>
        <w:rPr>
          <w:rStyle w:val="Collegamentoipertestuale"/>
          <w:b w:val="0"/>
          <w:i/>
          <w:iCs/>
          <w:color w:val="auto"/>
          <w:spacing w:val="-20"/>
          <w:szCs w:val="28"/>
          <w:u w:val="none"/>
        </w:rPr>
        <w:fldChar w:fldCharType="separate"/>
      </w:r>
      <w:hyperlink w:anchor="_Toc497216121" w:history="1">
        <w:r>
          <w:rPr>
            <w:rStyle w:val="Collegamentoipertestuale"/>
          </w:rPr>
          <w:t>Conversione automatica archivi</w:t>
        </w:r>
        <w:r>
          <w:rPr>
            <w:webHidden/>
          </w:rPr>
          <w:tab/>
        </w:r>
        <w:r>
          <w:rPr>
            <w:webHidden/>
          </w:rPr>
          <w:fldChar w:fldCharType="begin"/>
        </w:r>
        <w:r>
          <w:rPr>
            <w:webHidden/>
          </w:rPr>
          <w:instrText xml:space="preserve"> PAGEREF _Toc497216121 \h </w:instrText>
        </w:r>
        <w:r>
          <w:rPr>
            <w:webHidden/>
          </w:rPr>
        </w:r>
        <w:r>
          <w:rPr>
            <w:webHidden/>
          </w:rPr>
          <w:fldChar w:fldCharType="separate"/>
        </w:r>
        <w:r>
          <w:rPr>
            <w:webHidden/>
          </w:rPr>
          <w:t>3</w:t>
        </w:r>
        <w:r>
          <w:rPr>
            <w:webHidden/>
          </w:rPr>
          <w:fldChar w:fldCharType="end"/>
        </w:r>
      </w:hyperlink>
    </w:p>
    <w:p>
      <w:pPr>
        <w:pStyle w:val="Sommario4"/>
        <w:rPr>
          <w:rStyle w:val="Collegamentoipertestuale"/>
        </w:rPr>
      </w:pPr>
      <w:hyperlink w:anchor="_Toc497216122" w:history="1">
        <w:r>
          <w:rPr>
            <w:rStyle w:val="Collegamentoipertestuale"/>
          </w:rPr>
          <w:t>Conversione automatica archivi in fase di installazione</w:t>
        </w:r>
        <w:r>
          <w:rPr>
            <w:webHidden/>
          </w:rPr>
          <w:tab/>
        </w:r>
        <w:r>
          <w:rPr>
            <w:webHidden/>
          </w:rPr>
          <w:fldChar w:fldCharType="begin"/>
        </w:r>
        <w:r>
          <w:rPr>
            <w:webHidden/>
          </w:rPr>
          <w:instrText xml:space="preserve"> PAGEREF _Toc497216122 \h </w:instrText>
        </w:r>
        <w:r>
          <w:rPr>
            <w:webHidden/>
          </w:rPr>
        </w:r>
        <w:r>
          <w:rPr>
            <w:webHidden/>
          </w:rPr>
          <w:fldChar w:fldCharType="separate"/>
        </w:r>
        <w:r>
          <w:rPr>
            <w:webHidden/>
          </w:rPr>
          <w:t>3</w:t>
        </w:r>
        <w:r>
          <w:rPr>
            <w:webHidden/>
          </w:rPr>
          <w:fldChar w:fldCharType="end"/>
        </w:r>
      </w:hyperlink>
    </w:p>
    <w:p>
      <w:pPr>
        <w:pStyle w:val="Ignora"/>
        <w:rPr>
          <w:rFonts w:eastAsiaTheme="minorEastAsia"/>
        </w:rPr>
      </w:pPr>
    </w:p>
    <w:p>
      <w:pPr>
        <w:pStyle w:val="Sommario1"/>
        <w:rPr>
          <w:rFonts w:asciiTheme="minorHAnsi" w:eastAsiaTheme="minorEastAsia" w:hAnsiTheme="minorHAnsi" w:cstheme="minorBidi"/>
          <w:b w:val="0"/>
          <w:color w:val="auto"/>
          <w:sz w:val="22"/>
          <w:szCs w:val="22"/>
        </w:rPr>
      </w:pPr>
      <w:hyperlink w:anchor="_Toc497216123" w:history="1">
        <w:r>
          <w:rPr>
            <w:rStyle w:val="Collegamentoipertestuale"/>
          </w:rPr>
          <w:t>CISOA – Cassa</w:t>
        </w:r>
        <w:r>
          <w:rPr>
            <w:rStyle w:val="Collegamentoipertestuale"/>
          </w:rPr>
          <w:t xml:space="preserve"> </w:t>
        </w:r>
        <w:r>
          <w:rPr>
            <w:rStyle w:val="Collegamentoipertestuale"/>
          </w:rPr>
          <w:t>Integrazione Operai Agricoli</w:t>
        </w:r>
        <w:r>
          <w:rPr>
            <w:webHidden/>
          </w:rPr>
          <w:tab/>
        </w:r>
        <w:r>
          <w:rPr>
            <w:webHidden/>
          </w:rPr>
          <w:fldChar w:fldCharType="begin"/>
        </w:r>
        <w:r>
          <w:rPr>
            <w:webHidden/>
          </w:rPr>
          <w:instrText xml:space="preserve"> PAGEREF _Toc497216123 \h </w:instrText>
        </w:r>
        <w:r>
          <w:rPr>
            <w:webHidden/>
          </w:rPr>
        </w:r>
        <w:r>
          <w:rPr>
            <w:webHidden/>
          </w:rPr>
          <w:fldChar w:fldCharType="separate"/>
        </w:r>
        <w:r>
          <w:rPr>
            <w:webHidden/>
          </w:rPr>
          <w:t>4</w:t>
        </w:r>
        <w:r>
          <w:rPr>
            <w:webHidden/>
          </w:rPr>
          <w:fldChar w:fldCharType="end"/>
        </w:r>
      </w:hyperlink>
    </w:p>
    <w:p>
      <w:pPr>
        <w:pStyle w:val="Sommario2"/>
        <w:rPr>
          <w:rFonts w:asciiTheme="minorHAnsi" w:eastAsiaTheme="minorEastAsia" w:hAnsiTheme="minorHAnsi" w:cstheme="minorBidi"/>
          <w:b w:val="0"/>
          <w:sz w:val="22"/>
          <w:szCs w:val="22"/>
        </w:rPr>
      </w:pPr>
      <w:hyperlink w:anchor="_Toc497216124" w:history="1">
        <w:r>
          <w:rPr>
            <w:rStyle w:val="Collegamentoipertestuale"/>
          </w:rPr>
          <w:t>CISOA</w:t>
        </w:r>
        <w:r>
          <w:rPr>
            <w:webHidden/>
          </w:rPr>
          <w:tab/>
        </w:r>
        <w:r>
          <w:rPr>
            <w:webHidden/>
          </w:rPr>
          <w:fldChar w:fldCharType="begin"/>
        </w:r>
        <w:r>
          <w:rPr>
            <w:webHidden/>
          </w:rPr>
          <w:instrText xml:space="preserve"> PAGEREF _Toc497216124 \h </w:instrText>
        </w:r>
        <w:r>
          <w:rPr>
            <w:webHidden/>
          </w:rPr>
        </w:r>
        <w:r>
          <w:rPr>
            <w:webHidden/>
          </w:rPr>
          <w:fldChar w:fldCharType="separate"/>
        </w:r>
        <w:r>
          <w:rPr>
            <w:webHidden/>
          </w:rPr>
          <w:t>4</w:t>
        </w:r>
        <w:r>
          <w:rPr>
            <w:webHidden/>
          </w:rPr>
          <w:fldChar w:fldCharType="end"/>
        </w:r>
      </w:hyperlink>
    </w:p>
    <w:p>
      <w:pPr>
        <w:pStyle w:val="Sommario4"/>
        <w:rPr>
          <w:rFonts w:asciiTheme="minorHAnsi" w:eastAsiaTheme="minorEastAsia" w:hAnsiTheme="minorHAnsi" w:cstheme="minorBidi"/>
          <w:i w:val="0"/>
          <w:sz w:val="22"/>
          <w:szCs w:val="22"/>
        </w:rPr>
      </w:pPr>
      <w:hyperlink w:anchor="_Toc497216125" w:history="1">
        <w:r>
          <w:rPr>
            <w:rStyle w:val="Collegamentoipertestuale"/>
          </w:rPr>
          <w:t>Gestione domanda CISOA</w:t>
        </w:r>
        <w:r>
          <w:rPr>
            <w:webHidden/>
          </w:rPr>
          <w:tab/>
        </w:r>
        <w:r>
          <w:rPr>
            <w:webHidden/>
          </w:rPr>
          <w:fldChar w:fldCharType="begin"/>
        </w:r>
        <w:r>
          <w:rPr>
            <w:webHidden/>
          </w:rPr>
          <w:instrText xml:space="preserve"> PAGEREF _Toc497216125 \h </w:instrText>
        </w:r>
        <w:r>
          <w:rPr>
            <w:webHidden/>
          </w:rPr>
        </w:r>
        <w:r>
          <w:rPr>
            <w:webHidden/>
          </w:rPr>
          <w:fldChar w:fldCharType="separate"/>
        </w:r>
        <w:r>
          <w:rPr>
            <w:webHidden/>
          </w:rPr>
          <w:t>4</w:t>
        </w:r>
        <w:r>
          <w:rPr>
            <w:webHidden/>
          </w:rPr>
          <w:fldChar w:fldCharType="end"/>
        </w:r>
      </w:hyperlink>
    </w:p>
    <w:p>
      <w:pPr>
        <w:pStyle w:val="Sommario2"/>
        <w:rPr>
          <w:rFonts w:asciiTheme="minorHAnsi" w:eastAsiaTheme="minorEastAsia" w:hAnsiTheme="minorHAnsi" w:cstheme="minorBidi"/>
          <w:b w:val="0"/>
          <w:sz w:val="22"/>
          <w:szCs w:val="22"/>
        </w:rPr>
      </w:pPr>
      <w:hyperlink w:anchor="_Toc497216126" w:history="1">
        <w:r>
          <w:rPr>
            <w:rStyle w:val="Collegamentoipertestuale"/>
          </w:rPr>
          <w:t>TB0903</w:t>
        </w:r>
        <w:r>
          <w:rPr>
            <w:webHidden/>
          </w:rPr>
          <w:tab/>
        </w:r>
        <w:r>
          <w:rPr>
            <w:webHidden/>
          </w:rPr>
          <w:fldChar w:fldCharType="begin"/>
        </w:r>
        <w:r>
          <w:rPr>
            <w:webHidden/>
          </w:rPr>
          <w:instrText xml:space="preserve"> PAGEREF _Toc497216126 \h </w:instrText>
        </w:r>
        <w:r>
          <w:rPr>
            <w:webHidden/>
          </w:rPr>
        </w:r>
        <w:r>
          <w:rPr>
            <w:webHidden/>
          </w:rPr>
          <w:fldChar w:fldCharType="separate"/>
        </w:r>
        <w:r>
          <w:rPr>
            <w:webHidden/>
          </w:rPr>
          <w:t>7</w:t>
        </w:r>
        <w:r>
          <w:rPr>
            <w:webHidden/>
          </w:rPr>
          <w:fldChar w:fldCharType="end"/>
        </w:r>
      </w:hyperlink>
    </w:p>
    <w:p>
      <w:pPr>
        <w:pStyle w:val="Sommario4"/>
        <w:rPr>
          <w:rFonts w:asciiTheme="minorHAnsi" w:eastAsiaTheme="minorEastAsia" w:hAnsiTheme="minorHAnsi" w:cstheme="minorBidi"/>
          <w:i w:val="0"/>
          <w:sz w:val="22"/>
          <w:szCs w:val="22"/>
        </w:rPr>
      </w:pPr>
      <w:hyperlink w:anchor="_Toc497216127" w:history="1">
        <w:r>
          <w:rPr>
            <w:rStyle w:val="Collegamentoipertestuale"/>
          </w:rPr>
          <w:t>Voci CISOA</w:t>
        </w:r>
        <w:r>
          <w:rPr>
            <w:webHidden/>
          </w:rPr>
          <w:tab/>
        </w:r>
        <w:r>
          <w:rPr>
            <w:webHidden/>
          </w:rPr>
          <w:fldChar w:fldCharType="begin"/>
        </w:r>
        <w:r>
          <w:rPr>
            <w:webHidden/>
          </w:rPr>
          <w:instrText xml:space="preserve"> PAGEREF _Toc497216127 \h </w:instrText>
        </w:r>
        <w:r>
          <w:rPr>
            <w:webHidden/>
          </w:rPr>
        </w:r>
        <w:r>
          <w:rPr>
            <w:webHidden/>
          </w:rPr>
          <w:fldChar w:fldCharType="separate"/>
        </w:r>
        <w:r>
          <w:rPr>
            <w:webHidden/>
          </w:rPr>
          <w:t>7</w:t>
        </w:r>
        <w:r>
          <w:rPr>
            <w:webHidden/>
          </w:rPr>
          <w:fldChar w:fldCharType="end"/>
        </w:r>
      </w:hyperlink>
    </w:p>
    <w:p>
      <w:pPr>
        <w:pStyle w:val="Sommario2"/>
        <w:rPr>
          <w:rFonts w:asciiTheme="minorHAnsi" w:eastAsiaTheme="minorEastAsia" w:hAnsiTheme="minorHAnsi" w:cstheme="minorBidi"/>
          <w:b w:val="0"/>
          <w:sz w:val="22"/>
          <w:szCs w:val="22"/>
        </w:rPr>
      </w:pPr>
      <w:hyperlink w:anchor="_Toc497216128" w:history="1">
        <w:r>
          <w:rPr>
            <w:rStyle w:val="Collegamentoipertestuale"/>
          </w:rPr>
          <w:t>CEDOL</w:t>
        </w:r>
        <w:r>
          <w:rPr>
            <w:webHidden/>
          </w:rPr>
          <w:tab/>
        </w:r>
        <w:r>
          <w:rPr>
            <w:webHidden/>
          </w:rPr>
          <w:fldChar w:fldCharType="begin"/>
        </w:r>
        <w:r>
          <w:rPr>
            <w:webHidden/>
          </w:rPr>
          <w:instrText xml:space="preserve"> PAGEREF _Toc497216128 \h </w:instrText>
        </w:r>
        <w:r>
          <w:rPr>
            <w:webHidden/>
          </w:rPr>
        </w:r>
        <w:r>
          <w:rPr>
            <w:webHidden/>
          </w:rPr>
          <w:fldChar w:fldCharType="separate"/>
        </w:r>
        <w:r>
          <w:rPr>
            <w:webHidden/>
          </w:rPr>
          <w:t>8</w:t>
        </w:r>
        <w:r>
          <w:rPr>
            <w:webHidden/>
          </w:rPr>
          <w:fldChar w:fldCharType="end"/>
        </w:r>
      </w:hyperlink>
    </w:p>
    <w:p>
      <w:pPr>
        <w:pStyle w:val="Sommario4"/>
        <w:rPr>
          <w:rFonts w:asciiTheme="minorHAnsi" w:eastAsiaTheme="minorEastAsia" w:hAnsiTheme="minorHAnsi" w:cstheme="minorBidi"/>
          <w:i w:val="0"/>
          <w:sz w:val="22"/>
          <w:szCs w:val="22"/>
        </w:rPr>
      </w:pPr>
      <w:hyperlink w:anchor="_Toc497216129" w:history="1">
        <w:r>
          <w:rPr>
            <w:rStyle w:val="Collegamentoipertestuale"/>
          </w:rPr>
          <w:t>Elaborazione mensilità interessata da CISOA</w:t>
        </w:r>
        <w:r>
          <w:rPr>
            <w:webHidden/>
          </w:rPr>
          <w:tab/>
        </w:r>
        <w:r>
          <w:rPr>
            <w:webHidden/>
          </w:rPr>
          <w:fldChar w:fldCharType="begin"/>
        </w:r>
        <w:r>
          <w:rPr>
            <w:webHidden/>
          </w:rPr>
          <w:instrText xml:space="preserve"> PAGEREF _Toc497216129 \h </w:instrText>
        </w:r>
        <w:r>
          <w:rPr>
            <w:webHidden/>
          </w:rPr>
        </w:r>
        <w:r>
          <w:rPr>
            <w:webHidden/>
          </w:rPr>
          <w:fldChar w:fldCharType="separate"/>
        </w:r>
        <w:r>
          <w:rPr>
            <w:webHidden/>
          </w:rPr>
          <w:t>8</w:t>
        </w:r>
        <w:r>
          <w:rPr>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497216130" w:history="1">
        <w:r>
          <w:rPr>
            <w:rStyle w:val="Collegamentoipertestuale"/>
            <w:noProof/>
          </w:rPr>
          <w:t>Liquidazione CISOA</w:t>
        </w:r>
        <w:r>
          <w:rPr>
            <w:noProof/>
            <w:webHidden/>
          </w:rPr>
          <w:tab/>
        </w:r>
        <w:r>
          <w:rPr>
            <w:noProof/>
            <w:webHidden/>
          </w:rPr>
          <w:fldChar w:fldCharType="begin"/>
        </w:r>
        <w:r>
          <w:rPr>
            <w:noProof/>
            <w:webHidden/>
          </w:rPr>
          <w:instrText xml:space="preserve"> PAGEREF _Toc497216130 \h </w:instrText>
        </w:r>
        <w:r>
          <w:rPr>
            <w:noProof/>
            <w:webHidden/>
          </w:rPr>
        </w:r>
        <w:r>
          <w:rPr>
            <w:noProof/>
            <w:webHidden/>
          </w:rPr>
          <w:fldChar w:fldCharType="separate"/>
        </w:r>
        <w:r>
          <w:rPr>
            <w:noProof/>
            <w:webHidden/>
          </w:rPr>
          <w:t>9</w:t>
        </w:r>
        <w:r>
          <w:rPr>
            <w:noProof/>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497216131" w:history="1">
        <w:r>
          <w:rPr>
            <w:rStyle w:val="Collegamentoipertestuale"/>
            <w:noProof/>
          </w:rPr>
          <w:t>Integrazione c/ditta</w:t>
        </w:r>
        <w:r>
          <w:rPr>
            <w:noProof/>
            <w:webHidden/>
          </w:rPr>
          <w:tab/>
        </w:r>
        <w:r>
          <w:rPr>
            <w:noProof/>
            <w:webHidden/>
          </w:rPr>
          <w:fldChar w:fldCharType="begin"/>
        </w:r>
        <w:r>
          <w:rPr>
            <w:noProof/>
            <w:webHidden/>
          </w:rPr>
          <w:instrText xml:space="preserve"> PAGEREF _Toc497216131 \h </w:instrText>
        </w:r>
        <w:r>
          <w:rPr>
            <w:noProof/>
            <w:webHidden/>
          </w:rPr>
        </w:r>
        <w:r>
          <w:rPr>
            <w:noProof/>
            <w:webHidden/>
          </w:rPr>
          <w:fldChar w:fldCharType="separate"/>
        </w:r>
        <w:r>
          <w:rPr>
            <w:noProof/>
            <w:webHidden/>
          </w:rPr>
          <w:t>12</w:t>
        </w:r>
        <w:r>
          <w:rPr>
            <w:noProof/>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497216132" w:history="1">
        <w:r>
          <w:rPr>
            <w:rStyle w:val="Collegamentoipertestuale"/>
            <w:noProof/>
          </w:rPr>
          <w:t>Riproporzionamento ratei</w:t>
        </w:r>
        <w:r>
          <w:rPr>
            <w:noProof/>
            <w:webHidden/>
          </w:rPr>
          <w:tab/>
        </w:r>
        <w:r>
          <w:rPr>
            <w:noProof/>
            <w:webHidden/>
          </w:rPr>
          <w:fldChar w:fldCharType="begin"/>
        </w:r>
        <w:r>
          <w:rPr>
            <w:noProof/>
            <w:webHidden/>
          </w:rPr>
          <w:instrText xml:space="preserve"> PAGEREF _Toc497216132 \h </w:instrText>
        </w:r>
        <w:r>
          <w:rPr>
            <w:noProof/>
            <w:webHidden/>
          </w:rPr>
        </w:r>
        <w:r>
          <w:rPr>
            <w:noProof/>
            <w:webHidden/>
          </w:rPr>
          <w:fldChar w:fldCharType="separate"/>
        </w:r>
        <w:r>
          <w:rPr>
            <w:noProof/>
            <w:webHidden/>
          </w:rPr>
          <w:t>12</w:t>
        </w:r>
        <w:r>
          <w:rPr>
            <w:noProof/>
            <w:webHidden/>
          </w:rPr>
          <w:fldChar w:fldCharType="end"/>
        </w:r>
      </w:hyperlink>
    </w:p>
    <w:p>
      <w:pPr>
        <w:pStyle w:val="Sommario2"/>
        <w:rPr>
          <w:rFonts w:asciiTheme="minorHAnsi" w:eastAsiaTheme="minorEastAsia" w:hAnsiTheme="minorHAnsi" w:cstheme="minorBidi"/>
          <w:b w:val="0"/>
          <w:sz w:val="22"/>
          <w:szCs w:val="22"/>
        </w:rPr>
      </w:pPr>
      <w:hyperlink w:anchor="_Toc497216133" w:history="1">
        <w:r>
          <w:rPr>
            <w:rStyle w:val="Collegamentoipertestuale"/>
          </w:rPr>
          <w:t>PSQUA</w:t>
        </w:r>
        <w:r>
          <w:rPr>
            <w:webHidden/>
          </w:rPr>
          <w:tab/>
        </w:r>
        <w:r>
          <w:rPr>
            <w:webHidden/>
          </w:rPr>
          <w:fldChar w:fldCharType="begin"/>
        </w:r>
        <w:r>
          <w:rPr>
            <w:webHidden/>
          </w:rPr>
          <w:instrText xml:space="preserve"> PAGEREF _Toc497216133 \h </w:instrText>
        </w:r>
        <w:r>
          <w:rPr>
            <w:webHidden/>
          </w:rPr>
        </w:r>
        <w:r>
          <w:rPr>
            <w:webHidden/>
          </w:rPr>
          <w:fldChar w:fldCharType="separate"/>
        </w:r>
        <w:r>
          <w:rPr>
            <w:webHidden/>
          </w:rPr>
          <w:t>13</w:t>
        </w:r>
        <w:r>
          <w:rPr>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497216134" w:history="1">
        <w:r>
          <w:rPr>
            <w:rStyle w:val="Collegamentoipertestuale"/>
            <w:noProof/>
          </w:rPr>
          <w:t>Stampa primanota: esposizione dati CISOA</w:t>
        </w:r>
        <w:r>
          <w:rPr>
            <w:noProof/>
            <w:webHidden/>
          </w:rPr>
          <w:tab/>
        </w:r>
        <w:r>
          <w:rPr>
            <w:noProof/>
            <w:webHidden/>
          </w:rPr>
          <w:fldChar w:fldCharType="begin"/>
        </w:r>
        <w:r>
          <w:rPr>
            <w:noProof/>
            <w:webHidden/>
          </w:rPr>
          <w:instrText xml:space="preserve"> PAGEREF _Toc497216134 \h </w:instrText>
        </w:r>
        <w:r>
          <w:rPr>
            <w:noProof/>
            <w:webHidden/>
          </w:rPr>
        </w:r>
        <w:r>
          <w:rPr>
            <w:noProof/>
            <w:webHidden/>
          </w:rPr>
          <w:fldChar w:fldCharType="separate"/>
        </w:r>
        <w:r>
          <w:rPr>
            <w:noProof/>
            <w:webHidden/>
          </w:rPr>
          <w:t>13</w:t>
        </w:r>
        <w:r>
          <w:rPr>
            <w:noProof/>
            <w:webHidden/>
          </w:rPr>
          <w:fldChar w:fldCharType="end"/>
        </w:r>
      </w:hyperlink>
    </w:p>
    <w:p>
      <w:pPr>
        <w:pStyle w:val="Sommario2"/>
        <w:rPr>
          <w:rFonts w:asciiTheme="minorHAnsi" w:eastAsiaTheme="minorEastAsia" w:hAnsiTheme="minorHAnsi" w:cstheme="minorBidi"/>
          <w:b w:val="0"/>
          <w:sz w:val="22"/>
          <w:szCs w:val="22"/>
        </w:rPr>
      </w:pPr>
      <w:hyperlink w:anchor="_Toc497216135" w:history="1">
        <w:r>
          <w:rPr>
            <w:rStyle w:val="Collegamentoipertestuale"/>
          </w:rPr>
          <w:t>GESCIG</w:t>
        </w:r>
        <w:r>
          <w:rPr>
            <w:webHidden/>
          </w:rPr>
          <w:tab/>
        </w:r>
        <w:r>
          <w:rPr>
            <w:webHidden/>
          </w:rPr>
          <w:fldChar w:fldCharType="begin"/>
        </w:r>
        <w:r>
          <w:rPr>
            <w:webHidden/>
          </w:rPr>
          <w:instrText xml:space="preserve"> PAGEREF _Toc497216135 \h </w:instrText>
        </w:r>
        <w:r>
          <w:rPr>
            <w:webHidden/>
          </w:rPr>
        </w:r>
        <w:r>
          <w:rPr>
            <w:webHidden/>
          </w:rPr>
          <w:fldChar w:fldCharType="separate"/>
        </w:r>
        <w:r>
          <w:rPr>
            <w:webHidden/>
          </w:rPr>
          <w:t>13</w:t>
        </w:r>
        <w:r>
          <w:rPr>
            <w:webHidden/>
          </w:rPr>
          <w:fldChar w:fldCharType="end"/>
        </w:r>
      </w:hyperlink>
    </w:p>
    <w:p>
      <w:pPr>
        <w:pStyle w:val="Sommario4"/>
        <w:rPr>
          <w:rFonts w:asciiTheme="minorHAnsi" w:eastAsiaTheme="minorEastAsia" w:hAnsiTheme="minorHAnsi" w:cstheme="minorBidi"/>
          <w:i w:val="0"/>
          <w:sz w:val="22"/>
          <w:szCs w:val="22"/>
        </w:rPr>
      </w:pPr>
      <w:hyperlink w:anchor="_Toc497216136" w:history="1">
        <w:r>
          <w:rPr>
            <w:rStyle w:val="Collegamentoipertestuale"/>
          </w:rPr>
          <w:t>Gestione liquidazioni CIG / CISOA</w:t>
        </w:r>
        <w:r>
          <w:rPr>
            <w:webHidden/>
          </w:rPr>
          <w:tab/>
        </w:r>
        <w:r>
          <w:rPr>
            <w:webHidden/>
          </w:rPr>
          <w:fldChar w:fldCharType="begin"/>
        </w:r>
        <w:r>
          <w:rPr>
            <w:webHidden/>
          </w:rPr>
          <w:instrText xml:space="preserve"> PAGEREF _Toc497216136 \h </w:instrText>
        </w:r>
        <w:r>
          <w:rPr>
            <w:webHidden/>
          </w:rPr>
        </w:r>
        <w:r>
          <w:rPr>
            <w:webHidden/>
          </w:rPr>
          <w:fldChar w:fldCharType="separate"/>
        </w:r>
        <w:r>
          <w:rPr>
            <w:webHidden/>
          </w:rPr>
          <w:t>13</w:t>
        </w:r>
        <w:r>
          <w:rPr>
            <w:webHidden/>
          </w:rPr>
          <w:fldChar w:fldCharType="end"/>
        </w:r>
      </w:hyperlink>
    </w:p>
    <w:p>
      <w:pPr>
        <w:pStyle w:val="Sommario2"/>
        <w:rPr>
          <w:rFonts w:asciiTheme="minorHAnsi" w:eastAsiaTheme="minorEastAsia" w:hAnsiTheme="minorHAnsi" w:cstheme="minorBidi"/>
          <w:b w:val="0"/>
          <w:sz w:val="22"/>
          <w:szCs w:val="22"/>
        </w:rPr>
      </w:pPr>
      <w:hyperlink w:anchor="_Toc497216137" w:history="1">
        <w:r>
          <w:rPr>
            <w:rStyle w:val="Collegamentoipertestuale"/>
          </w:rPr>
          <w:t>AZIE</w:t>
        </w:r>
        <w:r>
          <w:rPr>
            <w:webHidden/>
          </w:rPr>
          <w:tab/>
        </w:r>
        <w:r>
          <w:rPr>
            <w:webHidden/>
          </w:rPr>
          <w:fldChar w:fldCharType="begin"/>
        </w:r>
        <w:r>
          <w:rPr>
            <w:webHidden/>
          </w:rPr>
          <w:instrText xml:space="preserve"> PAGEREF _Toc497216137 \h </w:instrText>
        </w:r>
        <w:r>
          <w:rPr>
            <w:webHidden/>
          </w:rPr>
        </w:r>
        <w:r>
          <w:rPr>
            <w:webHidden/>
          </w:rPr>
          <w:fldChar w:fldCharType="separate"/>
        </w:r>
        <w:r>
          <w:rPr>
            <w:webHidden/>
          </w:rPr>
          <w:t>14</w:t>
        </w:r>
        <w:r>
          <w:rPr>
            <w:webHidden/>
          </w:rPr>
          <w:fldChar w:fldCharType="end"/>
        </w:r>
      </w:hyperlink>
    </w:p>
    <w:p>
      <w:pPr>
        <w:pStyle w:val="Sommario4"/>
        <w:rPr>
          <w:rStyle w:val="Collegamentoipertestuale"/>
        </w:rPr>
      </w:pPr>
      <w:hyperlink w:anchor="_Toc497216138" w:history="1">
        <w:r>
          <w:rPr>
            <w:rStyle w:val="Collegamentoipertestuale"/>
          </w:rPr>
          <w:t>Fondi agricoli: giustificativo fondo agricolo</w:t>
        </w:r>
        <w:r>
          <w:rPr>
            <w:webHidden/>
          </w:rPr>
          <w:tab/>
        </w:r>
        <w:r>
          <w:rPr>
            <w:webHidden/>
          </w:rPr>
          <w:fldChar w:fldCharType="begin"/>
        </w:r>
        <w:r>
          <w:rPr>
            <w:webHidden/>
          </w:rPr>
          <w:instrText xml:space="preserve"> PAGEREF _Toc497216138 \h </w:instrText>
        </w:r>
        <w:r>
          <w:rPr>
            <w:webHidden/>
          </w:rPr>
        </w:r>
        <w:r>
          <w:rPr>
            <w:webHidden/>
          </w:rPr>
          <w:fldChar w:fldCharType="separate"/>
        </w:r>
        <w:r>
          <w:rPr>
            <w:webHidden/>
          </w:rPr>
          <w:t>14</w:t>
        </w:r>
        <w:r>
          <w:rPr>
            <w:webHidden/>
          </w:rPr>
          <w:fldChar w:fldCharType="end"/>
        </w:r>
      </w:hyperlink>
    </w:p>
    <w:p>
      <w:pPr>
        <w:pStyle w:val="Ignora"/>
        <w:rPr>
          <w:rFonts w:eastAsiaTheme="minorEastAsia"/>
        </w:rPr>
      </w:pPr>
    </w:p>
    <w:p>
      <w:pPr>
        <w:pStyle w:val="Sommario1"/>
        <w:rPr>
          <w:rFonts w:asciiTheme="minorHAnsi" w:eastAsiaTheme="minorEastAsia" w:hAnsiTheme="minorHAnsi" w:cstheme="minorBidi"/>
          <w:b w:val="0"/>
          <w:color w:val="auto"/>
          <w:sz w:val="22"/>
          <w:szCs w:val="22"/>
        </w:rPr>
      </w:pPr>
      <w:hyperlink w:anchor="_Toc497216139" w:history="1">
        <w:r>
          <w:rPr>
            <w:rStyle w:val="Collegamentoipertestuale"/>
          </w:rPr>
          <w:t>Contributo contrattuale Fondo di settore</w:t>
        </w:r>
        <w:r>
          <w:rPr>
            <w:webHidden/>
          </w:rPr>
          <w:tab/>
        </w:r>
        <w:r>
          <w:rPr>
            <w:webHidden/>
          </w:rPr>
          <w:fldChar w:fldCharType="begin"/>
        </w:r>
        <w:r>
          <w:rPr>
            <w:webHidden/>
          </w:rPr>
          <w:instrText xml:space="preserve"> PAGEREF _Toc497216139 \h </w:instrText>
        </w:r>
        <w:r>
          <w:rPr>
            <w:webHidden/>
          </w:rPr>
        </w:r>
        <w:r>
          <w:rPr>
            <w:webHidden/>
          </w:rPr>
          <w:fldChar w:fldCharType="separate"/>
        </w:r>
        <w:r>
          <w:rPr>
            <w:webHidden/>
          </w:rPr>
          <w:t>15</w:t>
        </w:r>
        <w:r>
          <w:rPr>
            <w:webHidden/>
          </w:rPr>
          <w:fldChar w:fldCharType="end"/>
        </w:r>
      </w:hyperlink>
    </w:p>
    <w:p>
      <w:pPr>
        <w:pStyle w:val="Sommario4"/>
        <w:rPr>
          <w:rFonts w:asciiTheme="minorHAnsi" w:eastAsiaTheme="minorEastAsia" w:hAnsiTheme="minorHAnsi" w:cstheme="minorBidi"/>
          <w:i w:val="0"/>
          <w:sz w:val="22"/>
          <w:szCs w:val="22"/>
        </w:rPr>
      </w:pPr>
      <w:hyperlink w:anchor="_Toc497216140" w:history="1">
        <w:r>
          <w:rPr>
            <w:rStyle w:val="Collegamentoipertestuale"/>
          </w:rPr>
          <w:t>Calcolo contributo contrattuale</w:t>
        </w:r>
        <w:r>
          <w:rPr>
            <w:webHidden/>
          </w:rPr>
          <w:tab/>
        </w:r>
        <w:r>
          <w:rPr>
            <w:webHidden/>
          </w:rPr>
          <w:fldChar w:fldCharType="begin"/>
        </w:r>
        <w:r>
          <w:rPr>
            <w:webHidden/>
          </w:rPr>
          <w:instrText xml:space="preserve"> PAGEREF _Toc497216140 \h </w:instrText>
        </w:r>
        <w:r>
          <w:rPr>
            <w:webHidden/>
          </w:rPr>
        </w:r>
        <w:r>
          <w:rPr>
            <w:webHidden/>
          </w:rPr>
          <w:fldChar w:fldCharType="separate"/>
        </w:r>
        <w:r>
          <w:rPr>
            <w:webHidden/>
          </w:rPr>
          <w:t>15</w:t>
        </w:r>
        <w:r>
          <w:rPr>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497216141" w:history="1">
        <w:r>
          <w:rPr>
            <w:rStyle w:val="Collegamentoipertestuale"/>
            <w:noProof/>
          </w:rPr>
          <w:t>TB0803 - Categorie fondi</w:t>
        </w:r>
        <w:r>
          <w:rPr>
            <w:noProof/>
            <w:webHidden/>
          </w:rPr>
          <w:tab/>
        </w:r>
        <w:r>
          <w:rPr>
            <w:noProof/>
            <w:webHidden/>
          </w:rPr>
          <w:fldChar w:fldCharType="begin"/>
        </w:r>
        <w:r>
          <w:rPr>
            <w:noProof/>
            <w:webHidden/>
          </w:rPr>
          <w:instrText xml:space="preserve"> PAGEREF _Toc497216141 \h </w:instrText>
        </w:r>
        <w:r>
          <w:rPr>
            <w:noProof/>
            <w:webHidden/>
          </w:rPr>
        </w:r>
        <w:r>
          <w:rPr>
            <w:noProof/>
            <w:webHidden/>
          </w:rPr>
          <w:fldChar w:fldCharType="separate"/>
        </w:r>
        <w:r>
          <w:rPr>
            <w:noProof/>
            <w:webHidden/>
          </w:rPr>
          <w:t>15</w:t>
        </w:r>
        <w:r>
          <w:rPr>
            <w:noProof/>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497216142" w:history="1">
        <w:r>
          <w:rPr>
            <w:rStyle w:val="Collegamentoipertestuale"/>
            <w:noProof/>
          </w:rPr>
          <w:t>DIPE &gt; Progressivi &gt; Fondo previdenza</w:t>
        </w:r>
        <w:r>
          <w:rPr>
            <w:noProof/>
            <w:webHidden/>
          </w:rPr>
          <w:tab/>
        </w:r>
        <w:r>
          <w:rPr>
            <w:noProof/>
            <w:webHidden/>
          </w:rPr>
          <w:fldChar w:fldCharType="begin"/>
        </w:r>
        <w:r>
          <w:rPr>
            <w:noProof/>
            <w:webHidden/>
          </w:rPr>
          <w:instrText xml:space="preserve"> PAGEREF _Toc497216142 \h </w:instrText>
        </w:r>
        <w:r>
          <w:rPr>
            <w:noProof/>
            <w:webHidden/>
          </w:rPr>
        </w:r>
        <w:r>
          <w:rPr>
            <w:noProof/>
            <w:webHidden/>
          </w:rPr>
          <w:fldChar w:fldCharType="separate"/>
        </w:r>
        <w:r>
          <w:rPr>
            <w:noProof/>
            <w:webHidden/>
          </w:rPr>
          <w:t>16</w:t>
        </w:r>
        <w:r>
          <w:rPr>
            <w:noProof/>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497216143" w:history="1">
        <w:r>
          <w:rPr>
            <w:rStyle w:val="Collegamentoipertestuale"/>
            <w:noProof/>
          </w:rPr>
          <w:t>QUADR /PSQUA</w:t>
        </w:r>
        <w:r>
          <w:rPr>
            <w:noProof/>
            <w:webHidden/>
          </w:rPr>
          <w:tab/>
        </w:r>
        <w:r>
          <w:rPr>
            <w:noProof/>
            <w:webHidden/>
          </w:rPr>
          <w:fldChar w:fldCharType="begin"/>
        </w:r>
        <w:r>
          <w:rPr>
            <w:noProof/>
            <w:webHidden/>
          </w:rPr>
          <w:instrText xml:space="preserve"> PAGEREF _Toc497216143 \h </w:instrText>
        </w:r>
        <w:r>
          <w:rPr>
            <w:noProof/>
            <w:webHidden/>
          </w:rPr>
        </w:r>
        <w:r>
          <w:rPr>
            <w:noProof/>
            <w:webHidden/>
          </w:rPr>
          <w:fldChar w:fldCharType="separate"/>
        </w:r>
        <w:r>
          <w:rPr>
            <w:noProof/>
            <w:webHidden/>
          </w:rPr>
          <w:t>16</w:t>
        </w:r>
        <w:r>
          <w:rPr>
            <w:noProof/>
            <w:webHidden/>
          </w:rPr>
          <w:fldChar w:fldCharType="end"/>
        </w:r>
      </w:hyperlink>
    </w:p>
    <w:p>
      <w:pPr>
        <w:pStyle w:val="Sommario5"/>
        <w:tabs>
          <w:tab w:val="right" w:leader="dot" w:pos="9629"/>
        </w:tabs>
        <w:rPr>
          <w:rStyle w:val="Collegamentoipertestuale"/>
          <w:noProof/>
        </w:rPr>
      </w:pPr>
      <w:hyperlink w:anchor="_Toc497216144" w:history="1">
        <w:r>
          <w:rPr>
            <w:rStyle w:val="Collegamentoipertestuale"/>
            <w:noProof/>
          </w:rPr>
          <w:t>TELFONDI / STAFONDI</w:t>
        </w:r>
        <w:r>
          <w:rPr>
            <w:noProof/>
            <w:webHidden/>
          </w:rPr>
          <w:tab/>
        </w:r>
        <w:r>
          <w:rPr>
            <w:noProof/>
            <w:webHidden/>
          </w:rPr>
          <w:fldChar w:fldCharType="begin"/>
        </w:r>
        <w:r>
          <w:rPr>
            <w:noProof/>
            <w:webHidden/>
          </w:rPr>
          <w:instrText xml:space="preserve"> PAGEREF _Toc497216144 \h </w:instrText>
        </w:r>
        <w:r>
          <w:rPr>
            <w:noProof/>
            <w:webHidden/>
          </w:rPr>
        </w:r>
        <w:r>
          <w:rPr>
            <w:noProof/>
            <w:webHidden/>
          </w:rPr>
          <w:fldChar w:fldCharType="separate"/>
        </w:r>
        <w:r>
          <w:rPr>
            <w:noProof/>
            <w:webHidden/>
          </w:rPr>
          <w:t>17</w:t>
        </w:r>
        <w:r>
          <w:rPr>
            <w:noProof/>
            <w:webHidden/>
          </w:rPr>
          <w:fldChar w:fldCharType="end"/>
        </w:r>
      </w:hyperlink>
    </w:p>
    <w:p>
      <w:pPr>
        <w:pStyle w:val="Ignora"/>
        <w:rPr>
          <w:rFonts w:eastAsiaTheme="minorEastAsia"/>
        </w:rPr>
      </w:pPr>
    </w:p>
    <w:p>
      <w:pPr>
        <w:pStyle w:val="Sommario1"/>
        <w:rPr>
          <w:rFonts w:asciiTheme="minorHAnsi" w:eastAsiaTheme="minorEastAsia" w:hAnsiTheme="minorHAnsi" w:cstheme="minorBidi"/>
          <w:b w:val="0"/>
          <w:color w:val="auto"/>
          <w:sz w:val="22"/>
          <w:szCs w:val="22"/>
        </w:rPr>
      </w:pPr>
      <w:hyperlink w:anchor="_Toc497216145" w:history="1">
        <w:r>
          <w:rPr>
            <w:rStyle w:val="Collegamentoipertestuale"/>
          </w:rPr>
          <w:t>Archivi di base</w:t>
        </w:r>
        <w:r>
          <w:rPr>
            <w:webHidden/>
          </w:rPr>
          <w:tab/>
        </w:r>
        <w:r>
          <w:rPr>
            <w:webHidden/>
          </w:rPr>
          <w:fldChar w:fldCharType="begin"/>
        </w:r>
        <w:r>
          <w:rPr>
            <w:webHidden/>
          </w:rPr>
          <w:instrText xml:space="preserve"> PAGEREF _Toc497216145 \h </w:instrText>
        </w:r>
        <w:r>
          <w:rPr>
            <w:webHidden/>
          </w:rPr>
        </w:r>
        <w:r>
          <w:rPr>
            <w:webHidden/>
          </w:rPr>
          <w:fldChar w:fldCharType="separate"/>
        </w:r>
        <w:r>
          <w:rPr>
            <w:webHidden/>
          </w:rPr>
          <w:t>18</w:t>
        </w:r>
        <w:r>
          <w:rPr>
            <w:webHidden/>
          </w:rPr>
          <w:fldChar w:fldCharType="end"/>
        </w:r>
      </w:hyperlink>
    </w:p>
    <w:p>
      <w:pPr>
        <w:pStyle w:val="Sommario2"/>
        <w:rPr>
          <w:rFonts w:asciiTheme="minorHAnsi" w:eastAsiaTheme="minorEastAsia" w:hAnsiTheme="minorHAnsi" w:cstheme="minorBidi"/>
          <w:b w:val="0"/>
          <w:sz w:val="22"/>
          <w:szCs w:val="22"/>
        </w:rPr>
      </w:pPr>
      <w:hyperlink w:anchor="_Toc497216146" w:history="1">
        <w:r>
          <w:rPr>
            <w:rStyle w:val="Collegamentoipertestuale"/>
          </w:rPr>
          <w:t>TB0307</w:t>
        </w:r>
        <w:r>
          <w:rPr>
            <w:webHidden/>
          </w:rPr>
          <w:tab/>
        </w:r>
        <w:r>
          <w:rPr>
            <w:webHidden/>
          </w:rPr>
          <w:fldChar w:fldCharType="begin"/>
        </w:r>
        <w:r>
          <w:rPr>
            <w:webHidden/>
          </w:rPr>
          <w:instrText xml:space="preserve"> PAGEREF _Toc497216146 \h </w:instrText>
        </w:r>
        <w:r>
          <w:rPr>
            <w:webHidden/>
          </w:rPr>
        </w:r>
        <w:r>
          <w:rPr>
            <w:webHidden/>
          </w:rPr>
          <w:fldChar w:fldCharType="separate"/>
        </w:r>
        <w:r>
          <w:rPr>
            <w:webHidden/>
          </w:rPr>
          <w:t>18</w:t>
        </w:r>
        <w:r>
          <w:rPr>
            <w:webHidden/>
          </w:rPr>
          <w:fldChar w:fldCharType="end"/>
        </w:r>
      </w:hyperlink>
    </w:p>
    <w:p>
      <w:pPr>
        <w:pStyle w:val="Sommario4"/>
        <w:rPr>
          <w:rFonts w:asciiTheme="minorHAnsi" w:eastAsiaTheme="minorEastAsia" w:hAnsiTheme="minorHAnsi" w:cstheme="minorBidi"/>
          <w:i w:val="0"/>
          <w:sz w:val="22"/>
          <w:szCs w:val="22"/>
        </w:rPr>
      </w:pPr>
      <w:hyperlink w:anchor="_Toc497216147" w:history="1">
        <w:r>
          <w:rPr>
            <w:rStyle w:val="Collegamentoipertestuale"/>
          </w:rPr>
          <w:t>Contributi casse edili &gt; Scheda Eccezioni</w:t>
        </w:r>
        <w:r>
          <w:rPr>
            <w:webHidden/>
          </w:rPr>
          <w:tab/>
        </w:r>
        <w:r>
          <w:rPr>
            <w:webHidden/>
          </w:rPr>
          <w:fldChar w:fldCharType="begin"/>
        </w:r>
        <w:r>
          <w:rPr>
            <w:webHidden/>
          </w:rPr>
          <w:instrText xml:space="preserve"> PAGEREF _Toc497216147 \h </w:instrText>
        </w:r>
        <w:r>
          <w:rPr>
            <w:webHidden/>
          </w:rPr>
        </w:r>
        <w:r>
          <w:rPr>
            <w:webHidden/>
          </w:rPr>
          <w:fldChar w:fldCharType="separate"/>
        </w:r>
        <w:r>
          <w:rPr>
            <w:webHidden/>
          </w:rPr>
          <w:t>18</w:t>
        </w:r>
        <w:r>
          <w:rPr>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497216148" w:history="1">
        <w:r>
          <w:rPr>
            <w:rStyle w:val="Collegamentoipertestuale"/>
            <w:noProof/>
          </w:rPr>
          <w:t>Cassa Edile di Brescia</w:t>
        </w:r>
        <w:r>
          <w:rPr>
            <w:noProof/>
            <w:webHidden/>
          </w:rPr>
          <w:tab/>
        </w:r>
        <w:r>
          <w:rPr>
            <w:noProof/>
            <w:webHidden/>
          </w:rPr>
          <w:fldChar w:fldCharType="begin"/>
        </w:r>
        <w:r>
          <w:rPr>
            <w:noProof/>
            <w:webHidden/>
          </w:rPr>
          <w:instrText xml:space="preserve"> PAGEREF _Toc497216148 \h </w:instrText>
        </w:r>
        <w:r>
          <w:rPr>
            <w:noProof/>
            <w:webHidden/>
          </w:rPr>
        </w:r>
        <w:r>
          <w:rPr>
            <w:noProof/>
            <w:webHidden/>
          </w:rPr>
          <w:fldChar w:fldCharType="separate"/>
        </w:r>
        <w:r>
          <w:rPr>
            <w:noProof/>
            <w:webHidden/>
          </w:rPr>
          <w:t>18</w:t>
        </w:r>
        <w:r>
          <w:rPr>
            <w:noProof/>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497216149" w:history="1">
        <w:r>
          <w:rPr>
            <w:rStyle w:val="Collegamentoipertestuale"/>
            <w:noProof/>
          </w:rPr>
          <w:t>Cassa Edile di Udine</w:t>
        </w:r>
        <w:r>
          <w:rPr>
            <w:noProof/>
            <w:webHidden/>
          </w:rPr>
          <w:tab/>
        </w:r>
        <w:r>
          <w:rPr>
            <w:noProof/>
            <w:webHidden/>
          </w:rPr>
          <w:fldChar w:fldCharType="begin"/>
        </w:r>
        <w:r>
          <w:rPr>
            <w:noProof/>
            <w:webHidden/>
          </w:rPr>
          <w:instrText xml:space="preserve"> PAGEREF _Toc497216149 \h </w:instrText>
        </w:r>
        <w:r>
          <w:rPr>
            <w:noProof/>
            <w:webHidden/>
          </w:rPr>
        </w:r>
        <w:r>
          <w:rPr>
            <w:noProof/>
            <w:webHidden/>
          </w:rPr>
          <w:fldChar w:fldCharType="separate"/>
        </w:r>
        <w:r>
          <w:rPr>
            <w:noProof/>
            <w:webHidden/>
          </w:rPr>
          <w:t>18</w:t>
        </w:r>
        <w:r>
          <w:rPr>
            <w:noProof/>
            <w:webHidden/>
          </w:rPr>
          <w:fldChar w:fldCharType="end"/>
        </w:r>
      </w:hyperlink>
    </w:p>
    <w:p>
      <w:pPr>
        <w:pStyle w:val="Sommario2"/>
        <w:rPr>
          <w:rFonts w:asciiTheme="minorHAnsi" w:eastAsiaTheme="minorEastAsia" w:hAnsiTheme="minorHAnsi" w:cstheme="minorBidi"/>
          <w:b w:val="0"/>
          <w:sz w:val="22"/>
          <w:szCs w:val="22"/>
        </w:rPr>
      </w:pPr>
      <w:hyperlink w:anchor="_Toc497216150" w:history="1">
        <w:r>
          <w:rPr>
            <w:rStyle w:val="Collegamentoipertestuale"/>
          </w:rPr>
          <w:t>TB1102</w:t>
        </w:r>
        <w:r>
          <w:rPr>
            <w:webHidden/>
          </w:rPr>
          <w:tab/>
        </w:r>
        <w:r>
          <w:rPr>
            <w:webHidden/>
          </w:rPr>
          <w:fldChar w:fldCharType="begin"/>
        </w:r>
        <w:r>
          <w:rPr>
            <w:webHidden/>
          </w:rPr>
          <w:instrText xml:space="preserve"> PAGEREF _Toc497216150 \h </w:instrText>
        </w:r>
        <w:r>
          <w:rPr>
            <w:webHidden/>
          </w:rPr>
        </w:r>
        <w:r>
          <w:rPr>
            <w:webHidden/>
          </w:rPr>
          <w:fldChar w:fldCharType="separate"/>
        </w:r>
        <w:r>
          <w:rPr>
            <w:webHidden/>
          </w:rPr>
          <w:t>19</w:t>
        </w:r>
        <w:r>
          <w:rPr>
            <w:webHidden/>
          </w:rPr>
          <w:fldChar w:fldCharType="end"/>
        </w:r>
      </w:hyperlink>
    </w:p>
    <w:p>
      <w:pPr>
        <w:pStyle w:val="Sommario4"/>
        <w:rPr>
          <w:rFonts w:asciiTheme="minorHAnsi" w:eastAsiaTheme="minorEastAsia" w:hAnsiTheme="minorHAnsi" w:cstheme="minorBidi"/>
          <w:i w:val="0"/>
          <w:sz w:val="22"/>
          <w:szCs w:val="22"/>
        </w:rPr>
      </w:pPr>
      <w:hyperlink w:anchor="_Toc497216151" w:history="1">
        <w:r>
          <w:rPr>
            <w:rStyle w:val="Collegamentoipertestuale"/>
          </w:rPr>
          <w:t>Trattamento ex festività 4 novembre</w:t>
        </w:r>
        <w:r>
          <w:rPr>
            <w:webHidden/>
          </w:rPr>
          <w:tab/>
        </w:r>
        <w:r>
          <w:rPr>
            <w:webHidden/>
          </w:rPr>
          <w:fldChar w:fldCharType="begin"/>
        </w:r>
        <w:r>
          <w:rPr>
            <w:webHidden/>
          </w:rPr>
          <w:instrText xml:space="preserve"> PAGEREF _Toc497216151 \h </w:instrText>
        </w:r>
        <w:r>
          <w:rPr>
            <w:webHidden/>
          </w:rPr>
        </w:r>
        <w:r>
          <w:rPr>
            <w:webHidden/>
          </w:rPr>
          <w:fldChar w:fldCharType="separate"/>
        </w:r>
        <w:r>
          <w:rPr>
            <w:webHidden/>
          </w:rPr>
          <w:t>19</w:t>
        </w:r>
        <w:r>
          <w:rPr>
            <w:webHidden/>
          </w:rPr>
          <w:fldChar w:fldCharType="end"/>
        </w:r>
      </w:hyperlink>
    </w:p>
    <w:p>
      <w:pPr>
        <w:pStyle w:val="Sommario2"/>
        <w:rPr>
          <w:rFonts w:asciiTheme="minorHAnsi" w:eastAsiaTheme="minorEastAsia" w:hAnsiTheme="minorHAnsi" w:cstheme="minorBidi"/>
          <w:b w:val="0"/>
          <w:sz w:val="22"/>
          <w:szCs w:val="22"/>
        </w:rPr>
      </w:pPr>
      <w:hyperlink w:anchor="_Toc497216152" w:history="1">
        <w:r>
          <w:rPr>
            <w:rStyle w:val="Collegamentoipertestuale"/>
          </w:rPr>
          <w:t>AZIE / DIPE</w:t>
        </w:r>
        <w:r>
          <w:rPr>
            <w:webHidden/>
          </w:rPr>
          <w:tab/>
        </w:r>
        <w:r>
          <w:rPr>
            <w:webHidden/>
          </w:rPr>
          <w:fldChar w:fldCharType="begin"/>
        </w:r>
        <w:r>
          <w:rPr>
            <w:webHidden/>
          </w:rPr>
          <w:instrText xml:space="preserve"> PAGEREF _Toc497216152 \h </w:instrText>
        </w:r>
        <w:r>
          <w:rPr>
            <w:webHidden/>
          </w:rPr>
        </w:r>
        <w:r>
          <w:rPr>
            <w:webHidden/>
          </w:rPr>
          <w:fldChar w:fldCharType="separate"/>
        </w:r>
        <w:r>
          <w:rPr>
            <w:webHidden/>
          </w:rPr>
          <w:t>19</w:t>
        </w:r>
        <w:r>
          <w:rPr>
            <w:webHidden/>
          </w:rPr>
          <w:fldChar w:fldCharType="end"/>
        </w:r>
      </w:hyperlink>
    </w:p>
    <w:p>
      <w:pPr>
        <w:pStyle w:val="Sommario4"/>
        <w:rPr>
          <w:rFonts w:asciiTheme="minorHAnsi" w:eastAsiaTheme="minorEastAsia" w:hAnsiTheme="minorHAnsi" w:cstheme="minorBidi"/>
          <w:i w:val="0"/>
          <w:sz w:val="22"/>
          <w:szCs w:val="22"/>
        </w:rPr>
      </w:pPr>
      <w:hyperlink w:anchor="_Toc497216153" w:history="1">
        <w:r>
          <w:rPr>
            <w:rStyle w:val="Collegamentoipertestuale"/>
          </w:rPr>
          <w:t>Selezione comune cessato</w:t>
        </w:r>
        <w:r>
          <w:rPr>
            <w:webHidden/>
          </w:rPr>
          <w:tab/>
        </w:r>
        <w:r>
          <w:rPr>
            <w:webHidden/>
          </w:rPr>
          <w:fldChar w:fldCharType="begin"/>
        </w:r>
        <w:r>
          <w:rPr>
            <w:webHidden/>
          </w:rPr>
          <w:instrText xml:space="preserve"> PAGEREF _Toc497216153 \h </w:instrText>
        </w:r>
        <w:r>
          <w:rPr>
            <w:webHidden/>
          </w:rPr>
        </w:r>
        <w:r>
          <w:rPr>
            <w:webHidden/>
          </w:rPr>
          <w:fldChar w:fldCharType="separate"/>
        </w:r>
        <w:r>
          <w:rPr>
            <w:webHidden/>
          </w:rPr>
          <w:t>19</w:t>
        </w:r>
        <w:r>
          <w:rPr>
            <w:webHidden/>
          </w:rPr>
          <w:fldChar w:fldCharType="end"/>
        </w:r>
      </w:hyperlink>
    </w:p>
    <w:p>
      <w:pPr>
        <w:pStyle w:val="Sommario2"/>
        <w:rPr>
          <w:rFonts w:asciiTheme="minorHAnsi" w:eastAsiaTheme="minorEastAsia" w:hAnsiTheme="minorHAnsi" w:cstheme="minorBidi"/>
          <w:b w:val="0"/>
          <w:sz w:val="22"/>
          <w:szCs w:val="22"/>
        </w:rPr>
      </w:pPr>
      <w:hyperlink w:anchor="_Toc497216154" w:history="1">
        <w:r>
          <w:rPr>
            <w:rStyle w:val="Collegamentoipertestuale"/>
          </w:rPr>
          <w:t>DIPE</w:t>
        </w:r>
        <w:r>
          <w:rPr>
            <w:webHidden/>
          </w:rPr>
          <w:tab/>
        </w:r>
        <w:r>
          <w:rPr>
            <w:webHidden/>
          </w:rPr>
          <w:fldChar w:fldCharType="begin"/>
        </w:r>
        <w:r>
          <w:rPr>
            <w:webHidden/>
          </w:rPr>
          <w:instrText xml:space="preserve"> PAGEREF _Toc497216154 \h </w:instrText>
        </w:r>
        <w:r>
          <w:rPr>
            <w:webHidden/>
          </w:rPr>
        </w:r>
        <w:r>
          <w:rPr>
            <w:webHidden/>
          </w:rPr>
          <w:fldChar w:fldCharType="separate"/>
        </w:r>
        <w:r>
          <w:rPr>
            <w:webHidden/>
          </w:rPr>
          <w:t>20</w:t>
        </w:r>
        <w:r>
          <w:rPr>
            <w:webHidden/>
          </w:rPr>
          <w:fldChar w:fldCharType="end"/>
        </w:r>
      </w:hyperlink>
    </w:p>
    <w:p>
      <w:pPr>
        <w:pStyle w:val="Sommario4"/>
        <w:rPr>
          <w:rFonts w:asciiTheme="minorHAnsi" w:eastAsiaTheme="minorEastAsia" w:hAnsiTheme="minorHAnsi" w:cstheme="minorBidi"/>
          <w:i w:val="0"/>
          <w:sz w:val="22"/>
          <w:szCs w:val="22"/>
        </w:rPr>
      </w:pPr>
      <w:hyperlink w:anchor="_Toc497216155" w:history="1">
        <w:r>
          <w:rPr>
            <w:rStyle w:val="Collegamentoipertestuale"/>
          </w:rPr>
          <w:t>Progressivi &gt; Fondo previdenza</w:t>
        </w:r>
        <w:r>
          <w:rPr>
            <w:webHidden/>
          </w:rPr>
          <w:tab/>
        </w:r>
        <w:r>
          <w:rPr>
            <w:webHidden/>
          </w:rPr>
          <w:fldChar w:fldCharType="begin"/>
        </w:r>
        <w:r>
          <w:rPr>
            <w:webHidden/>
          </w:rPr>
          <w:instrText xml:space="preserve"> PAGEREF _Toc497216155 \h </w:instrText>
        </w:r>
        <w:r>
          <w:rPr>
            <w:webHidden/>
          </w:rPr>
        </w:r>
        <w:r>
          <w:rPr>
            <w:webHidden/>
          </w:rPr>
          <w:fldChar w:fldCharType="separate"/>
        </w:r>
        <w:r>
          <w:rPr>
            <w:webHidden/>
          </w:rPr>
          <w:t>20</w:t>
        </w:r>
        <w:r>
          <w:rPr>
            <w:webHidden/>
          </w:rPr>
          <w:fldChar w:fldCharType="end"/>
        </w:r>
      </w:hyperlink>
    </w:p>
    <w:p>
      <w:pPr>
        <w:pStyle w:val="Sommario2"/>
        <w:rPr>
          <w:rFonts w:asciiTheme="minorHAnsi" w:eastAsiaTheme="minorEastAsia" w:hAnsiTheme="minorHAnsi" w:cstheme="minorBidi"/>
          <w:b w:val="0"/>
          <w:sz w:val="22"/>
          <w:szCs w:val="22"/>
        </w:rPr>
      </w:pPr>
      <w:hyperlink w:anchor="_Toc497216156" w:history="1">
        <w:r>
          <w:rPr>
            <w:rStyle w:val="Collegamentoipertestuale"/>
          </w:rPr>
          <w:t>STAZI</w:t>
        </w:r>
        <w:r>
          <w:rPr>
            <w:webHidden/>
          </w:rPr>
          <w:tab/>
        </w:r>
        <w:r>
          <w:rPr>
            <w:webHidden/>
          </w:rPr>
          <w:fldChar w:fldCharType="begin"/>
        </w:r>
        <w:r>
          <w:rPr>
            <w:webHidden/>
          </w:rPr>
          <w:instrText xml:space="preserve"> PAGEREF _Toc497216156 \h </w:instrText>
        </w:r>
        <w:r>
          <w:rPr>
            <w:webHidden/>
          </w:rPr>
        </w:r>
        <w:r>
          <w:rPr>
            <w:webHidden/>
          </w:rPr>
          <w:fldChar w:fldCharType="separate"/>
        </w:r>
        <w:r>
          <w:rPr>
            <w:webHidden/>
          </w:rPr>
          <w:t>20</w:t>
        </w:r>
        <w:r>
          <w:rPr>
            <w:webHidden/>
          </w:rPr>
          <w:fldChar w:fldCharType="end"/>
        </w:r>
      </w:hyperlink>
    </w:p>
    <w:p>
      <w:pPr>
        <w:pStyle w:val="Sommario4"/>
        <w:rPr>
          <w:rStyle w:val="Collegamentoipertestuale"/>
        </w:rPr>
      </w:pPr>
      <w:hyperlink w:anchor="_Toc497216157" w:history="1">
        <w:r>
          <w:rPr>
            <w:rStyle w:val="Collegamentoipertestuale"/>
          </w:rPr>
          <w:t>Stampa tabelle aziendali</w:t>
        </w:r>
        <w:r>
          <w:rPr>
            <w:webHidden/>
          </w:rPr>
          <w:tab/>
        </w:r>
        <w:r>
          <w:rPr>
            <w:webHidden/>
          </w:rPr>
          <w:fldChar w:fldCharType="begin"/>
        </w:r>
        <w:r>
          <w:rPr>
            <w:webHidden/>
          </w:rPr>
          <w:instrText xml:space="preserve"> PAGEREF _Toc497216157 \h </w:instrText>
        </w:r>
        <w:r>
          <w:rPr>
            <w:webHidden/>
          </w:rPr>
        </w:r>
        <w:r>
          <w:rPr>
            <w:webHidden/>
          </w:rPr>
          <w:fldChar w:fldCharType="separate"/>
        </w:r>
        <w:r>
          <w:rPr>
            <w:webHidden/>
          </w:rPr>
          <w:t>20</w:t>
        </w:r>
        <w:r>
          <w:rPr>
            <w:webHidden/>
          </w:rPr>
          <w:fldChar w:fldCharType="end"/>
        </w:r>
      </w:hyperlink>
    </w:p>
    <w:p>
      <w:pPr>
        <w:pStyle w:val="Ignora"/>
        <w:rPr>
          <w:rFonts w:eastAsiaTheme="minorEastAsia"/>
        </w:rPr>
      </w:pPr>
    </w:p>
    <w:p>
      <w:pPr>
        <w:pStyle w:val="Sommario1"/>
        <w:rPr>
          <w:rFonts w:asciiTheme="minorHAnsi" w:eastAsiaTheme="minorEastAsia" w:hAnsiTheme="minorHAnsi" w:cstheme="minorBidi"/>
          <w:b w:val="0"/>
          <w:color w:val="auto"/>
          <w:sz w:val="22"/>
          <w:szCs w:val="22"/>
        </w:rPr>
      </w:pPr>
      <w:hyperlink w:anchor="_Toc497216158" w:history="1">
        <w:r>
          <w:rPr>
            <w:rStyle w:val="Collegamentoipertestuale"/>
          </w:rPr>
          <w:t>Elaborazioni mensili</w:t>
        </w:r>
        <w:r>
          <w:rPr>
            <w:webHidden/>
          </w:rPr>
          <w:tab/>
        </w:r>
        <w:r>
          <w:rPr>
            <w:webHidden/>
          </w:rPr>
          <w:fldChar w:fldCharType="begin"/>
        </w:r>
        <w:r>
          <w:rPr>
            <w:webHidden/>
          </w:rPr>
          <w:instrText xml:space="preserve"> PAGEREF _Toc497216158 \h </w:instrText>
        </w:r>
        <w:r>
          <w:rPr>
            <w:webHidden/>
          </w:rPr>
        </w:r>
        <w:r>
          <w:rPr>
            <w:webHidden/>
          </w:rPr>
          <w:fldChar w:fldCharType="separate"/>
        </w:r>
        <w:r>
          <w:rPr>
            <w:webHidden/>
          </w:rPr>
          <w:t>21</w:t>
        </w:r>
        <w:r>
          <w:rPr>
            <w:webHidden/>
          </w:rPr>
          <w:fldChar w:fldCharType="end"/>
        </w:r>
      </w:hyperlink>
    </w:p>
    <w:p>
      <w:pPr>
        <w:pStyle w:val="Sommario2"/>
        <w:rPr>
          <w:rFonts w:asciiTheme="minorHAnsi" w:eastAsiaTheme="minorEastAsia" w:hAnsiTheme="minorHAnsi" w:cstheme="minorBidi"/>
          <w:b w:val="0"/>
          <w:sz w:val="22"/>
          <w:szCs w:val="22"/>
        </w:rPr>
      </w:pPr>
      <w:hyperlink w:anchor="_Toc497216159" w:history="1">
        <w:r>
          <w:rPr>
            <w:rStyle w:val="Collegamentoipertestuale"/>
          </w:rPr>
          <w:t>CEDOL</w:t>
        </w:r>
        <w:r>
          <w:rPr>
            <w:webHidden/>
          </w:rPr>
          <w:tab/>
        </w:r>
        <w:r>
          <w:rPr>
            <w:webHidden/>
          </w:rPr>
          <w:fldChar w:fldCharType="begin"/>
        </w:r>
        <w:r>
          <w:rPr>
            <w:webHidden/>
          </w:rPr>
          <w:instrText xml:space="preserve"> PAGEREF _Toc497216159 \h </w:instrText>
        </w:r>
        <w:r>
          <w:rPr>
            <w:webHidden/>
          </w:rPr>
        </w:r>
        <w:r>
          <w:rPr>
            <w:webHidden/>
          </w:rPr>
          <w:fldChar w:fldCharType="separate"/>
        </w:r>
        <w:r>
          <w:rPr>
            <w:webHidden/>
          </w:rPr>
          <w:t>21</w:t>
        </w:r>
        <w:r>
          <w:rPr>
            <w:webHidden/>
          </w:rPr>
          <w:fldChar w:fldCharType="end"/>
        </w:r>
      </w:hyperlink>
    </w:p>
    <w:p>
      <w:pPr>
        <w:pStyle w:val="Sommario4"/>
        <w:rPr>
          <w:rFonts w:asciiTheme="minorHAnsi" w:eastAsiaTheme="minorEastAsia" w:hAnsiTheme="minorHAnsi" w:cstheme="minorBidi"/>
          <w:i w:val="0"/>
          <w:sz w:val="22"/>
          <w:szCs w:val="22"/>
        </w:rPr>
      </w:pPr>
      <w:hyperlink w:anchor="_Toc497216160" w:history="1">
        <w:r>
          <w:rPr>
            <w:rStyle w:val="Collegamentoipertestuale"/>
          </w:rPr>
          <w:t>Lavoratori Spettacolo e Sportivi professionisti – Giorni retribuiti</w:t>
        </w:r>
        <w:r>
          <w:rPr>
            <w:webHidden/>
          </w:rPr>
          <w:tab/>
        </w:r>
        <w:r>
          <w:rPr>
            <w:webHidden/>
          </w:rPr>
          <w:fldChar w:fldCharType="begin"/>
        </w:r>
        <w:r>
          <w:rPr>
            <w:webHidden/>
          </w:rPr>
          <w:instrText xml:space="preserve"> PAGEREF _Toc497216160 \h </w:instrText>
        </w:r>
        <w:r>
          <w:rPr>
            <w:webHidden/>
          </w:rPr>
        </w:r>
        <w:r>
          <w:rPr>
            <w:webHidden/>
          </w:rPr>
          <w:fldChar w:fldCharType="separate"/>
        </w:r>
        <w:r>
          <w:rPr>
            <w:webHidden/>
          </w:rPr>
          <w:t>21</w:t>
        </w:r>
        <w:r>
          <w:rPr>
            <w:webHidden/>
          </w:rPr>
          <w:fldChar w:fldCharType="end"/>
        </w:r>
      </w:hyperlink>
    </w:p>
    <w:p>
      <w:pPr>
        <w:pStyle w:val="Sommario2"/>
        <w:rPr>
          <w:rFonts w:asciiTheme="minorHAnsi" w:eastAsiaTheme="minorEastAsia" w:hAnsiTheme="minorHAnsi" w:cstheme="minorBidi"/>
          <w:b w:val="0"/>
          <w:sz w:val="22"/>
          <w:szCs w:val="22"/>
        </w:rPr>
      </w:pPr>
      <w:hyperlink w:anchor="_Toc497216161" w:history="1">
        <w:r>
          <w:rPr>
            <w:rStyle w:val="Collegamentoipertestuale"/>
          </w:rPr>
          <w:t>TRAFPC</w:t>
        </w:r>
        <w:r>
          <w:rPr>
            <w:webHidden/>
          </w:rPr>
          <w:tab/>
        </w:r>
        <w:r>
          <w:rPr>
            <w:webHidden/>
          </w:rPr>
          <w:fldChar w:fldCharType="begin"/>
        </w:r>
        <w:r>
          <w:rPr>
            <w:webHidden/>
          </w:rPr>
          <w:instrText xml:space="preserve"> PAGEREF _Toc497216161 \h </w:instrText>
        </w:r>
        <w:r>
          <w:rPr>
            <w:webHidden/>
          </w:rPr>
        </w:r>
        <w:r>
          <w:rPr>
            <w:webHidden/>
          </w:rPr>
          <w:fldChar w:fldCharType="separate"/>
        </w:r>
        <w:r>
          <w:rPr>
            <w:webHidden/>
          </w:rPr>
          <w:t>22</w:t>
        </w:r>
        <w:r>
          <w:rPr>
            <w:webHidden/>
          </w:rPr>
          <w:fldChar w:fldCharType="end"/>
        </w:r>
      </w:hyperlink>
    </w:p>
    <w:p>
      <w:pPr>
        <w:pStyle w:val="Sommario4"/>
        <w:rPr>
          <w:rStyle w:val="Collegamentoipertestuale"/>
        </w:rPr>
      </w:pPr>
      <w:hyperlink w:anchor="_Toc497216162" w:history="1">
        <w:r>
          <w:rPr>
            <w:rStyle w:val="Collegamentoipertestuale"/>
          </w:rPr>
          <w:t>Cambio fondo previdenza</w:t>
        </w:r>
        <w:r>
          <w:rPr>
            <w:webHidden/>
          </w:rPr>
          <w:tab/>
        </w:r>
        <w:r>
          <w:rPr>
            <w:webHidden/>
          </w:rPr>
          <w:fldChar w:fldCharType="begin"/>
        </w:r>
        <w:r>
          <w:rPr>
            <w:webHidden/>
          </w:rPr>
          <w:instrText xml:space="preserve"> PAGEREF _Toc497216162 \h </w:instrText>
        </w:r>
        <w:r>
          <w:rPr>
            <w:webHidden/>
          </w:rPr>
        </w:r>
        <w:r>
          <w:rPr>
            <w:webHidden/>
          </w:rPr>
          <w:fldChar w:fldCharType="separate"/>
        </w:r>
        <w:r>
          <w:rPr>
            <w:webHidden/>
          </w:rPr>
          <w:t>22</w:t>
        </w:r>
        <w:r>
          <w:rPr>
            <w:webHidden/>
          </w:rPr>
          <w:fldChar w:fldCharType="end"/>
        </w:r>
      </w:hyperlink>
    </w:p>
    <w:p>
      <w:pPr>
        <w:pStyle w:val="Ignora"/>
        <w:rPr>
          <w:rFonts w:eastAsiaTheme="minorEastAsia"/>
        </w:rPr>
      </w:pPr>
    </w:p>
    <w:p>
      <w:pPr>
        <w:pStyle w:val="Sommario1"/>
        <w:rPr>
          <w:rFonts w:asciiTheme="minorHAnsi" w:eastAsiaTheme="minorEastAsia" w:hAnsiTheme="minorHAnsi" w:cstheme="minorBidi"/>
          <w:b w:val="0"/>
          <w:color w:val="auto"/>
          <w:sz w:val="22"/>
          <w:szCs w:val="22"/>
        </w:rPr>
      </w:pPr>
      <w:hyperlink w:anchor="_Toc497216163" w:history="1">
        <w:r>
          <w:rPr>
            <w:rStyle w:val="Collegamentoipertestuale"/>
          </w:rPr>
          <w:t>Fondi di previdenza</w:t>
        </w:r>
        <w:r>
          <w:rPr>
            <w:webHidden/>
          </w:rPr>
          <w:tab/>
        </w:r>
        <w:r>
          <w:rPr>
            <w:webHidden/>
          </w:rPr>
          <w:fldChar w:fldCharType="begin"/>
        </w:r>
        <w:r>
          <w:rPr>
            <w:webHidden/>
          </w:rPr>
          <w:instrText xml:space="preserve"> PAGEREF _Toc497216163 \h </w:instrText>
        </w:r>
        <w:r>
          <w:rPr>
            <w:webHidden/>
          </w:rPr>
        </w:r>
        <w:r>
          <w:rPr>
            <w:webHidden/>
          </w:rPr>
          <w:fldChar w:fldCharType="separate"/>
        </w:r>
        <w:r>
          <w:rPr>
            <w:webHidden/>
          </w:rPr>
          <w:t>24</w:t>
        </w:r>
        <w:r>
          <w:rPr>
            <w:webHidden/>
          </w:rPr>
          <w:fldChar w:fldCharType="end"/>
        </w:r>
      </w:hyperlink>
    </w:p>
    <w:p>
      <w:pPr>
        <w:pStyle w:val="Sommario4"/>
        <w:rPr>
          <w:rFonts w:asciiTheme="minorHAnsi" w:eastAsiaTheme="minorEastAsia" w:hAnsiTheme="minorHAnsi" w:cstheme="minorBidi"/>
          <w:i w:val="0"/>
          <w:sz w:val="22"/>
          <w:szCs w:val="22"/>
        </w:rPr>
      </w:pPr>
      <w:hyperlink w:anchor="_Toc497216164" w:history="1">
        <w:r>
          <w:rPr>
            <w:rStyle w:val="Collegamentoipertestuale"/>
          </w:rPr>
          <w:t>Confluenza fondo Prev.i.log in fondo Priamo</w:t>
        </w:r>
        <w:r>
          <w:rPr>
            <w:webHidden/>
          </w:rPr>
          <w:tab/>
        </w:r>
        <w:r>
          <w:rPr>
            <w:webHidden/>
          </w:rPr>
          <w:fldChar w:fldCharType="begin"/>
        </w:r>
        <w:r>
          <w:rPr>
            <w:webHidden/>
          </w:rPr>
          <w:instrText xml:space="preserve"> PAGEREF _Toc497216164 \h </w:instrText>
        </w:r>
        <w:r>
          <w:rPr>
            <w:webHidden/>
          </w:rPr>
        </w:r>
        <w:r>
          <w:rPr>
            <w:webHidden/>
          </w:rPr>
          <w:fldChar w:fldCharType="separate"/>
        </w:r>
        <w:r>
          <w:rPr>
            <w:webHidden/>
          </w:rPr>
          <w:t>24</w:t>
        </w:r>
        <w:r>
          <w:rPr>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497216165" w:history="1">
        <w:r>
          <w:rPr>
            <w:rStyle w:val="Collegamentoipertestuale"/>
            <w:noProof/>
          </w:rPr>
          <w:t>TRAFPC – Cambio fondo di previdenza</w:t>
        </w:r>
        <w:r>
          <w:rPr>
            <w:noProof/>
            <w:webHidden/>
          </w:rPr>
          <w:tab/>
        </w:r>
        <w:r>
          <w:rPr>
            <w:noProof/>
            <w:webHidden/>
          </w:rPr>
          <w:fldChar w:fldCharType="begin"/>
        </w:r>
        <w:r>
          <w:rPr>
            <w:noProof/>
            <w:webHidden/>
          </w:rPr>
          <w:instrText xml:space="preserve"> PAGEREF _Toc497216165 \h </w:instrText>
        </w:r>
        <w:r>
          <w:rPr>
            <w:noProof/>
            <w:webHidden/>
          </w:rPr>
        </w:r>
        <w:r>
          <w:rPr>
            <w:noProof/>
            <w:webHidden/>
          </w:rPr>
          <w:fldChar w:fldCharType="separate"/>
        </w:r>
        <w:r>
          <w:rPr>
            <w:noProof/>
            <w:webHidden/>
          </w:rPr>
          <w:t>24</w:t>
        </w:r>
        <w:r>
          <w:rPr>
            <w:noProof/>
            <w:webHidden/>
          </w:rPr>
          <w:fldChar w:fldCharType="end"/>
        </w:r>
      </w:hyperlink>
    </w:p>
    <w:p>
      <w:pPr>
        <w:pStyle w:val="Sommario5"/>
        <w:tabs>
          <w:tab w:val="right" w:leader="dot" w:pos="9629"/>
        </w:tabs>
        <w:rPr>
          <w:rStyle w:val="Collegamentoipertestuale"/>
          <w:noProof/>
        </w:rPr>
      </w:pPr>
      <w:hyperlink w:anchor="_Toc497216166" w:history="1">
        <w:r>
          <w:rPr>
            <w:rStyle w:val="Collegamentoipertestuale"/>
            <w:noProof/>
          </w:rPr>
          <w:t>TELFONDI / STAFONDI – Telematico / stampa distinta di contribuzione</w:t>
        </w:r>
        <w:r>
          <w:rPr>
            <w:noProof/>
            <w:webHidden/>
          </w:rPr>
          <w:tab/>
        </w:r>
        <w:r>
          <w:rPr>
            <w:noProof/>
            <w:webHidden/>
          </w:rPr>
          <w:fldChar w:fldCharType="begin"/>
        </w:r>
        <w:r>
          <w:rPr>
            <w:noProof/>
            <w:webHidden/>
          </w:rPr>
          <w:instrText xml:space="preserve"> PAGEREF _Toc497216166 \h </w:instrText>
        </w:r>
        <w:r>
          <w:rPr>
            <w:noProof/>
            <w:webHidden/>
          </w:rPr>
        </w:r>
        <w:r>
          <w:rPr>
            <w:noProof/>
            <w:webHidden/>
          </w:rPr>
          <w:fldChar w:fldCharType="separate"/>
        </w:r>
        <w:r>
          <w:rPr>
            <w:noProof/>
            <w:webHidden/>
          </w:rPr>
          <w:t>24</w:t>
        </w:r>
        <w:r>
          <w:rPr>
            <w:noProof/>
            <w:webHidden/>
          </w:rPr>
          <w:fldChar w:fldCharType="end"/>
        </w:r>
      </w:hyperlink>
    </w:p>
    <w:p>
      <w:pPr>
        <w:pStyle w:val="Ignora"/>
        <w:rPr>
          <w:rFonts w:eastAsiaTheme="minorEastAsia"/>
        </w:rPr>
      </w:pPr>
    </w:p>
    <w:p>
      <w:pPr>
        <w:pStyle w:val="Sommario1"/>
        <w:rPr>
          <w:rFonts w:asciiTheme="minorHAnsi" w:eastAsiaTheme="minorEastAsia" w:hAnsiTheme="minorHAnsi" w:cstheme="minorBidi"/>
          <w:b w:val="0"/>
          <w:color w:val="auto"/>
          <w:sz w:val="22"/>
          <w:szCs w:val="22"/>
        </w:rPr>
      </w:pPr>
      <w:hyperlink w:anchor="_Toc497216167" w:history="1">
        <w:r>
          <w:rPr>
            <w:rStyle w:val="Collegamentoipertestuale"/>
          </w:rPr>
          <w:t>Utility e funzioni varie</w:t>
        </w:r>
        <w:r>
          <w:rPr>
            <w:webHidden/>
          </w:rPr>
          <w:tab/>
        </w:r>
        <w:r>
          <w:rPr>
            <w:webHidden/>
          </w:rPr>
          <w:fldChar w:fldCharType="begin"/>
        </w:r>
        <w:r>
          <w:rPr>
            <w:webHidden/>
          </w:rPr>
          <w:instrText xml:space="preserve"> PAGEREF _Toc497216167 \h </w:instrText>
        </w:r>
        <w:r>
          <w:rPr>
            <w:webHidden/>
          </w:rPr>
        </w:r>
        <w:r>
          <w:rPr>
            <w:webHidden/>
          </w:rPr>
          <w:fldChar w:fldCharType="separate"/>
        </w:r>
        <w:r>
          <w:rPr>
            <w:webHidden/>
          </w:rPr>
          <w:t>25</w:t>
        </w:r>
        <w:r>
          <w:rPr>
            <w:webHidden/>
          </w:rPr>
          <w:fldChar w:fldCharType="end"/>
        </w:r>
      </w:hyperlink>
    </w:p>
    <w:p>
      <w:pPr>
        <w:pStyle w:val="Sommario2"/>
        <w:rPr>
          <w:rFonts w:asciiTheme="minorHAnsi" w:eastAsiaTheme="minorEastAsia" w:hAnsiTheme="minorHAnsi" w:cstheme="minorBidi"/>
          <w:b w:val="0"/>
          <w:sz w:val="22"/>
          <w:szCs w:val="22"/>
        </w:rPr>
      </w:pPr>
      <w:hyperlink w:anchor="_Toc497216168" w:history="1">
        <w:r>
          <w:rPr>
            <w:rStyle w:val="Collegamentoipertestuale"/>
          </w:rPr>
          <w:t>IMPWEL</w:t>
        </w:r>
        <w:r>
          <w:rPr>
            <w:webHidden/>
          </w:rPr>
          <w:tab/>
        </w:r>
        <w:r>
          <w:rPr>
            <w:webHidden/>
          </w:rPr>
          <w:fldChar w:fldCharType="begin"/>
        </w:r>
        <w:r>
          <w:rPr>
            <w:webHidden/>
          </w:rPr>
          <w:instrText xml:space="preserve"> PAGEREF _Toc497216168 \h </w:instrText>
        </w:r>
        <w:r>
          <w:rPr>
            <w:webHidden/>
          </w:rPr>
        </w:r>
        <w:r>
          <w:rPr>
            <w:webHidden/>
          </w:rPr>
          <w:fldChar w:fldCharType="separate"/>
        </w:r>
        <w:r>
          <w:rPr>
            <w:webHidden/>
          </w:rPr>
          <w:t>25</w:t>
        </w:r>
        <w:r>
          <w:rPr>
            <w:webHidden/>
          </w:rPr>
          <w:fldChar w:fldCharType="end"/>
        </w:r>
      </w:hyperlink>
    </w:p>
    <w:p>
      <w:pPr>
        <w:pStyle w:val="Sommario4"/>
        <w:rPr>
          <w:rFonts w:asciiTheme="minorHAnsi" w:eastAsiaTheme="minorEastAsia" w:hAnsiTheme="minorHAnsi" w:cstheme="minorBidi"/>
          <w:i w:val="0"/>
          <w:sz w:val="22"/>
          <w:szCs w:val="22"/>
        </w:rPr>
      </w:pPr>
      <w:hyperlink w:anchor="_Toc497216169" w:history="1">
        <w:r>
          <w:rPr>
            <w:rStyle w:val="Collegamentoipertestuale"/>
          </w:rPr>
          <w:t>Importazione Welfare aziendale da file csv</w:t>
        </w:r>
        <w:r>
          <w:rPr>
            <w:webHidden/>
          </w:rPr>
          <w:tab/>
        </w:r>
        <w:r>
          <w:rPr>
            <w:webHidden/>
          </w:rPr>
          <w:fldChar w:fldCharType="begin"/>
        </w:r>
        <w:r>
          <w:rPr>
            <w:webHidden/>
          </w:rPr>
          <w:instrText xml:space="preserve"> PAGEREF _Toc497216169 \h </w:instrText>
        </w:r>
        <w:r>
          <w:rPr>
            <w:webHidden/>
          </w:rPr>
        </w:r>
        <w:r>
          <w:rPr>
            <w:webHidden/>
          </w:rPr>
          <w:fldChar w:fldCharType="separate"/>
        </w:r>
        <w:r>
          <w:rPr>
            <w:webHidden/>
          </w:rPr>
          <w:t>25</w:t>
        </w:r>
        <w:r>
          <w:rPr>
            <w:webHidden/>
          </w:rPr>
          <w:fldChar w:fldCharType="end"/>
        </w:r>
      </w:hyperlink>
    </w:p>
    <w:p>
      <w:pPr>
        <w:pStyle w:val="corpoAltF"/>
        <w:rPr>
          <w:rStyle w:val="Collegamentoipertestuale"/>
          <w:i/>
          <w:iCs/>
          <w:noProof/>
          <w:color w:val="auto"/>
          <w:spacing w:val="-20"/>
          <w:szCs w:val="28"/>
          <w:u w:val="none"/>
        </w:rPr>
      </w:pPr>
      <w:r>
        <w:rPr>
          <w:rStyle w:val="Collegamentoipertestuale"/>
          <w:b/>
          <w:i/>
          <w:iCs/>
          <w:noProof/>
          <w:color w:val="auto"/>
          <w:spacing w:val="-20"/>
          <w:szCs w:val="28"/>
          <w:u w:val="none"/>
        </w:rPr>
        <w:fldChar w:fldCharType="end"/>
      </w:r>
      <w:bookmarkStart w:id="2" w:name="_GoBack"/>
      <w:bookmarkEnd w:id="2"/>
    </w:p>
    <w:p>
      <w:pPr>
        <w:pStyle w:val="CorpoAltF0"/>
      </w:pPr>
    </w:p>
    <w:p>
      <w:pPr>
        <w:pStyle w:val="CorpoAltF0"/>
        <w:sectPr>
          <w:headerReference w:type="default" r:id="rId9"/>
          <w:footerReference w:type="default" r:id="rId10"/>
          <w:pgSz w:w="11907" w:h="16840" w:code="9"/>
          <w:pgMar w:top="567" w:right="1134" w:bottom="1134" w:left="1134" w:header="397" w:footer="397" w:gutter="0"/>
          <w:pgNumType w:chapStyle="1" w:chapSep="period"/>
          <w:cols w:space="720"/>
          <w:noEndnote/>
        </w:sectPr>
      </w:pPr>
    </w:p>
    <w:bookmarkEnd w:id="0"/>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58"/>
        </w:trPr>
        <w:tc>
          <w:tcPr>
            <w:tcW w:w="6874" w:type="dxa"/>
            <w:tcBorders>
              <w:top w:val="nil"/>
              <w:left w:val="nil"/>
              <w:bottom w:val="single" w:sz="12" w:space="0" w:color="auto"/>
              <w:right w:val="nil"/>
            </w:tcBorders>
            <w:vAlign w:val="center"/>
          </w:tcPr>
          <w:p>
            <w:pPr>
              <w:pStyle w:val="TS-titolo-01"/>
              <w:outlineLvl w:val="0"/>
            </w:pPr>
            <w:bookmarkStart w:id="3" w:name="Conversione_auto"/>
            <w:bookmarkStart w:id="4" w:name="_Toc496285494"/>
            <w:bookmarkStart w:id="5" w:name="_Toc497216121"/>
            <w:bookmarkEnd w:id="3"/>
            <w:r>
              <w:t>Conversione automatica archivi</w:t>
            </w:r>
            <w:bookmarkEnd w:id="4"/>
            <w:bookmarkEnd w:id="5"/>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Ignora"/>
      </w:pPr>
    </w:p>
    <w:p>
      <w:pPr>
        <w:pStyle w:val="TS-titolo-04"/>
      </w:pPr>
      <w:bookmarkStart w:id="6" w:name="_Toc496285495"/>
      <w:bookmarkStart w:id="7" w:name="_Toc497216122"/>
      <w:r>
        <w:t>Conversione automatica archivi in fase di installazione</w:t>
      </w:r>
      <w:bookmarkEnd w:id="6"/>
      <w:bookmarkEnd w:id="7"/>
    </w:p>
    <w:p>
      <w:pPr>
        <w:pStyle w:val="CorpoAltF0"/>
        <w:spacing w:before="120"/>
      </w:pPr>
      <w:r>
        <w:t>Il programma è stato implementato per eseguire automaticamente la conversione degli archivi al termine dell’installazione della versione.</w:t>
      </w:r>
    </w:p>
    <w:p>
      <w:pPr>
        <w:pStyle w:val="CorpoAltF0"/>
        <w:spacing w:before="120"/>
      </w:pPr>
      <w:r>
        <w:t>La progressione e l’esito della conversione vengono visualizzati a video tra le operazioni effettuate in fase d’installazione; nel caso di installazione in ambiente nativo vengono esposti nel log d’installazione.</w:t>
      </w:r>
    </w:p>
    <w:p>
      <w:pPr>
        <w:pStyle w:val="CorpoAltF0"/>
        <w:spacing w:before="120"/>
        <w:jc w:val="center"/>
      </w:pPr>
      <w:r>
        <w:rPr>
          <w:noProof/>
        </w:rPr>
        <w:drawing>
          <wp:inline distT="0" distB="0" distL="0" distR="0">
            <wp:extent cx="5040000" cy="2920119"/>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0000" cy="2920119"/>
                    </a:xfrm>
                    <a:prstGeom prst="rect">
                      <a:avLst/>
                    </a:prstGeom>
                  </pic:spPr>
                </pic:pic>
              </a:graphicData>
            </a:graphic>
          </wp:inline>
        </w:drawing>
      </w:r>
    </w:p>
    <w:p>
      <w:pPr>
        <w:pStyle w:val="CorpoAltF0"/>
        <w:spacing w:before="120"/>
      </w:pPr>
      <w:r>
        <w:t xml:space="preserve">Prima di eseguire la conversione il programma provvede ad effettuare una copia </w:t>
      </w:r>
      <w:r>
        <w:rPr>
          <w:u w:val="single"/>
        </w:rPr>
        <w:t>dei soli archivi interessati dalla conversione</w:t>
      </w:r>
      <w:r>
        <w:t xml:space="preserve"> stessa. A tal fine viene verificata la disponibilità dello spazio su disco necessario alla copia dei file.</w:t>
      </w:r>
    </w:p>
    <w:p>
      <w:pPr>
        <w:pStyle w:val="CorpoAltF0"/>
        <w:spacing w:before="60"/>
      </w:pPr>
      <w:r>
        <w:t>In assenza di spazio per la copia la conversione non viene effettuata e dovrà essere eseguita manualmente dall’utente in fase di accesso all’applicativo (</w:t>
      </w:r>
      <w:r>
        <w:rPr>
          <w:b/>
        </w:rPr>
        <w:t>CONVERS</w:t>
      </w:r>
      <w:r>
        <w:t>). In tal caso verrà esposto un apposito messaggio al termine delle operazioni d’installazione.</w:t>
      </w:r>
    </w:p>
    <w:p>
      <w:pPr>
        <w:pStyle w:val="CorpoAltF0"/>
        <w:spacing w:before="120"/>
      </w:pPr>
      <w:r>
        <w:t>L’esecuzione delle copie provvede alla creazione nella cartella \CED, della sottocartella \</w:t>
      </w:r>
      <w:proofErr w:type="spellStart"/>
      <w:r>
        <w:t>instbackup</w:t>
      </w:r>
      <w:proofErr w:type="spellEnd"/>
      <w:r>
        <w:t>, all’interno della quale, ad ogni copia automatica, viene inserita una ulteriore cartella contente i file copiati, denominata \</w:t>
      </w:r>
      <w:proofErr w:type="spellStart"/>
      <w:r>
        <w:t>EPAGHE_versione_data_ora</w:t>
      </w:r>
      <w:proofErr w:type="spellEnd"/>
      <w:r>
        <w:t>, dove la versione è quella in installazione, e la data e l’ora sono quelle di esecuzione della copia.</w:t>
      </w:r>
    </w:p>
    <w:p>
      <w:pPr>
        <w:pStyle w:val="CorpoAltF0"/>
        <w:spacing w:before="60"/>
      </w:pPr>
      <w:r>
        <w:t>Ad ogni installazione con conversione il programma provvederà automaticamente all’eliminazione delle cartelle \</w:t>
      </w:r>
      <w:proofErr w:type="spellStart"/>
      <w:r>
        <w:t>EPAGHE_versione_data_ora</w:t>
      </w:r>
      <w:proofErr w:type="spellEnd"/>
      <w:r>
        <w:t xml:space="preserve"> con data precedente 30 giorni rispetto a quella d’installazione.</w:t>
      </w:r>
    </w:p>
    <w:p>
      <w:pPr>
        <w:pStyle w:val="CorpoAltF0"/>
        <w:spacing w:before="60"/>
      </w:pPr>
      <w:r>
        <w:t>Una volta terminata con esito positivo la conversione non può essere ripetuta.</w:t>
      </w:r>
    </w:p>
    <w:p>
      <w:pPr>
        <w:pStyle w:val="CorpoAltF0"/>
        <w:spacing w:before="120"/>
      </w:pPr>
      <w:r>
        <w:t>Si precisa che:</w:t>
      </w:r>
    </w:p>
    <w:p>
      <w:pPr>
        <w:pStyle w:val="CorpoAltF0"/>
        <w:numPr>
          <w:ilvl w:val="0"/>
          <w:numId w:val="12"/>
        </w:numPr>
        <w:spacing w:before="60"/>
        <w:ind w:left="284" w:hanging="284"/>
      </w:pPr>
      <w:r>
        <w:t>se la conversione automatica viene interrotta in maniera imprevista, sarà necessaria l’esecuzione manuale (</w:t>
      </w:r>
      <w:r>
        <w:rPr>
          <w:b/>
        </w:rPr>
        <w:t>CONVERS</w:t>
      </w:r>
      <w:r>
        <w:t>), in tal caso il processo verrà ripreso dalla fase in cui è stato interrotto;</w:t>
      </w:r>
    </w:p>
    <w:p>
      <w:pPr>
        <w:pStyle w:val="CorpoAltF0"/>
        <w:numPr>
          <w:ilvl w:val="0"/>
          <w:numId w:val="12"/>
        </w:numPr>
        <w:spacing w:before="60"/>
        <w:ind w:left="284" w:hanging="284"/>
      </w:pPr>
      <w:r>
        <w:t>in presenza della fase di conversione “Creazione nuove voci” (</w:t>
      </w:r>
      <w:r>
        <w:rPr>
          <w:b/>
        </w:rPr>
        <w:t>IMPVOCI</w:t>
      </w:r>
      <w:r>
        <w:t>), nel caso in cui i codici da creare risultino già presenti la conversione automatica viene interrotta e dovrà essere eseguita manualmente;</w:t>
      </w:r>
    </w:p>
    <w:p>
      <w:pPr>
        <w:pStyle w:val="CorpoAltF0"/>
        <w:numPr>
          <w:ilvl w:val="0"/>
          <w:numId w:val="12"/>
        </w:numPr>
        <w:spacing w:before="60"/>
        <w:ind w:left="284" w:hanging="284"/>
      </w:pPr>
      <w:r>
        <w:t>nel caso di esecuzione manuale della conversione l’eventuale copia degli archivi è cura dell’utente;</w:t>
      </w:r>
    </w:p>
    <w:p>
      <w:pPr>
        <w:pStyle w:val="CorpoAltF0"/>
        <w:numPr>
          <w:ilvl w:val="0"/>
          <w:numId w:val="12"/>
        </w:numPr>
        <w:spacing w:before="60"/>
        <w:ind w:left="284" w:hanging="284"/>
      </w:pPr>
      <w:r>
        <w:t>l’operazione di copia degli archivi interessati dalla conversione non sostituisce il backup periodico degli interi archivi che rimane a cura dell’utente;</w:t>
      </w:r>
    </w:p>
    <w:p>
      <w:pPr>
        <w:pStyle w:val="CorpoAltF0"/>
        <w:numPr>
          <w:ilvl w:val="0"/>
          <w:numId w:val="12"/>
        </w:numPr>
        <w:spacing w:before="60"/>
        <w:ind w:left="284" w:hanging="284"/>
      </w:pPr>
      <w:bookmarkStart w:id="8" w:name="_Hlk496200108"/>
      <w:r>
        <w:t>l’esecuzione automatica della conversione potrebbe comportare tempi di installazione più lunghi.</w:t>
      </w:r>
    </w:p>
    <w:bookmarkEnd w:id="8"/>
    <w:p>
      <w:pPr>
        <w:pStyle w:val="CorpoAltF0"/>
      </w:pPr>
      <w:r>
        <w:br w:type="page"/>
      </w:r>
    </w:p>
    <w:p>
      <w:pPr>
        <w:pStyle w:val="CorpoAltF0"/>
      </w:pPr>
      <w:bookmarkStart w:id="9" w:name="_Hlk497211019"/>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58"/>
        </w:trPr>
        <w:tc>
          <w:tcPr>
            <w:tcW w:w="6874" w:type="dxa"/>
            <w:tcBorders>
              <w:top w:val="nil"/>
              <w:left w:val="nil"/>
              <w:bottom w:val="single" w:sz="12" w:space="0" w:color="auto"/>
              <w:right w:val="nil"/>
            </w:tcBorders>
            <w:vAlign w:val="center"/>
          </w:tcPr>
          <w:p>
            <w:pPr>
              <w:pStyle w:val="TS-titolo-01"/>
              <w:outlineLvl w:val="0"/>
            </w:pPr>
            <w:bookmarkStart w:id="10" w:name="CISOA"/>
            <w:bookmarkStart w:id="11" w:name="_Toc497211089"/>
            <w:bookmarkStart w:id="12" w:name="_Toc497216123"/>
            <w:bookmarkEnd w:id="10"/>
            <w:r>
              <w:t>CISOA – Cassa Integrazione Operai Agricoli</w:t>
            </w:r>
            <w:bookmarkEnd w:id="11"/>
            <w:bookmarkEnd w:id="12"/>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pPr>
    </w:p>
    <w:p>
      <w:pPr>
        <w:pStyle w:val="CorpoAltF0"/>
        <w:spacing w:before="120"/>
      </w:pPr>
      <w:r>
        <w:t>Il programma è stato implementato per consentire la gestione automatica degli eventi di Cassa Integrazione per gli Operai Agricoli (CISOA).</w:t>
      </w:r>
    </w:p>
    <w:p>
      <w:pPr>
        <w:pStyle w:val="CorpoAltF0"/>
        <w:spacing w:before="120"/>
      </w:pPr>
      <w:r>
        <w:t>Per la gestione di tali eventi è necessario:</w:t>
      </w:r>
    </w:p>
    <w:p>
      <w:pPr>
        <w:pStyle w:val="CorpoAltF0"/>
        <w:numPr>
          <w:ilvl w:val="0"/>
          <w:numId w:val="20"/>
        </w:numPr>
        <w:spacing w:before="120"/>
        <w:ind w:left="426"/>
      </w:pPr>
      <w:r>
        <w:t xml:space="preserve">creare la relativa domanda nell’apposita gestione (comando </w:t>
      </w:r>
      <w:r>
        <w:rPr>
          <w:b/>
        </w:rPr>
        <w:t>CISOA</w:t>
      </w:r>
      <w:r>
        <w:t>), ed inserire nella stessa l’elenco dei dipendenti interessati (</w:t>
      </w:r>
      <w:r>
        <w:rPr>
          <w:b/>
        </w:rPr>
        <w:t>CISOA</w:t>
      </w:r>
      <w:r>
        <w:t xml:space="preserve"> &gt; pulsante “</w:t>
      </w:r>
      <w:r>
        <w:rPr>
          <w:i/>
        </w:rPr>
        <w:t>Funzioni &gt; Elenco dipendenti</w:t>
      </w:r>
      <w:r>
        <w:t>”);</w:t>
      </w:r>
    </w:p>
    <w:p>
      <w:pPr>
        <w:pStyle w:val="CorpoAltF0"/>
        <w:numPr>
          <w:ilvl w:val="0"/>
          <w:numId w:val="20"/>
        </w:numPr>
        <w:spacing w:before="120"/>
        <w:ind w:left="426"/>
      </w:pPr>
      <w:r>
        <w:t xml:space="preserve">inserire i relativi giustificativi (stessi giustificativi collegati nella tabella </w:t>
      </w:r>
      <w:r>
        <w:rPr>
          <w:b/>
        </w:rPr>
        <w:t>TB1102</w:t>
      </w:r>
      <w:proofErr w:type="gramStart"/>
      <w:r>
        <w:t>-“</w:t>
      </w:r>
      <w:proofErr w:type="gramEnd"/>
      <w:r>
        <w:rPr>
          <w:i/>
        </w:rPr>
        <w:t>Dati presenze</w:t>
      </w:r>
      <w:r>
        <w:t>” per la gestione degli eventi CIG) nel calendario delle presenze mensili, per le giornate interessate dalla sospensione della prestazione lavorativa;</w:t>
      </w:r>
    </w:p>
    <w:p>
      <w:pPr>
        <w:pStyle w:val="CorpoAltF0"/>
        <w:numPr>
          <w:ilvl w:val="0"/>
          <w:numId w:val="20"/>
        </w:numPr>
        <w:spacing w:before="120"/>
        <w:ind w:left="426"/>
        <w:jc w:val="left"/>
      </w:pPr>
      <w:r>
        <w:t>procedere alla liquidazione dell’evento (</w:t>
      </w:r>
      <w:r>
        <w:rPr>
          <w:b/>
        </w:rPr>
        <w:t>CEDOL</w:t>
      </w:r>
      <w:r>
        <w:t xml:space="preserve"> &gt; “</w:t>
      </w:r>
      <w:r>
        <w:rPr>
          <w:i/>
        </w:rPr>
        <w:t>Funzioni generali &gt; CIG</w:t>
      </w:r>
      <w:r>
        <w:t xml:space="preserve">” o comando </w:t>
      </w:r>
      <w:r>
        <w:rPr>
          <w:b/>
        </w:rPr>
        <w:t>LIQCIG</w:t>
      </w:r>
      <w:r>
        <w:t xml:space="preserve">) se non eseguita automaticamente in fase di elaborazione del cedolino (sviluppo automatico o relativa impostazione in </w:t>
      </w:r>
      <w:r>
        <w:rPr>
          <w:b/>
        </w:rPr>
        <w:t>TB0903</w:t>
      </w:r>
      <w:r>
        <w:t>).</w:t>
      </w:r>
    </w:p>
    <w:p>
      <w:pPr>
        <w:pStyle w:val="CorpoAltF0"/>
      </w:pPr>
    </w:p>
    <w:p>
      <w:pPr>
        <w:pStyle w:val="CorpoAltF0"/>
      </w:pPr>
      <w:r>
        <w:t>Le implementazioni sono valide a decorrere dal mese di competenza ottobre 2017.</w:t>
      </w:r>
    </w:p>
    <w:p>
      <w:pPr>
        <w:pStyle w:val="CorpoAltF0"/>
      </w:pPr>
    </w:p>
    <w:p>
      <w:pPr>
        <w:pStyle w:val="CorpoAltF0"/>
      </w:pPr>
      <w:r>
        <w:t>Ai fini del prelievo in denuncia DMAG dei dati relativi agli eventi di CISOA autorizzati, il programma verrà successivamente implementato, in tempo utile per la denuncia del 4° trimestre 2017.</w:t>
      </w:r>
    </w:p>
    <w:p>
      <w:pPr>
        <w:pStyle w:val="CorpoAltF0"/>
      </w:pPr>
    </w:p>
    <w:p>
      <w:pPr>
        <w:pStyle w:val="CorpoAltF0"/>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13" w:name="_Toc497211090"/>
            <w:bookmarkStart w:id="14" w:name="_Toc497216124"/>
            <w:r>
              <w:t>CISOA</w:t>
            </w:r>
            <w:bookmarkEnd w:id="13"/>
            <w:bookmarkEnd w:id="14"/>
          </w:p>
        </w:tc>
      </w:tr>
    </w:tbl>
    <w:p>
      <w:pPr>
        <w:pStyle w:val="TS-titolo-04"/>
      </w:pPr>
      <w:bookmarkStart w:id="15" w:name="_Toc497211091"/>
      <w:bookmarkStart w:id="16" w:name="_Toc497216125"/>
      <w:r>
        <w:t>Gestione domanda CISOA</w:t>
      </w:r>
      <w:bookmarkEnd w:id="15"/>
      <w:bookmarkEnd w:id="16"/>
    </w:p>
    <w:p>
      <w:pPr>
        <w:pStyle w:val="CorpoAltF0"/>
        <w:spacing w:before="120"/>
      </w:pPr>
      <w:r>
        <w:t xml:space="preserve">Il nuovo comando </w:t>
      </w:r>
      <w:r>
        <w:rPr>
          <w:b/>
        </w:rPr>
        <w:t>CISOA</w:t>
      </w:r>
      <w:r>
        <w:t xml:space="preserve"> consente l’inserimento dei dati relativi alla domanda di integrazione salariale per operai agricoli con contratto di lavoro a tempo indeterminato:</w:t>
      </w:r>
    </w:p>
    <w:p>
      <w:pPr>
        <w:pStyle w:val="CorpoAltF0"/>
        <w:spacing w:before="120"/>
        <w:jc w:val="center"/>
      </w:pPr>
      <w:r>
        <w:rPr>
          <w:noProof/>
        </w:rPr>
        <w:drawing>
          <wp:inline distT="0" distB="0" distL="0" distR="0">
            <wp:extent cx="5040000" cy="2970458"/>
            <wp:effectExtent l="0" t="0" r="0" b="0"/>
            <wp:docPr id="17" name="Immagine 17"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5C77BC.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0000" cy="2970458"/>
                    </a:xfrm>
                    <a:prstGeom prst="rect">
                      <a:avLst/>
                    </a:prstGeom>
                  </pic:spPr>
                </pic:pic>
              </a:graphicData>
            </a:graphic>
          </wp:inline>
        </w:drawing>
      </w:r>
    </w:p>
    <w:p>
      <w:pPr>
        <w:pStyle w:val="CorpoAltF0"/>
        <w:spacing w:before="120"/>
      </w:pPr>
      <w:r>
        <w:t xml:space="preserve">Accedendo al comando è necessario selezionare l’azienda agricola interessata ed il numero da assegnare alla relativa domanda di CISOA (a differenza della gestione domande CIG, non è prevista la suddivisione della domanda in diversi </w:t>
      </w:r>
      <w:proofErr w:type="spellStart"/>
      <w:r>
        <w:t>sottoprogressivi</w:t>
      </w:r>
      <w:proofErr w:type="spellEnd"/>
      <w:r>
        <w:t>).</w:t>
      </w:r>
    </w:p>
    <w:p>
      <w:pPr>
        <w:pStyle w:val="CorpoAltF0"/>
      </w:pPr>
      <w:r>
        <w:br w:type="page"/>
      </w:r>
    </w:p>
    <w:p>
      <w:pPr>
        <w:pStyle w:val="CorpoAltF0"/>
      </w:pPr>
    </w:p>
    <w:p>
      <w:pPr>
        <w:pStyle w:val="CorpoAltF0"/>
        <w:spacing w:before="120"/>
        <w:jc w:val="left"/>
        <w:rPr>
          <w:b/>
          <w:i/>
        </w:rPr>
      </w:pPr>
      <w:r>
        <w:rPr>
          <w:b/>
          <w:i/>
        </w:rPr>
        <w:t>Dati della domanda</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61"/>
      </w:tblGrid>
      <w:tr>
        <w:tc>
          <w:tcPr>
            <w:tcW w:w="2518" w:type="dxa"/>
          </w:tcPr>
          <w:p>
            <w:pPr>
              <w:pStyle w:val="CorpoAltF0"/>
              <w:spacing w:before="120"/>
              <w:rPr>
                <w:i/>
              </w:rPr>
            </w:pPr>
            <w:r>
              <w:rPr>
                <w:i/>
              </w:rPr>
              <w:t>Data inizio CISOA:</w:t>
            </w:r>
          </w:p>
          <w:p>
            <w:pPr>
              <w:pStyle w:val="CorpoAltF0"/>
              <w:rPr>
                <w:i/>
              </w:rPr>
            </w:pPr>
            <w:r>
              <w:rPr>
                <w:i/>
              </w:rPr>
              <w:t>Data fine CISOA:</w:t>
            </w:r>
          </w:p>
        </w:tc>
        <w:tc>
          <w:tcPr>
            <w:tcW w:w="7261" w:type="dxa"/>
          </w:tcPr>
          <w:p>
            <w:pPr>
              <w:pStyle w:val="CorpoAltF0"/>
              <w:spacing w:before="120"/>
            </w:pPr>
            <w:r>
              <w:t>data di inizio e fine del periodo oggetto della richiesta di integrazione salariale (non sono previsti vincoli relativi al giorno della settimana di inizio e fine dell’evento);</w:t>
            </w:r>
          </w:p>
          <w:p>
            <w:pPr>
              <w:pStyle w:val="CorpoAltF0"/>
            </w:pPr>
          </w:p>
        </w:tc>
      </w:tr>
      <w:tr>
        <w:tc>
          <w:tcPr>
            <w:tcW w:w="2518" w:type="dxa"/>
          </w:tcPr>
          <w:p>
            <w:pPr>
              <w:pStyle w:val="CorpoAltF0"/>
              <w:spacing w:before="120"/>
              <w:rPr>
                <w:i/>
              </w:rPr>
            </w:pPr>
            <w:r>
              <w:rPr>
                <w:i/>
              </w:rPr>
              <w:t>Eventi atmosferici:</w:t>
            </w:r>
          </w:p>
        </w:tc>
        <w:tc>
          <w:tcPr>
            <w:tcW w:w="7261" w:type="dxa"/>
          </w:tcPr>
          <w:p>
            <w:pPr>
              <w:pStyle w:val="CorpoAltF0"/>
              <w:spacing w:before="120"/>
            </w:pPr>
            <w:r>
              <w:t xml:space="preserve">indicare “Si” in caso di integrazione salariale richiesta per eventi atmosferici (opzione proposta di </w:t>
            </w:r>
            <w:r>
              <w:rPr>
                <w:i/>
              </w:rPr>
              <w:t>default</w:t>
            </w:r>
            <w:r>
              <w:t>);</w:t>
            </w:r>
          </w:p>
          <w:p>
            <w:pPr>
              <w:pStyle w:val="CorpoAltF0"/>
              <w:spacing w:before="120"/>
            </w:pPr>
          </w:p>
        </w:tc>
      </w:tr>
      <w:tr>
        <w:tc>
          <w:tcPr>
            <w:tcW w:w="2518" w:type="dxa"/>
          </w:tcPr>
          <w:p>
            <w:pPr>
              <w:pStyle w:val="CorpoAltF0"/>
              <w:spacing w:before="120"/>
              <w:rPr>
                <w:i/>
              </w:rPr>
            </w:pPr>
            <w:r>
              <w:rPr>
                <w:i/>
              </w:rPr>
              <w:t>Applica massimale:</w:t>
            </w:r>
          </w:p>
        </w:tc>
        <w:tc>
          <w:tcPr>
            <w:tcW w:w="7261" w:type="dxa"/>
          </w:tcPr>
          <w:p>
            <w:pPr>
              <w:pStyle w:val="CorpoAltF0"/>
              <w:spacing w:before="120"/>
            </w:pPr>
            <w:r>
              <w:t>indicare “No” nel caso in cui, ai fini della determinazione dell’importo di integrazione, non debba essere considerato il limite del massimale (</w:t>
            </w:r>
            <w:r>
              <w:rPr>
                <w:b/>
              </w:rPr>
              <w:t>TB0903</w:t>
            </w:r>
            <w:r>
              <w:t xml:space="preserve"> &gt; “</w:t>
            </w:r>
            <w:r>
              <w:rPr>
                <w:i/>
              </w:rPr>
              <w:t>Tabella massimali</w:t>
            </w:r>
            <w:r>
              <w:t>”); il campo risulta disabilitato in caso di CISOA richiesta per eventi atmosferici (campo precedente), per i quali è sempre esclusa l’applicazione del massimale.</w:t>
            </w:r>
          </w:p>
          <w:p>
            <w:pPr>
              <w:pStyle w:val="CorpoAltF0"/>
            </w:pPr>
          </w:p>
        </w:tc>
      </w:tr>
      <w:tr>
        <w:tc>
          <w:tcPr>
            <w:tcW w:w="2518" w:type="dxa"/>
          </w:tcPr>
          <w:p>
            <w:pPr>
              <w:pStyle w:val="CorpoAltF0"/>
              <w:spacing w:before="120"/>
              <w:rPr>
                <w:i/>
              </w:rPr>
            </w:pPr>
            <w:r>
              <w:rPr>
                <w:i/>
              </w:rPr>
              <w:t>Anticipazione CISOA:</w:t>
            </w:r>
          </w:p>
        </w:tc>
        <w:tc>
          <w:tcPr>
            <w:tcW w:w="7261" w:type="dxa"/>
          </w:tcPr>
          <w:p>
            <w:pPr>
              <w:pStyle w:val="CorpoAltF0"/>
              <w:spacing w:before="120"/>
            </w:pPr>
            <w:r>
              <w:t>indicare la modalità di pagamento dell’integrazione a carico dell’INPS: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Borders>
              <w:top w:val="nil"/>
              <w:left w:val="nil"/>
              <w:bottom w:val="nil"/>
              <w:right w:val="nil"/>
            </w:tcBorders>
          </w:tcPr>
          <w:p>
            <w:pPr>
              <w:pStyle w:val="CorpoAltF0"/>
              <w:spacing w:before="60"/>
              <w:ind w:right="176"/>
              <w:jc w:val="right"/>
              <w:rPr>
                <w:b/>
              </w:rPr>
            </w:pPr>
            <w:bookmarkStart w:id="17" w:name="_Hlk494211535"/>
            <w:r>
              <w:rPr>
                <w:b/>
              </w:rPr>
              <w:t>Si</w:t>
            </w:r>
          </w:p>
        </w:tc>
        <w:tc>
          <w:tcPr>
            <w:tcW w:w="7261" w:type="dxa"/>
            <w:tcBorders>
              <w:top w:val="nil"/>
              <w:left w:val="nil"/>
              <w:bottom w:val="nil"/>
              <w:right w:val="nil"/>
            </w:tcBorders>
          </w:tcPr>
          <w:p>
            <w:pPr>
              <w:pStyle w:val="CorpoAltF0"/>
              <w:spacing w:before="60"/>
            </w:pPr>
            <w:r>
              <w:t>l’integrazione a carico dell’INPS viene mensilmente anticipata dall’azienda;</w:t>
            </w:r>
          </w:p>
        </w:tc>
      </w:tr>
      <w:tr>
        <w:tc>
          <w:tcPr>
            <w:tcW w:w="2518" w:type="dxa"/>
          </w:tcPr>
          <w:p>
            <w:pPr>
              <w:pStyle w:val="CorpoAltF0"/>
              <w:spacing w:before="60"/>
              <w:ind w:right="176"/>
              <w:jc w:val="right"/>
              <w:rPr>
                <w:b/>
              </w:rPr>
            </w:pPr>
            <w:r>
              <w:rPr>
                <w:b/>
              </w:rPr>
              <w:t>No</w:t>
            </w:r>
          </w:p>
        </w:tc>
        <w:tc>
          <w:tcPr>
            <w:tcW w:w="7261" w:type="dxa"/>
          </w:tcPr>
          <w:p>
            <w:pPr>
              <w:pStyle w:val="CorpoAltF0"/>
              <w:spacing w:before="60"/>
            </w:pPr>
            <w:r>
              <w:t>l’integrazione a carico dell’INPS viene erogata nel mese di liquidazione dell’autorizzazione della domanda di CISOA.</w:t>
            </w:r>
          </w:p>
        </w:tc>
      </w:tr>
      <w:bookmarkEnd w:id="17"/>
      <w:tr>
        <w:tc>
          <w:tcPr>
            <w:tcW w:w="2518" w:type="dxa"/>
          </w:tcPr>
          <w:p>
            <w:pPr>
              <w:pStyle w:val="CorpoAltF0"/>
              <w:spacing w:before="120"/>
              <w:rPr>
                <w:i/>
              </w:rPr>
            </w:pPr>
            <w:r>
              <w:rPr>
                <w:i/>
              </w:rPr>
              <w:t>Percentuale anticipo:</w:t>
            </w:r>
          </w:p>
        </w:tc>
        <w:tc>
          <w:tcPr>
            <w:tcW w:w="7261" w:type="dxa"/>
          </w:tcPr>
          <w:p>
            <w:pPr>
              <w:pStyle w:val="CorpoAltF0"/>
              <w:spacing w:before="120"/>
            </w:pPr>
            <w:r>
              <w:t>in caso di anticipazione da parte dell’azienda, in tale campo è possibile indicare la quota percentuale che l’azienda intende anticipare.</w:t>
            </w:r>
          </w:p>
          <w:p>
            <w:pPr>
              <w:pStyle w:val="CorpoAltF0"/>
            </w:pPr>
          </w:p>
        </w:tc>
      </w:tr>
      <w:tr>
        <w:tc>
          <w:tcPr>
            <w:tcW w:w="2518" w:type="dxa"/>
          </w:tcPr>
          <w:p>
            <w:pPr>
              <w:pStyle w:val="CorpoAltF0"/>
              <w:spacing w:before="120"/>
              <w:rPr>
                <w:i/>
              </w:rPr>
            </w:pPr>
            <w:r>
              <w:rPr>
                <w:i/>
              </w:rPr>
              <w:t>Percentuale c/ditta:</w:t>
            </w:r>
          </w:p>
        </w:tc>
        <w:tc>
          <w:tcPr>
            <w:tcW w:w="7261" w:type="dxa"/>
          </w:tcPr>
          <w:p>
            <w:pPr>
              <w:pStyle w:val="CorpoAltF0"/>
              <w:spacing w:before="120"/>
            </w:pPr>
            <w:r>
              <w:t>indicare la percentuale di integrazione c/ditta.</w:t>
            </w:r>
          </w:p>
          <w:p>
            <w:pPr>
              <w:pStyle w:val="CorpoAltF0"/>
            </w:pPr>
          </w:p>
        </w:tc>
      </w:tr>
      <w:tr>
        <w:tc>
          <w:tcPr>
            <w:tcW w:w="2518" w:type="dxa"/>
          </w:tcPr>
          <w:p>
            <w:pPr>
              <w:pStyle w:val="CorpoAltF0"/>
              <w:spacing w:before="120"/>
              <w:rPr>
                <w:i/>
              </w:rPr>
            </w:pPr>
            <w:r>
              <w:rPr>
                <w:i/>
              </w:rPr>
              <w:t>Codice fondo:</w:t>
            </w:r>
          </w:p>
        </w:tc>
        <w:tc>
          <w:tcPr>
            <w:tcW w:w="7261" w:type="dxa"/>
          </w:tcPr>
          <w:p>
            <w:pPr>
              <w:pStyle w:val="CorpoAltF0"/>
              <w:spacing w:before="120"/>
            </w:pPr>
            <w:r>
              <w:t>indicare il codice del fondo agricolo (</w:t>
            </w:r>
            <w:r>
              <w:rPr>
                <w:b/>
              </w:rPr>
              <w:t>AZIE</w:t>
            </w:r>
            <w:r>
              <w:t xml:space="preserve"> &gt; “</w:t>
            </w:r>
            <w:r>
              <w:rPr>
                <w:i/>
              </w:rPr>
              <w:t xml:space="preserve">Altri dati &gt; Dati </w:t>
            </w:r>
            <w:proofErr w:type="spellStart"/>
            <w:r>
              <w:rPr>
                <w:i/>
              </w:rPr>
              <w:t>aggiunt</w:t>
            </w:r>
            <w:proofErr w:type="spellEnd"/>
            <w:r>
              <w:rPr>
                <w:i/>
              </w:rPr>
              <w:t xml:space="preserve">. </w:t>
            </w:r>
            <w:proofErr w:type="spellStart"/>
            <w:r>
              <w:rPr>
                <w:i/>
              </w:rPr>
              <w:t>imp</w:t>
            </w:r>
            <w:proofErr w:type="spellEnd"/>
            <w:r>
              <w:rPr>
                <w:i/>
              </w:rPr>
              <w:t>. agricola &gt; Fondi agricoli</w:t>
            </w:r>
            <w:r>
              <w:t>”) interessato dall’evento di CISOA.</w:t>
            </w:r>
          </w:p>
          <w:p>
            <w:pPr>
              <w:pStyle w:val="CorpoAltF0"/>
              <w:spacing w:before="120"/>
            </w:pPr>
            <w:r>
              <w:t>L’indicazione del codice fondo nella gestione dell’evento consente di:</w:t>
            </w:r>
          </w:p>
          <w:p>
            <w:pPr>
              <w:pStyle w:val="CorpoAltF0"/>
              <w:numPr>
                <w:ilvl w:val="0"/>
                <w:numId w:val="24"/>
              </w:numPr>
              <w:spacing w:before="40"/>
              <w:ind w:left="324" w:hanging="284"/>
            </w:pPr>
            <w:r>
              <w:t>associare automaticamente lo specifico codice fondo nelle voci di calcolo relative all’evento di CISOA;</w:t>
            </w:r>
          </w:p>
          <w:p>
            <w:pPr>
              <w:pStyle w:val="CorpoAltF0"/>
              <w:numPr>
                <w:ilvl w:val="0"/>
                <w:numId w:val="24"/>
              </w:numPr>
              <w:spacing w:before="40"/>
              <w:ind w:left="324" w:hanging="284"/>
            </w:pPr>
            <w:r>
              <w:t>utilizzare la retribuzione relativa allo specifico fondo ai fini della liquidazione dell’evento (in particolare, dell’integrazione c/ditta) e del successivo calcolo dei valori di retribuzione teorica e retribuzione persa da riportare in denuncia DMAG.</w:t>
            </w:r>
          </w:p>
        </w:tc>
      </w:tr>
    </w:tbl>
    <w:p>
      <w:pPr>
        <w:pStyle w:val="CorpoAltF0"/>
        <w:spacing w:before="120"/>
      </w:pPr>
      <w:r>
        <w:t>In tale sede non è richiesta l’indicazione delle specifiche giornate interessate dalla sospensione della prestazione lavorativa, che verranno rilevate automaticamente dai relativi giustificativi inseriti nelle presenze del mese.</w:t>
      </w:r>
    </w:p>
    <w:p>
      <w:pPr>
        <w:pStyle w:val="CorpoAltF0"/>
      </w:pPr>
    </w:p>
    <w:p>
      <w:pPr>
        <w:pStyle w:val="CorpoAltF0"/>
        <w:spacing w:before="120"/>
        <w:jc w:val="left"/>
        <w:rPr>
          <w:b/>
          <w:i/>
        </w:rPr>
      </w:pPr>
      <w:r>
        <w:rPr>
          <w:b/>
          <w:i/>
        </w:rPr>
        <w:t>Dati autorizzazione</w:t>
      </w:r>
    </w:p>
    <w:p>
      <w:pPr>
        <w:pStyle w:val="CorpoAltF0"/>
        <w:spacing w:before="120"/>
      </w:pPr>
      <w:r>
        <w:t>A seguito del ricevimento dell’autorizzazione della domanda da parte dell’INPS, nei successivi campi devono essere indicate le informazioni relative a tale autorizzazione.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61"/>
      </w:tblGrid>
      <w:tr>
        <w:tc>
          <w:tcPr>
            <w:tcW w:w="2518" w:type="dxa"/>
          </w:tcPr>
          <w:p>
            <w:pPr>
              <w:pStyle w:val="CorpoAltF0"/>
              <w:spacing w:before="120"/>
              <w:rPr>
                <w:i/>
              </w:rPr>
            </w:pPr>
            <w:r>
              <w:rPr>
                <w:i/>
              </w:rPr>
              <w:t>Numero ticket:</w:t>
            </w:r>
          </w:p>
        </w:tc>
        <w:tc>
          <w:tcPr>
            <w:tcW w:w="7261" w:type="dxa"/>
          </w:tcPr>
          <w:p>
            <w:pPr>
              <w:pStyle w:val="CorpoAltF0"/>
              <w:spacing w:before="120"/>
            </w:pPr>
            <w:r>
              <w:t>codice identificativo della domanda di CISOA, assegnato dall’INPS in fase di richiesta.</w:t>
            </w:r>
          </w:p>
          <w:p>
            <w:pPr>
              <w:pStyle w:val="CorpoAltF0"/>
            </w:pPr>
          </w:p>
        </w:tc>
      </w:tr>
      <w:tr>
        <w:tc>
          <w:tcPr>
            <w:tcW w:w="2518" w:type="dxa"/>
          </w:tcPr>
          <w:p>
            <w:pPr>
              <w:pStyle w:val="CorpoAltF0"/>
              <w:spacing w:before="120"/>
              <w:rPr>
                <w:i/>
              </w:rPr>
            </w:pPr>
            <w:r>
              <w:rPr>
                <w:i/>
              </w:rPr>
              <w:t>Tipo autorizzazione:</w:t>
            </w:r>
          </w:p>
        </w:tc>
        <w:tc>
          <w:tcPr>
            <w:tcW w:w="7261" w:type="dxa"/>
          </w:tcPr>
          <w:p>
            <w:pPr>
              <w:pStyle w:val="CorpoAltF0"/>
              <w:spacing w:before="120"/>
            </w:pPr>
            <w:r>
              <w:t>indicare la tipologia di autorizzazione ricevuta (</w:t>
            </w:r>
            <w:r>
              <w:rPr>
                <w:b/>
              </w:rPr>
              <w:t>T</w:t>
            </w:r>
            <w:r>
              <w:t xml:space="preserve"> = Totalmente autorizzata; </w:t>
            </w:r>
            <w:r>
              <w:rPr>
                <w:b/>
              </w:rPr>
              <w:t>P</w:t>
            </w:r>
            <w:r>
              <w:t xml:space="preserve"> = Parzialmente autorizzata; </w:t>
            </w:r>
            <w:r>
              <w:rPr>
                <w:b/>
              </w:rPr>
              <w:t>N</w:t>
            </w:r>
            <w:r>
              <w:t xml:space="preserve"> = Non autorizzata).</w:t>
            </w:r>
          </w:p>
          <w:p>
            <w:pPr>
              <w:pStyle w:val="CorpoAltF0"/>
            </w:pPr>
          </w:p>
        </w:tc>
      </w:tr>
      <w:tr>
        <w:tc>
          <w:tcPr>
            <w:tcW w:w="2518" w:type="dxa"/>
          </w:tcPr>
          <w:p>
            <w:pPr>
              <w:pStyle w:val="CorpoAltF0"/>
              <w:spacing w:before="120"/>
              <w:rPr>
                <w:i/>
              </w:rPr>
            </w:pPr>
            <w:r>
              <w:rPr>
                <w:i/>
              </w:rPr>
              <w:t>Data autorizzazione:</w:t>
            </w:r>
          </w:p>
          <w:p>
            <w:pPr>
              <w:pStyle w:val="CorpoAltF0"/>
              <w:rPr>
                <w:i/>
              </w:rPr>
            </w:pPr>
            <w:r>
              <w:rPr>
                <w:i/>
              </w:rPr>
              <w:t>Numero autorizzazione:</w:t>
            </w:r>
          </w:p>
        </w:tc>
        <w:tc>
          <w:tcPr>
            <w:tcW w:w="7261" w:type="dxa"/>
          </w:tcPr>
          <w:p>
            <w:pPr>
              <w:pStyle w:val="CorpoAltF0"/>
              <w:spacing w:before="120"/>
            </w:pPr>
            <w:r>
              <w:t>data e numero dell’autorizzazione ricevuta.</w:t>
            </w:r>
          </w:p>
        </w:tc>
      </w:tr>
      <w:tr>
        <w:tc>
          <w:tcPr>
            <w:tcW w:w="2518" w:type="dxa"/>
          </w:tcPr>
          <w:p>
            <w:pPr>
              <w:pStyle w:val="CorpoAltF0"/>
              <w:spacing w:before="120"/>
              <w:jc w:val="left"/>
              <w:rPr>
                <w:i/>
              </w:rPr>
            </w:pPr>
            <w:r>
              <w:rPr>
                <w:i/>
              </w:rPr>
              <w:t>Numero giorni autorizzati:</w:t>
            </w:r>
          </w:p>
        </w:tc>
        <w:tc>
          <w:tcPr>
            <w:tcW w:w="7261" w:type="dxa"/>
          </w:tcPr>
          <w:p>
            <w:pPr>
              <w:pStyle w:val="CorpoAltF0"/>
              <w:spacing w:before="120"/>
            </w:pPr>
            <w:r>
              <w:t>in caso di autorizzazione parziale, indicare il numero delle giornate autorizzate per il singolo dipendente (se omogeneo per tutti i dipendenti interessati).</w:t>
            </w:r>
          </w:p>
          <w:p>
            <w:pPr>
              <w:pStyle w:val="CorpoAltF0"/>
            </w:pPr>
            <w:r>
              <w:t>Qualora tale numero sia diverso per i vari dipendenti, nella colonna “</w:t>
            </w:r>
            <w:r>
              <w:rPr>
                <w:i/>
              </w:rPr>
              <w:t>Giorni autorizzati</w:t>
            </w:r>
            <w:r>
              <w:t>” della sezione “</w:t>
            </w:r>
            <w:r>
              <w:rPr>
                <w:i/>
              </w:rPr>
              <w:t>Elenco dipendenti</w:t>
            </w:r>
            <w:r>
              <w:t xml:space="preserve">” (vedi sotto) è possibile indicare le giornate autorizzate per il singolo dipendente. Il valore inserito in tale sede </w:t>
            </w:r>
            <w:r>
              <w:lastRenderedPageBreak/>
              <w:t>verrà preso in considerazione, per lo specifico dipendente, in luogo del numero indicato nel presente campo dei “</w:t>
            </w:r>
            <w:r>
              <w:rPr>
                <w:i/>
              </w:rPr>
              <w:t>Dati autorizzazione</w:t>
            </w:r>
            <w:r>
              <w:t>”.</w:t>
            </w:r>
          </w:p>
          <w:p>
            <w:pPr>
              <w:pStyle w:val="CorpoAltF0"/>
            </w:pPr>
            <w:r>
              <w:t>Nel caso in cui solo alcuni dipendenti risultino totalmente esclusi dall’autorizzazione, per tali dipendenti è possibile contrassegnare la relativa casella “</w:t>
            </w:r>
            <w:r>
              <w:rPr>
                <w:i/>
              </w:rPr>
              <w:t xml:space="preserve">No </w:t>
            </w:r>
            <w:proofErr w:type="spellStart"/>
            <w:r>
              <w:rPr>
                <w:i/>
              </w:rPr>
              <w:t>autoriz</w:t>
            </w:r>
            <w:proofErr w:type="spellEnd"/>
            <w:r>
              <w:rPr>
                <w:i/>
              </w:rPr>
              <w:t>.</w:t>
            </w:r>
            <w:r>
              <w:t>” della sezione “</w:t>
            </w:r>
            <w:r>
              <w:rPr>
                <w:i/>
              </w:rPr>
              <w:t>Elenco dipendenti</w:t>
            </w:r>
            <w:r>
              <w:t>”, indicando nel riquadro “</w:t>
            </w:r>
            <w:r>
              <w:rPr>
                <w:i/>
              </w:rPr>
              <w:t>Dati autorizzazione</w:t>
            </w:r>
            <w:r>
              <w:t>” i dati dell’autorizzazione relativa alla generalità dei dipendenti interessati.</w:t>
            </w:r>
          </w:p>
          <w:p>
            <w:pPr>
              <w:pStyle w:val="CorpoAltF0"/>
            </w:pPr>
          </w:p>
        </w:tc>
      </w:tr>
      <w:tr>
        <w:tc>
          <w:tcPr>
            <w:tcW w:w="2518" w:type="dxa"/>
          </w:tcPr>
          <w:p>
            <w:pPr>
              <w:pStyle w:val="CorpoAltF0"/>
              <w:spacing w:before="120"/>
              <w:jc w:val="left"/>
              <w:rPr>
                <w:i/>
              </w:rPr>
            </w:pPr>
            <w:r>
              <w:rPr>
                <w:i/>
              </w:rPr>
              <w:lastRenderedPageBreak/>
              <w:t xml:space="preserve">Mese/anno inizio </w:t>
            </w:r>
            <w:proofErr w:type="spellStart"/>
            <w:r>
              <w:rPr>
                <w:i/>
              </w:rPr>
              <w:t>rec</w:t>
            </w:r>
            <w:proofErr w:type="spellEnd"/>
            <w:r>
              <w:rPr>
                <w:i/>
              </w:rPr>
              <w:t xml:space="preserve">. </w:t>
            </w:r>
            <w:proofErr w:type="spellStart"/>
            <w:r>
              <w:rPr>
                <w:i/>
              </w:rPr>
              <w:t>int</w:t>
            </w:r>
            <w:proofErr w:type="spellEnd"/>
            <w:r>
              <w:rPr>
                <w:i/>
              </w:rPr>
              <w:t>.</w:t>
            </w:r>
          </w:p>
        </w:tc>
        <w:tc>
          <w:tcPr>
            <w:tcW w:w="7261" w:type="dxa"/>
          </w:tcPr>
          <w:p>
            <w:pPr>
              <w:pStyle w:val="CorpoAltF0"/>
              <w:spacing w:before="120"/>
            </w:pPr>
            <w:r>
              <w:t>Mese/anno in cui deve essere effettuato il recupero della CISOA autorizzata.</w:t>
            </w:r>
          </w:p>
        </w:tc>
      </w:tr>
    </w:tbl>
    <w:p>
      <w:pPr>
        <w:pStyle w:val="CorpoAltF0"/>
      </w:pPr>
    </w:p>
    <w:p>
      <w:pPr>
        <w:pStyle w:val="CorpoAltF0"/>
      </w:pPr>
    </w:p>
    <w:p>
      <w:pPr>
        <w:pStyle w:val="CorpoAltF0"/>
      </w:pPr>
      <w:r>
        <w:t>All’interno della domanda di CISOA è necessario associare i dipendenti interessati dall’evento mediante l’apposito pulsante “</w:t>
      </w:r>
      <w:r>
        <w:rPr>
          <w:b/>
          <w:i/>
        </w:rPr>
        <w:t>Funzioni &gt; Elenco dipendenti</w:t>
      </w:r>
      <w:r>
        <w:t>”:</w:t>
      </w:r>
    </w:p>
    <w:p>
      <w:pPr>
        <w:pStyle w:val="CorpoAltF0"/>
        <w:spacing w:before="120"/>
        <w:jc w:val="center"/>
      </w:pPr>
      <w:r>
        <w:rPr>
          <w:noProof/>
        </w:rPr>
        <w:drawing>
          <wp:inline distT="0" distB="0" distL="0" distR="0">
            <wp:extent cx="5040000" cy="938039"/>
            <wp:effectExtent l="0" t="0" r="0" b="0"/>
            <wp:docPr id="14" name="Immagine 14"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9CCCA0.tmp"/>
                    <pic:cNvPicPr/>
                  </pic:nvPicPr>
                  <pic:blipFill>
                    <a:blip r:embed="rId13">
                      <a:extLst>
                        <a:ext uri="{28A0092B-C50C-407E-A947-70E740481C1C}">
                          <a14:useLocalDpi xmlns:a14="http://schemas.microsoft.com/office/drawing/2010/main" val="0"/>
                        </a:ext>
                      </a:extLst>
                    </a:blip>
                    <a:stretch>
                      <a:fillRect/>
                    </a:stretch>
                  </pic:blipFill>
                  <pic:spPr>
                    <a:xfrm>
                      <a:off x="0" y="0"/>
                      <a:ext cx="5040000" cy="938039"/>
                    </a:xfrm>
                    <a:prstGeom prst="rect">
                      <a:avLst/>
                    </a:prstGeom>
                  </pic:spPr>
                </pic:pic>
              </a:graphicData>
            </a:graphic>
          </wp:inline>
        </w:drawing>
      </w:r>
    </w:p>
    <w:p>
      <w:pPr>
        <w:pStyle w:val="CorpoAltF0"/>
        <w:spacing w:before="120"/>
      </w:pPr>
      <w:r>
        <w:t>Il programma consente l’inserimento dei soli dipendenti operai (codice “</w:t>
      </w:r>
      <w:r>
        <w:rPr>
          <w:i/>
        </w:rPr>
        <w:t>Trattamento qualifica</w:t>
      </w:r>
      <w:r>
        <w:t>” inferiore a 40) con contratto a tempo indeterminato.</w:t>
      </w:r>
    </w:p>
    <w:p>
      <w:pPr>
        <w:pStyle w:val="CorpoAltF0"/>
      </w:pPr>
    </w:p>
    <w:p>
      <w:pPr>
        <w:pStyle w:val="CorpoAltF0"/>
      </w:pPr>
      <w:r>
        <w:t>Con riferimento a ciascuna matricola selezionata, nella colonna “</w:t>
      </w:r>
      <w:r>
        <w:rPr>
          <w:b/>
          <w:i/>
        </w:rPr>
        <w:t>R.M.G.</w:t>
      </w:r>
      <w:r>
        <w:t>” il programma visualizza la retribuzione media giornaliera utile alla determinazione dell’integrazione di CISOA c/INPS.</w:t>
      </w:r>
    </w:p>
    <w:p>
      <w:pPr>
        <w:pStyle w:val="CorpoAltF0"/>
        <w:spacing w:before="120"/>
      </w:pPr>
      <w:r>
        <w:t>Tale retribuzione viene calcolata contestualmente all’inserimento del dipendente nella domanda.</w:t>
      </w:r>
    </w:p>
    <w:p>
      <w:pPr>
        <w:pStyle w:val="CorpoAltF0"/>
      </w:pPr>
    </w:p>
    <w:p>
      <w:pPr>
        <w:pStyle w:val="CorpoAltF0"/>
        <w:rPr>
          <w:b/>
          <w:i/>
          <w:u w:val="single"/>
        </w:rPr>
      </w:pPr>
      <w:bookmarkStart w:id="18" w:name="CISOA_RetribMediaGiornaliera"/>
      <w:bookmarkEnd w:id="18"/>
      <w:r>
        <w:rPr>
          <w:b/>
          <w:i/>
          <w:u w:val="single"/>
        </w:rPr>
        <w:t>Retribuzione Media Giornaliera per CISOA:</w:t>
      </w:r>
    </w:p>
    <w:p>
      <w:pPr>
        <w:pStyle w:val="CorpoAltF0"/>
        <w:spacing w:before="120"/>
      </w:pPr>
      <w:r>
        <w:t>La Retribuzione Media Giornaliera viene determinata con modalità analoghe a quelle previste ai fini degli eventi di malattia.</w:t>
      </w:r>
    </w:p>
    <w:p>
      <w:pPr>
        <w:pStyle w:val="CorpoAltF0"/>
        <w:spacing w:before="120"/>
      </w:pPr>
      <w:r>
        <w:t>A tal fine il programma rileva la retribuzione, il rateo di mensilità aggiuntive e le giornate lavorative del mese precedente l’evento di CISOA, memorizzate nella sezione “</w:t>
      </w:r>
      <w:r>
        <w:rPr>
          <w:i/>
        </w:rPr>
        <w:t>Retribuzioni</w:t>
      </w:r>
      <w:r>
        <w:t>” della “</w:t>
      </w:r>
      <w:r>
        <w:rPr>
          <w:i/>
        </w:rPr>
        <w:t xml:space="preserve">Gestione </w:t>
      </w:r>
      <w:proofErr w:type="gramStart"/>
      <w:r>
        <w:rPr>
          <w:i/>
        </w:rPr>
        <w:t>mal./</w:t>
      </w:r>
      <w:proofErr w:type="spellStart"/>
      <w:proofErr w:type="gramEnd"/>
      <w:r>
        <w:rPr>
          <w:i/>
        </w:rPr>
        <w:t>mat</w:t>
      </w:r>
      <w:proofErr w:type="spellEnd"/>
      <w:r>
        <w:rPr>
          <w:i/>
        </w:rPr>
        <w:t>./</w:t>
      </w:r>
      <w:proofErr w:type="spellStart"/>
      <w:r>
        <w:rPr>
          <w:i/>
        </w:rPr>
        <w:t>inf</w:t>
      </w:r>
      <w:proofErr w:type="spellEnd"/>
      <w:r>
        <w:rPr>
          <w:i/>
        </w:rPr>
        <w:t>.</w:t>
      </w:r>
      <w:r>
        <w:t>” (</w:t>
      </w:r>
      <w:r>
        <w:rPr>
          <w:b/>
        </w:rPr>
        <w:t>GEMA01</w:t>
      </w:r>
      <w:r>
        <w:t>).</w:t>
      </w:r>
    </w:p>
    <w:p>
      <w:pPr>
        <w:pStyle w:val="CorpoAltF0"/>
        <w:spacing w:before="120"/>
      </w:pPr>
      <w:r>
        <w:t>Sulla base dei valori presenti in tale sezione, la Retribuzione Media Giornaliera viene determinata come di seguito riepilogato:</w:t>
      </w:r>
    </w:p>
    <w:p>
      <w:pPr>
        <w:pStyle w:val="CorpoAltF0"/>
        <w:spacing w:before="120"/>
        <w:jc w:val="center"/>
        <w:rPr>
          <w:i/>
        </w:rPr>
      </w:pPr>
      <w:r>
        <w:rPr>
          <w:i/>
        </w:rPr>
        <w:t>RMG = (Importo retribuzione / N. tot. giornate) + (Rateo mensile / 25)</w:t>
      </w:r>
    </w:p>
    <w:p>
      <w:pPr>
        <w:pStyle w:val="CorpoAltF0"/>
        <w:spacing w:before="120"/>
      </w:pPr>
      <w:r>
        <w:t xml:space="preserve">Per gli operai orari (o mensilizzati non in forza per l’intero mese), in numero di giornate è dato dal totale delle giornate memorizzate nella suddetta sezione di </w:t>
      </w:r>
      <w:r>
        <w:rPr>
          <w:b/>
        </w:rPr>
        <w:t>GEMA01</w:t>
      </w:r>
      <w:r>
        <w:t>, eventualmente aumentato del coefficiente sesta giornata (0,20) in caso di orario settimanale su 5 giorni (verifica del rapporto fra ore settimanali e coefficiente giornaliero).</w:t>
      </w:r>
    </w:p>
    <w:p>
      <w:pPr>
        <w:pStyle w:val="CorpoAltF0"/>
        <w:spacing w:before="120"/>
      </w:pPr>
      <w:r>
        <w:t>Per gli operai mensilizzati in forza per l’intero mese, il numero di giornate è dato dal valore fisso 26.</w:t>
      </w:r>
    </w:p>
    <w:p>
      <w:pPr>
        <w:pStyle w:val="CorpoAltF0"/>
      </w:pPr>
    </w:p>
    <w:p>
      <w:pPr>
        <w:pStyle w:val="CorpoAltF0"/>
      </w:pPr>
      <w:r>
        <w:t>Il dettaglio del suddetto calcolo della RMG può essere visualizzato (con possibilità di variazione) mediante il pulsante “</w:t>
      </w:r>
      <w:r>
        <w:rPr>
          <w:b/>
          <w:i/>
        </w:rPr>
        <w:t>F4 Dettaglio retribuzione</w:t>
      </w:r>
      <w:r>
        <w:t>” abilitato nella sezione “</w:t>
      </w:r>
      <w:r>
        <w:rPr>
          <w:i/>
        </w:rPr>
        <w:t>Elenco dipendenti</w:t>
      </w:r>
      <w:r>
        <w:t>”, in corrispondenza del codice matricola selezionato:</w:t>
      </w:r>
    </w:p>
    <w:p>
      <w:pPr>
        <w:pStyle w:val="CorpoAltF0"/>
        <w:spacing w:before="120"/>
        <w:jc w:val="center"/>
      </w:pPr>
      <w:r>
        <w:rPr>
          <w:noProof/>
        </w:rPr>
        <w:drawing>
          <wp:inline distT="0" distB="0" distL="0" distR="0">
            <wp:extent cx="2880000" cy="1491839"/>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80000" cy="1491839"/>
                    </a:xfrm>
                    <a:prstGeom prst="rect">
                      <a:avLst/>
                    </a:prstGeom>
                  </pic:spPr>
                </pic:pic>
              </a:graphicData>
            </a:graphic>
          </wp:inline>
        </w:drawing>
      </w:r>
    </w:p>
    <w:p>
      <w:pPr>
        <w:pStyle w:val="CorpoAltF0"/>
        <w:spacing w:before="120"/>
        <w:rPr>
          <w:b/>
        </w:rPr>
      </w:pPr>
      <w:r>
        <w:rPr>
          <w:b/>
        </w:rPr>
        <w:t xml:space="preserve">Si sottolinea che, in fase di liquidazione dell’evento, per tutte le mensilità interessate, la RMG utile alla determinazione dell’integrazione salariale verrà rilevata dal corrispondente importo calcolato (o </w:t>
      </w:r>
      <w:r>
        <w:rPr>
          <w:b/>
        </w:rPr>
        <w:lastRenderedPageBreak/>
        <w:t>modificato dall’utente) in fase di inserimento del dipendente nella domanda CISOA, senza effettuare successivi ricalcoli o aggiornamenti.</w:t>
      </w:r>
    </w:p>
    <w:p>
      <w:pPr>
        <w:pStyle w:val="CorpoAltF0"/>
      </w:pPr>
    </w:p>
    <w:p>
      <w:pPr>
        <w:pStyle w:val="CorpoAltF0"/>
      </w:pPr>
      <w:r>
        <w:t>Dopo la liquidazione dell’evento, nella colonna “</w:t>
      </w:r>
      <w:r>
        <w:rPr>
          <w:b/>
          <w:i/>
        </w:rPr>
        <w:t>Giorni CISOA</w:t>
      </w:r>
      <w:r>
        <w:t>” della sezione “</w:t>
      </w:r>
      <w:r>
        <w:rPr>
          <w:i/>
        </w:rPr>
        <w:t>Elenco dipendenti</w:t>
      </w:r>
      <w:r>
        <w:t>” verranno visualizzati i giorni di CISOA rilevati dai relativi giustificativi inseriti nelle presenze del periodo interessato.</w:t>
      </w:r>
    </w:p>
    <w:p>
      <w:pPr>
        <w:pStyle w:val="CorpoAltF0"/>
      </w:pPr>
    </w:p>
    <w:p>
      <w:pPr>
        <w:pStyle w:val="CorpoAltF0"/>
      </w:pPr>
    </w:p>
    <w:p>
      <w:pPr>
        <w:pStyle w:val="CorpoAltF0"/>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r>
              <w:rPr>
                <w:rFonts w:ascii="Arial" w:hAnsi="Arial" w:cs="Arial"/>
                <w:b/>
                <w:i/>
                <w:sz w:val="24"/>
                <w:szCs w:val="24"/>
              </w:rPr>
              <w:t>Tabelle CIG &gt; Tabella voci CIG</w:t>
            </w: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19" w:name="_Toc497211092"/>
            <w:bookmarkStart w:id="20" w:name="_Toc497216126"/>
            <w:r>
              <w:t>TB0903</w:t>
            </w:r>
            <w:bookmarkEnd w:id="19"/>
            <w:bookmarkEnd w:id="20"/>
          </w:p>
        </w:tc>
      </w:tr>
    </w:tbl>
    <w:p>
      <w:pPr>
        <w:pStyle w:val="CorpoAltF0"/>
      </w:pPr>
    </w:p>
    <w:p>
      <w:pPr>
        <w:pStyle w:val="TS-titolo-04"/>
      </w:pPr>
      <w:bookmarkStart w:id="21" w:name="_Toc497211093"/>
      <w:bookmarkStart w:id="22" w:name="_Toc497216127"/>
      <w:r>
        <w:t>Voci CISOA</w:t>
      </w:r>
      <w:bookmarkEnd w:id="21"/>
      <w:bookmarkEnd w:id="22"/>
    </w:p>
    <w:p>
      <w:pPr>
        <w:pStyle w:val="CorpoAltF0"/>
        <w:spacing w:before="120"/>
      </w:pPr>
      <w:r>
        <w:t>Nella “</w:t>
      </w:r>
      <w:r>
        <w:rPr>
          <w:i/>
        </w:rPr>
        <w:t>Tabella voci CIG</w:t>
      </w:r>
      <w:r>
        <w:t xml:space="preserve">” della tabella </w:t>
      </w:r>
      <w:r>
        <w:rPr>
          <w:b/>
        </w:rPr>
        <w:t>TB0903</w:t>
      </w:r>
      <w:r>
        <w:t xml:space="preserve"> è stata inserita la scheda “</w:t>
      </w:r>
      <w:r>
        <w:rPr>
          <w:i/>
        </w:rPr>
        <w:t>Voci CISOA</w:t>
      </w:r>
      <w:r>
        <w:t>” nella quale sono indicate le voci di calcolo utili alla liquidazione degli eventi di CISOA e all’eventuale riproporzionamento ratei conseguente a tali eventi:</w:t>
      </w:r>
    </w:p>
    <w:p>
      <w:pPr>
        <w:pStyle w:val="CorpoAltF0"/>
        <w:spacing w:before="120"/>
        <w:jc w:val="center"/>
      </w:pPr>
      <w:r>
        <w:rPr>
          <w:noProof/>
        </w:rPr>
        <w:drawing>
          <wp:inline distT="0" distB="0" distL="0" distR="0">
            <wp:extent cx="5040000" cy="1863007"/>
            <wp:effectExtent l="0" t="0" r="0" b="0"/>
            <wp:docPr id="20" name="Immagine 20"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60A3E3.tmp"/>
                    <pic:cNvPicPr/>
                  </pic:nvPicPr>
                  <pic:blipFill>
                    <a:blip r:embed="rId15">
                      <a:extLst>
                        <a:ext uri="{28A0092B-C50C-407E-A947-70E740481C1C}">
                          <a14:useLocalDpi xmlns:a14="http://schemas.microsoft.com/office/drawing/2010/main" val="0"/>
                        </a:ext>
                      </a:extLst>
                    </a:blip>
                    <a:stretch>
                      <a:fillRect/>
                    </a:stretch>
                  </pic:blipFill>
                  <pic:spPr>
                    <a:xfrm>
                      <a:off x="0" y="0"/>
                      <a:ext cx="5040000" cy="1863007"/>
                    </a:xfrm>
                    <a:prstGeom prst="rect">
                      <a:avLst/>
                    </a:prstGeom>
                  </pic:spPr>
                </pic:pic>
              </a:graphicData>
            </a:graphic>
          </wp:inline>
        </w:drawing>
      </w:r>
    </w:p>
    <w:p>
      <w:pPr>
        <w:pStyle w:val="CorpoAltF0"/>
        <w:spacing w:before="120"/>
      </w:pPr>
      <w:r>
        <w:t>Con l’installazione del presente aggiornamento, il programma provvede alla creazione delle seguenti voci ed al collegamento delle stesse nei rispettivi campi della scheda “</w:t>
      </w:r>
      <w:r>
        <w:rPr>
          <w:i/>
        </w:rPr>
        <w:t>Voci CISOA</w:t>
      </w:r>
      <w: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977"/>
      </w:tblGrid>
      <w:tr>
        <w:tc>
          <w:tcPr>
            <w:tcW w:w="2802" w:type="dxa"/>
          </w:tcPr>
          <w:p>
            <w:pPr>
              <w:pStyle w:val="CorpoAltF0"/>
              <w:spacing w:before="120"/>
              <w:rPr>
                <w:i/>
              </w:rPr>
            </w:pPr>
            <w:r>
              <w:rPr>
                <w:i/>
              </w:rPr>
              <w:t>Importo CISOA c/INPS:</w:t>
            </w:r>
          </w:p>
        </w:tc>
        <w:tc>
          <w:tcPr>
            <w:tcW w:w="6977" w:type="dxa"/>
          </w:tcPr>
          <w:p>
            <w:pPr>
              <w:pStyle w:val="CorpoAltF0"/>
              <w:spacing w:before="120"/>
            </w:pPr>
            <w:r>
              <w:t>voce di competenza utilizzata per l’erogazione dell’indennità di CISOA c/INPS (nel mese di competenza dell’evento se anticipata da parte della ditta oppure nel mese di liquidazione dell'autorizzazione se non anticipata).</w:t>
            </w:r>
          </w:p>
          <w:p>
            <w:pPr>
              <w:pStyle w:val="CorpoAltF0"/>
            </w:pPr>
          </w:p>
        </w:tc>
      </w:tr>
      <w:tr>
        <w:tc>
          <w:tcPr>
            <w:tcW w:w="2802" w:type="dxa"/>
          </w:tcPr>
          <w:p>
            <w:pPr>
              <w:pStyle w:val="CorpoAltF0"/>
              <w:spacing w:before="120"/>
              <w:rPr>
                <w:i/>
              </w:rPr>
            </w:pPr>
            <w:r>
              <w:rPr>
                <w:i/>
              </w:rPr>
              <w:t>Importo CISOA c/ditta:</w:t>
            </w:r>
          </w:p>
        </w:tc>
        <w:tc>
          <w:tcPr>
            <w:tcW w:w="6977" w:type="dxa"/>
          </w:tcPr>
          <w:p>
            <w:pPr>
              <w:pStyle w:val="CorpoAltF0"/>
              <w:spacing w:before="120"/>
            </w:pPr>
            <w:r>
              <w:t>voce di competenza (assoggettata a contributi ed Irpef) utilizzata per l’erogazione dell’integrazione a carico dell’azienda (percentuale indicata al campo “</w:t>
            </w:r>
            <w:r>
              <w:rPr>
                <w:i/>
              </w:rPr>
              <w:t>Percentuale c/ditta</w:t>
            </w:r>
            <w:r>
              <w:t>” della relativa domanda di CISOA). Tale voce sarà caratterizzata, in particolare, dal “</w:t>
            </w:r>
            <w:r>
              <w:rPr>
                <w:i/>
              </w:rPr>
              <w:t xml:space="preserve">Codice </w:t>
            </w:r>
            <w:proofErr w:type="spellStart"/>
            <w:r>
              <w:rPr>
                <w:i/>
              </w:rPr>
              <w:t>aggiorn</w:t>
            </w:r>
            <w:proofErr w:type="spellEnd"/>
            <w:r>
              <w:rPr>
                <w:i/>
              </w:rPr>
              <w:t>. altri enti</w:t>
            </w:r>
            <w:r>
              <w:t>” 93, utile per riportare il relativo importo in denuncia DMAG, con codice “Tipo retribuzione” “P”.</w:t>
            </w:r>
          </w:p>
          <w:p>
            <w:pPr>
              <w:pStyle w:val="CorpoAltF0"/>
              <w:spacing w:before="120"/>
            </w:pPr>
            <w:r>
              <w:t>Tale voce verrà generata dal programma sempre nel mese di competenza dell’evento, anche in caso di non anticipazione dell’importo c/INPS.</w:t>
            </w:r>
          </w:p>
          <w:p>
            <w:pPr>
              <w:pStyle w:val="CorpoAltF0"/>
            </w:pPr>
          </w:p>
        </w:tc>
      </w:tr>
      <w:tr>
        <w:tc>
          <w:tcPr>
            <w:tcW w:w="2802" w:type="dxa"/>
          </w:tcPr>
          <w:p>
            <w:pPr>
              <w:pStyle w:val="CorpoAltF0"/>
              <w:spacing w:before="120"/>
              <w:rPr>
                <w:i/>
              </w:rPr>
            </w:pPr>
            <w:r>
              <w:rPr>
                <w:i/>
              </w:rPr>
              <w:t>Importo CISOA autorizzato:</w:t>
            </w:r>
          </w:p>
        </w:tc>
        <w:tc>
          <w:tcPr>
            <w:tcW w:w="6977" w:type="dxa"/>
          </w:tcPr>
          <w:p>
            <w:pPr>
              <w:pStyle w:val="CorpoAltF0"/>
              <w:spacing w:before="120"/>
            </w:pPr>
            <w:r>
              <w:t>voce descrittiva generata nel mese di liquidazione dell’autorizzazione, con la quale viene evidenziato l’importo da recuperare a titolo di indennità di CISOA c/INPS autorizzata.</w:t>
            </w:r>
          </w:p>
          <w:p>
            <w:pPr>
              <w:pStyle w:val="CorpoAltF0"/>
            </w:pPr>
          </w:p>
        </w:tc>
      </w:tr>
      <w:tr>
        <w:tc>
          <w:tcPr>
            <w:tcW w:w="2802" w:type="dxa"/>
          </w:tcPr>
          <w:p>
            <w:pPr>
              <w:pStyle w:val="CorpoAltF0"/>
              <w:spacing w:before="120"/>
              <w:jc w:val="left"/>
              <w:rPr>
                <w:i/>
              </w:rPr>
            </w:pPr>
            <w:r>
              <w:rPr>
                <w:i/>
              </w:rPr>
              <w:t>Recupero CISOA c/INPS non autorizzata:</w:t>
            </w:r>
          </w:p>
        </w:tc>
        <w:tc>
          <w:tcPr>
            <w:tcW w:w="6977" w:type="dxa"/>
          </w:tcPr>
          <w:p>
            <w:pPr>
              <w:pStyle w:val="CorpoAltF0"/>
              <w:spacing w:before="120"/>
            </w:pPr>
            <w:r>
              <w:t>voce di competenza (generata con importo negativo) utile al recupero dell’indennità c/INPS anticipata per giornate di CISOA non autorizzate.</w:t>
            </w:r>
          </w:p>
          <w:p>
            <w:pPr>
              <w:pStyle w:val="CorpoAltF0"/>
            </w:pPr>
          </w:p>
        </w:tc>
      </w:tr>
      <w:tr>
        <w:tc>
          <w:tcPr>
            <w:tcW w:w="2802" w:type="dxa"/>
          </w:tcPr>
          <w:p>
            <w:pPr>
              <w:pStyle w:val="CorpoAltF0"/>
              <w:spacing w:before="120"/>
              <w:jc w:val="left"/>
              <w:rPr>
                <w:i/>
              </w:rPr>
            </w:pPr>
            <w:r>
              <w:rPr>
                <w:i/>
              </w:rPr>
              <w:t>Riproporzionamento mensilità aggiuntive:</w:t>
            </w:r>
          </w:p>
          <w:p>
            <w:pPr>
              <w:pStyle w:val="CorpoAltF0"/>
              <w:spacing w:before="120"/>
              <w:jc w:val="left"/>
              <w:rPr>
                <w:i/>
              </w:rPr>
            </w:pPr>
            <w:r>
              <w:rPr>
                <w:i/>
              </w:rPr>
              <w:t>Riproporzionamento ferie:</w:t>
            </w:r>
          </w:p>
        </w:tc>
        <w:tc>
          <w:tcPr>
            <w:tcW w:w="6977" w:type="dxa"/>
          </w:tcPr>
          <w:p>
            <w:pPr>
              <w:pStyle w:val="CorpoAltF0"/>
              <w:spacing w:before="120"/>
            </w:pPr>
            <w:r>
              <w:t xml:space="preserve">voci eventualmente generate per il riproporzionamento della maturazione dei ratei di mensilità aggiuntive ed altri ratei (vedi pag. </w:t>
            </w:r>
            <w:r>
              <w:fldChar w:fldCharType="begin"/>
            </w:r>
            <w:r>
              <w:instrText xml:space="preserve"> PAGEREF CISOA_RiproporzRatei \h </w:instrText>
            </w:r>
            <w:r>
              <w:fldChar w:fldCharType="separate"/>
            </w:r>
            <w:r>
              <w:rPr>
                <w:noProof/>
              </w:rPr>
              <w:t>12</w:t>
            </w:r>
            <w:r>
              <w:fldChar w:fldCharType="end"/>
            </w:r>
            <w:r>
              <w:t>).</w:t>
            </w:r>
          </w:p>
          <w:p>
            <w:pPr>
              <w:pStyle w:val="CorpoAltF0"/>
            </w:pPr>
          </w:p>
        </w:tc>
      </w:tr>
    </w:tbl>
    <w:p>
      <w:pPr>
        <w:pStyle w:val="CorpoAltF0"/>
      </w:pPr>
      <w:r>
        <w:br w:type="page"/>
      </w:r>
    </w:p>
    <w:p>
      <w:pPr>
        <w:pStyle w:val="CorpoAltF0"/>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r>
              <w:rPr>
                <w:rFonts w:ascii="Arial" w:hAnsi="Arial" w:cs="Arial"/>
                <w:b/>
                <w:i/>
                <w:sz w:val="24"/>
                <w:szCs w:val="24"/>
              </w:rPr>
              <w:t>Elaborazioni mensili</w:t>
            </w: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23" w:name="_Toc497211094"/>
            <w:bookmarkStart w:id="24" w:name="_Toc497216128"/>
            <w:r>
              <w:t>CEDOL</w:t>
            </w:r>
            <w:bookmarkEnd w:id="23"/>
            <w:bookmarkEnd w:id="24"/>
          </w:p>
        </w:tc>
      </w:tr>
    </w:tbl>
    <w:p>
      <w:pPr>
        <w:pStyle w:val="TS-titolo-04"/>
      </w:pPr>
      <w:bookmarkStart w:id="25" w:name="CISOA_CEDOL_ElabMensilità"/>
      <w:bookmarkStart w:id="26" w:name="_Toc497211095"/>
      <w:bookmarkStart w:id="27" w:name="_Toc497216129"/>
      <w:bookmarkEnd w:id="25"/>
      <w:r>
        <w:t>Elaborazione mensilità interessata da CISOA</w:t>
      </w:r>
      <w:bookmarkEnd w:id="26"/>
      <w:bookmarkEnd w:id="27"/>
    </w:p>
    <w:p>
      <w:pPr>
        <w:pStyle w:val="CorpoAltF0"/>
        <w:spacing w:before="120"/>
      </w:pPr>
      <w:r>
        <w:t>In fase di elaborazione della mensilità, è necessario inserire i relativi giustificativi di assenza nelle giornate interessate dalla sospensione della prestazione lavorativa per l’evento di CISOA.</w:t>
      </w:r>
    </w:p>
    <w:p>
      <w:pPr>
        <w:pStyle w:val="CorpoAltF0"/>
        <w:spacing w:before="120"/>
      </w:pPr>
      <w:r>
        <w:t>A tale fine dovranno essere utilizzati, analogamente agli eventi di CIG, il giustificativo collegato al campo “</w:t>
      </w:r>
      <w:r>
        <w:rPr>
          <w:i/>
        </w:rPr>
        <w:t>CIG ordinaria</w:t>
      </w:r>
      <w:r>
        <w:t>” della relativa tabella “</w:t>
      </w:r>
      <w:r>
        <w:rPr>
          <w:i/>
        </w:rPr>
        <w:t>Dati presenze</w:t>
      </w:r>
      <w:r>
        <w:t>” (</w:t>
      </w:r>
      <w:r>
        <w:rPr>
          <w:b/>
        </w:rPr>
        <w:t>TB1102</w:t>
      </w:r>
      <w:r>
        <w:t>) oppure, in caso di domanda CISOA per eventi atmosferici, il giustificativo collegato al campo “</w:t>
      </w:r>
      <w:r>
        <w:rPr>
          <w:i/>
        </w:rPr>
        <w:t>CIG eventi atmosferici</w:t>
      </w:r>
      <w:r>
        <w:t>”.</w:t>
      </w:r>
    </w:p>
    <w:p>
      <w:pPr>
        <w:pStyle w:val="CorpoAltF0"/>
        <w:spacing w:before="120"/>
      </w:pPr>
      <w:r>
        <w:t>Tali giustificativi dovranno essere caratterizzati, in particolare, da:</w:t>
      </w:r>
    </w:p>
    <w:p>
      <w:pPr>
        <w:pStyle w:val="CorpoAltF0"/>
        <w:numPr>
          <w:ilvl w:val="0"/>
          <w:numId w:val="25"/>
        </w:numPr>
        <w:spacing w:before="60"/>
        <w:ind w:left="425" w:hanging="357"/>
      </w:pPr>
      <w:r>
        <w:t>valore “3” al campo “</w:t>
      </w:r>
      <w:r>
        <w:rPr>
          <w:i/>
        </w:rPr>
        <w:t>Tipo quantificazione</w:t>
      </w:r>
      <w:r>
        <w:t>”;</w:t>
      </w:r>
    </w:p>
    <w:p>
      <w:pPr>
        <w:pStyle w:val="CorpoAltF0"/>
        <w:numPr>
          <w:ilvl w:val="0"/>
          <w:numId w:val="25"/>
        </w:numPr>
        <w:spacing w:before="60"/>
        <w:ind w:left="425" w:hanging="357"/>
      </w:pPr>
      <w:r>
        <w:t>valore “Y” al campo “</w:t>
      </w:r>
      <w:r>
        <w:rPr>
          <w:i/>
        </w:rPr>
        <w:t>Non inserire se</w:t>
      </w:r>
      <w:r>
        <w:t>”.</w:t>
      </w:r>
    </w:p>
    <w:p>
      <w:pPr>
        <w:pStyle w:val="CorpoAltF0"/>
      </w:pPr>
    </w:p>
    <w:p>
      <w:pPr>
        <w:pStyle w:val="CorpoAltF0"/>
        <w:spacing w:before="120"/>
        <w:jc w:val="center"/>
      </w:pPr>
      <w:r>
        <w:rPr>
          <w:noProof/>
        </w:rPr>
        <w:drawing>
          <wp:inline distT="0" distB="0" distL="0" distR="0">
            <wp:extent cx="5040000" cy="3059869"/>
            <wp:effectExtent l="0" t="0" r="0" b="0"/>
            <wp:docPr id="21" name="Immagine 2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A4A458.tmp"/>
                    <pic:cNvPicPr/>
                  </pic:nvPicPr>
                  <pic:blipFill>
                    <a:blip r:embed="rId16">
                      <a:extLst>
                        <a:ext uri="{28A0092B-C50C-407E-A947-70E740481C1C}">
                          <a14:useLocalDpi xmlns:a14="http://schemas.microsoft.com/office/drawing/2010/main" val="0"/>
                        </a:ext>
                      </a:extLst>
                    </a:blip>
                    <a:stretch>
                      <a:fillRect/>
                    </a:stretch>
                  </pic:blipFill>
                  <pic:spPr>
                    <a:xfrm>
                      <a:off x="0" y="0"/>
                      <a:ext cx="5040000" cy="3059869"/>
                    </a:xfrm>
                    <a:prstGeom prst="rect">
                      <a:avLst/>
                    </a:prstGeom>
                  </pic:spPr>
                </pic:pic>
              </a:graphicData>
            </a:graphic>
          </wp:inline>
        </w:drawing>
      </w:r>
    </w:p>
    <w:p>
      <w:pPr>
        <w:pStyle w:val="CorpoAltF0"/>
      </w:pPr>
    </w:p>
    <w:p>
      <w:pPr>
        <w:pStyle w:val="CorpoAltF0"/>
      </w:pPr>
      <w:bookmarkStart w:id="28" w:name="_Hlk494789023"/>
      <w:r>
        <w:t xml:space="preserve">In funzione delle domande di CISOA </w:t>
      </w:r>
      <w:bookmarkStart w:id="29" w:name="_Hlk494790367"/>
      <w:r>
        <w:t xml:space="preserve">create nella relativa gestione </w:t>
      </w:r>
      <w:bookmarkEnd w:id="29"/>
      <w:r>
        <w:t xml:space="preserve">(comando </w:t>
      </w:r>
      <w:r>
        <w:rPr>
          <w:b/>
        </w:rPr>
        <w:t>CISOA</w:t>
      </w:r>
      <w:r>
        <w:t>) e dei giustificativi inseriti nelle presenze dei periodi interessati, sarà possibile procedere alla liquidazione dell’evento con le stesse modalità operative previste per gli eventi di CIG:</w:t>
      </w:r>
    </w:p>
    <w:p>
      <w:pPr>
        <w:pStyle w:val="CorpoAltF0"/>
        <w:numPr>
          <w:ilvl w:val="0"/>
          <w:numId w:val="21"/>
        </w:numPr>
        <w:spacing w:before="60"/>
        <w:ind w:left="284" w:hanging="284"/>
      </w:pPr>
      <w:r>
        <w:t>la liquidazione viene effettuata automaticamente in fase di sviluppo del cedolino (azienda/filiale con sviluppo automatico) oppure alla conferma del cedolino (azienda/filiale con sviluppo manuale, e valore “Si” al campo “</w:t>
      </w:r>
      <w:r>
        <w:rPr>
          <w:i/>
        </w:rPr>
        <w:t>Liquidazione automatica CIG</w:t>
      </w:r>
      <w:r>
        <w:t xml:space="preserve">” della tabella </w:t>
      </w:r>
      <w:r>
        <w:rPr>
          <w:b/>
        </w:rPr>
        <w:t>TB0903</w:t>
      </w:r>
      <w:r>
        <w:t xml:space="preserve"> applicata);</w:t>
      </w:r>
    </w:p>
    <w:p>
      <w:pPr>
        <w:pStyle w:val="CorpoAltF0"/>
        <w:numPr>
          <w:ilvl w:val="0"/>
          <w:numId w:val="21"/>
        </w:numPr>
        <w:spacing w:before="60"/>
        <w:ind w:left="284" w:hanging="284"/>
      </w:pPr>
      <w:r>
        <w:t xml:space="preserve">diversamente, la liquidazione può essere eseguita mediante l’apposita funzione presente in </w:t>
      </w:r>
      <w:r>
        <w:rPr>
          <w:b/>
        </w:rPr>
        <w:t>CEDOL</w:t>
      </w:r>
      <w:proofErr w:type="gramStart"/>
      <w:r>
        <w:t>&gt;“</w:t>
      </w:r>
      <w:proofErr w:type="gramEnd"/>
      <w:r>
        <w:rPr>
          <w:i/>
        </w:rPr>
        <w:t>Funzioni generali&gt;CIG</w:t>
      </w:r>
      <w:r>
        <w:t xml:space="preserve">” o nel comando </w:t>
      </w:r>
      <w:r>
        <w:rPr>
          <w:b/>
        </w:rPr>
        <w:t>LIQCIG</w:t>
      </w:r>
      <w:r>
        <w:t>.</w:t>
      </w:r>
    </w:p>
    <w:bookmarkEnd w:id="28"/>
    <w:p>
      <w:pPr>
        <w:pStyle w:val="CorpoAltF0"/>
      </w:pPr>
    </w:p>
    <w:p>
      <w:pPr>
        <w:pStyle w:val="CorpoAltF0"/>
      </w:pPr>
      <w:r>
        <w:t>In caso di orario settimanale distribuito su 5 giorni, al fine di considerare nella liquidazione dell’evento anche il giorno a zero ore i suddetti giustificativi dovranno essere inseriti anche su tali giornate.</w:t>
      </w:r>
    </w:p>
    <w:p>
      <w:pPr>
        <w:pStyle w:val="CorpoAltF0"/>
      </w:pPr>
    </w:p>
    <w:p>
      <w:pPr>
        <w:pStyle w:val="CorpoAltF0"/>
        <w:rPr>
          <w:i/>
          <w:u w:val="single"/>
        </w:rPr>
      </w:pPr>
      <w:r>
        <w:rPr>
          <w:i/>
          <w:u w:val="single"/>
        </w:rPr>
        <w:t>Particolarità: diversi fondi interessati da CISOA per lo stesso periodo</w:t>
      </w:r>
    </w:p>
    <w:p>
      <w:pPr>
        <w:pStyle w:val="CorpoAltF0"/>
        <w:spacing w:before="120"/>
      </w:pPr>
      <w:r>
        <w:t>In presenza di due domande CISOA (della stessa tipologia) relative a diversi fondi agricoli e riferite ad un medesimo periodo, qualora il dipendente abbia lavorato su entrambi i fondi e sia interessato da entrambi gli eventi di CISOA, sarà necessario specificare i fondi agricoli di lavoro del dipendente nel corso del periodo interessato.</w:t>
      </w:r>
    </w:p>
    <w:p>
      <w:pPr>
        <w:pStyle w:val="CorpoAltF0"/>
      </w:pPr>
      <w:r>
        <w:t>A tal fine, all’interno delle presenze mensili è necessario inserire appositi giustificativi che, collegati nel nuovo campo “</w:t>
      </w:r>
      <w:r>
        <w:rPr>
          <w:i/>
        </w:rPr>
        <w:t>Giustificativo fondo agricolo</w:t>
      </w:r>
      <w:r>
        <w:t>” della sezione “</w:t>
      </w:r>
      <w:r>
        <w:rPr>
          <w:i/>
        </w:rPr>
        <w:t xml:space="preserve">Dati </w:t>
      </w:r>
      <w:proofErr w:type="spellStart"/>
      <w:r>
        <w:rPr>
          <w:i/>
        </w:rPr>
        <w:t>aggiunt</w:t>
      </w:r>
      <w:proofErr w:type="spellEnd"/>
      <w:r>
        <w:rPr>
          <w:i/>
        </w:rPr>
        <w:t xml:space="preserve">. </w:t>
      </w:r>
      <w:proofErr w:type="spellStart"/>
      <w:r>
        <w:rPr>
          <w:i/>
        </w:rPr>
        <w:t>imp</w:t>
      </w:r>
      <w:proofErr w:type="spellEnd"/>
      <w:r>
        <w:rPr>
          <w:i/>
        </w:rPr>
        <w:t xml:space="preserve"> agricola &gt; Fondi agricoli</w:t>
      </w:r>
      <w:r>
        <w:t xml:space="preserve">” (vedi pag. </w:t>
      </w:r>
      <w:r>
        <w:fldChar w:fldCharType="begin"/>
      </w:r>
      <w:r>
        <w:instrText xml:space="preserve"> PAGEREF CISOA_AZIE_GiustificativoFondo \h </w:instrText>
      </w:r>
      <w:r>
        <w:fldChar w:fldCharType="separate"/>
      </w:r>
      <w:r>
        <w:rPr>
          <w:noProof/>
        </w:rPr>
        <w:t>14</w:t>
      </w:r>
      <w:r>
        <w:fldChar w:fldCharType="end"/>
      </w:r>
      <w:r>
        <w:t>), consentano di identificare il fondo agricolo di riferimento (il giustificativo identificativo del fondo deve essere inserito prima del giustificativo di CISOA a cui deve essere abbinato):</w:t>
      </w:r>
    </w:p>
    <w:p>
      <w:pPr>
        <w:pStyle w:val="Ignora"/>
      </w:pPr>
      <w:r>
        <w:br w:type="page"/>
      </w:r>
    </w:p>
    <w:p>
      <w:pPr>
        <w:pStyle w:val="CorpoAltF0"/>
      </w:pPr>
    </w:p>
    <w:p>
      <w:pPr>
        <w:pStyle w:val="CorpoAltF0"/>
        <w:jc w:val="center"/>
      </w:pPr>
      <w:r>
        <w:rPr>
          <w:noProof/>
        </w:rPr>
        <w:drawing>
          <wp:inline distT="0" distB="0" distL="0" distR="0">
            <wp:extent cx="5040000" cy="2483137"/>
            <wp:effectExtent l="0" t="0" r="0" b="0"/>
            <wp:docPr id="9" name="Immagine 9"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606F96.tmp"/>
                    <pic:cNvPicPr/>
                  </pic:nvPicPr>
                  <pic:blipFill>
                    <a:blip r:embed="rId17">
                      <a:extLst>
                        <a:ext uri="{28A0092B-C50C-407E-A947-70E740481C1C}">
                          <a14:useLocalDpi xmlns:a14="http://schemas.microsoft.com/office/drawing/2010/main" val="0"/>
                        </a:ext>
                      </a:extLst>
                    </a:blip>
                    <a:stretch>
                      <a:fillRect/>
                    </a:stretch>
                  </pic:blipFill>
                  <pic:spPr>
                    <a:xfrm>
                      <a:off x="0" y="0"/>
                      <a:ext cx="5040000" cy="2483137"/>
                    </a:xfrm>
                    <a:prstGeom prst="rect">
                      <a:avLst/>
                    </a:prstGeom>
                  </pic:spPr>
                </pic:pic>
              </a:graphicData>
            </a:graphic>
          </wp:inline>
        </w:drawing>
      </w:r>
    </w:p>
    <w:p>
      <w:pPr>
        <w:pStyle w:val="CorpoAltF0"/>
        <w:spacing w:before="120"/>
      </w:pPr>
      <w:r>
        <w:t>Pertanto, il dipendente verrà considerato ai fini della liquidazione degli eventi interessati verificando la corrispondenza fra il fondo agricolo di riferimento indicato nelle presenze mensili e quello indicato nelle domande di CISOA.</w:t>
      </w:r>
    </w:p>
    <w:p>
      <w:pPr>
        <w:pStyle w:val="CorpoAltF0"/>
      </w:pPr>
    </w:p>
    <w:p>
      <w:pPr>
        <w:pStyle w:val="CorpoAltF0"/>
      </w:pPr>
    </w:p>
    <w:p>
      <w:pPr>
        <w:pStyle w:val="CorpoAltF0"/>
      </w:pPr>
    </w:p>
    <w:p>
      <w:pPr>
        <w:pStyle w:val="TS-titolo-05"/>
      </w:pPr>
      <w:bookmarkStart w:id="30" w:name="_Toc497211096"/>
      <w:bookmarkStart w:id="31" w:name="_Toc497216130"/>
      <w:r>
        <w:t>Liquidazione CISOA</w:t>
      </w:r>
      <w:bookmarkEnd w:id="30"/>
      <w:bookmarkEnd w:id="31"/>
    </w:p>
    <w:p>
      <w:pPr>
        <w:pStyle w:val="CorpoAltF0"/>
        <w:spacing w:before="120"/>
      </w:pPr>
      <w:r>
        <w:t>Nel prospetto di liquidazione degli eventi CISOA vengono evidenziate le informazioni di seguito descritte.</w:t>
      </w:r>
    </w:p>
    <w:p>
      <w:pPr>
        <w:pStyle w:val="CorpoAltF0"/>
        <w:spacing w:before="120"/>
        <w:rPr>
          <w:u w:val="single"/>
        </w:rPr>
      </w:pPr>
      <w:r>
        <w:rPr>
          <w:u w:val="single"/>
        </w:rPr>
        <w:t>Riepilogo domande CISOA liquidate</w:t>
      </w:r>
    </w:p>
    <w:p>
      <w:pPr>
        <w:pStyle w:val="CorpoAltF0"/>
        <w:spacing w:before="120"/>
        <w:jc w:val="center"/>
      </w:pPr>
      <w:r>
        <w:rPr>
          <w:noProof/>
        </w:rPr>
        <w:drawing>
          <wp:inline distT="0" distB="0" distL="0" distR="0">
            <wp:extent cx="5040000" cy="2188758"/>
            <wp:effectExtent l="0" t="0" r="0" b="0"/>
            <wp:docPr id="22" name="Immagine 22"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9CE32D.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000" cy="2188758"/>
                    </a:xfrm>
                    <a:prstGeom prst="rect">
                      <a:avLst/>
                    </a:prstGeom>
                  </pic:spPr>
                </pic:pic>
              </a:graphicData>
            </a:graphic>
          </wp:inline>
        </w:drawing>
      </w:r>
    </w:p>
    <w:p>
      <w:pPr>
        <w:pStyle w:val="CorpoAltF0"/>
        <w:spacing w:before="120"/>
      </w:pPr>
      <w:r>
        <w:t xml:space="preserve">Nella prima pagina vengono evidenziati i dati relativi alle domande di CISOA liquidate nel mese (periodo e fondo agricolo di riferimento, eventi atmosferici e anticipazione della ditta), con i rispettivi giorni ed importi calcolati a titolo di importo CISOA c/INPS (vedi sotto “Calcolo indennità giornaliera”) ed importo c/ditta (vedi pag. </w:t>
      </w:r>
      <w:r>
        <w:fldChar w:fldCharType="begin"/>
      </w:r>
      <w:r>
        <w:instrText xml:space="preserve"> PAGEREF CISOA_IntegrazDitta \h </w:instrText>
      </w:r>
      <w:r>
        <w:fldChar w:fldCharType="separate"/>
      </w:r>
      <w:r>
        <w:rPr>
          <w:noProof/>
        </w:rPr>
        <w:t>12</w:t>
      </w:r>
      <w:r>
        <w:fldChar w:fldCharType="end"/>
      </w:r>
      <w:r>
        <w:t>).</w:t>
      </w:r>
    </w:p>
    <w:p>
      <w:pPr>
        <w:pStyle w:val="CorpoAltF0"/>
      </w:pPr>
      <w:r>
        <w:t>Nella parte inferiore della schermata vengono evidenziati i corrispondenti valori totali, distinguendo gli importi erogati nel mese e quelli non anticipati.</w:t>
      </w:r>
    </w:p>
    <w:p>
      <w:pPr>
        <w:pStyle w:val="CorpoAltF0"/>
      </w:pPr>
      <w:r>
        <w:br w:type="page"/>
      </w:r>
    </w:p>
    <w:p>
      <w:pPr>
        <w:pStyle w:val="CorpoAltF0"/>
      </w:pPr>
    </w:p>
    <w:p>
      <w:pPr>
        <w:pStyle w:val="CorpoAltF0"/>
        <w:spacing w:before="120"/>
        <w:rPr>
          <w:u w:val="single"/>
        </w:rPr>
      </w:pPr>
      <w:r>
        <w:rPr>
          <w:u w:val="single"/>
        </w:rPr>
        <w:t>Calcolo indennità giornaliera</w:t>
      </w:r>
    </w:p>
    <w:p>
      <w:pPr>
        <w:pStyle w:val="CorpoAltF0"/>
        <w:spacing w:before="120"/>
        <w:jc w:val="center"/>
      </w:pPr>
      <w:r>
        <w:rPr>
          <w:noProof/>
        </w:rPr>
        <w:drawing>
          <wp:inline distT="0" distB="0" distL="0" distR="0">
            <wp:extent cx="5328000" cy="2101020"/>
            <wp:effectExtent l="0" t="0" r="0" b="0"/>
            <wp:docPr id="23" name="Immagine 23"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60EDDC.tmp"/>
                    <pic:cNvPicPr/>
                  </pic:nvPicPr>
                  <pic:blipFill>
                    <a:blip r:embed="rId19">
                      <a:extLst>
                        <a:ext uri="{28A0092B-C50C-407E-A947-70E740481C1C}">
                          <a14:useLocalDpi xmlns:a14="http://schemas.microsoft.com/office/drawing/2010/main" val="0"/>
                        </a:ext>
                      </a:extLst>
                    </a:blip>
                    <a:stretch>
                      <a:fillRect/>
                    </a:stretch>
                  </pic:blipFill>
                  <pic:spPr>
                    <a:xfrm>
                      <a:off x="0" y="0"/>
                      <a:ext cx="5328000" cy="2101020"/>
                    </a:xfrm>
                    <a:prstGeom prst="rect">
                      <a:avLst/>
                    </a:prstGeom>
                  </pic:spPr>
                </pic:pic>
              </a:graphicData>
            </a:graphic>
          </wp:inline>
        </w:drawing>
      </w:r>
    </w:p>
    <w:p>
      <w:pPr>
        <w:pStyle w:val="CorpoAltF0"/>
        <w:spacing w:before="120"/>
      </w:pPr>
      <w:r>
        <w:t>Nella seconda pagina, viene evidenziato il dettaglio di calcolo dell’indennità giornaliera utilizzata per la determinazione dell’importo di indennità di CISOA c/INPS.</w:t>
      </w:r>
    </w:p>
    <w:p>
      <w:pPr>
        <w:pStyle w:val="CorpoAltF0"/>
        <w:numPr>
          <w:ilvl w:val="0"/>
          <w:numId w:val="22"/>
        </w:numPr>
        <w:spacing w:before="120"/>
        <w:ind w:left="426" w:hanging="284"/>
      </w:pPr>
      <w:r>
        <w:t xml:space="preserve">Nel riquadro di destra vengono evidenziati i dati relativi alla domanda di CISOA nonché l’importo della retribuzione media giornaliera calcolata con riferimento al mese precedente l’inizio dell’evento (vedi pag. </w:t>
      </w:r>
      <w:r>
        <w:fldChar w:fldCharType="begin"/>
      </w:r>
      <w:r>
        <w:instrText xml:space="preserve"> PAGEREF CISOA_RetribMediaGiornaliera \h </w:instrText>
      </w:r>
      <w:r>
        <w:fldChar w:fldCharType="separate"/>
      </w:r>
      <w:r>
        <w:rPr>
          <w:noProof/>
        </w:rPr>
        <w:t>6</w:t>
      </w:r>
      <w:r>
        <w:fldChar w:fldCharType="end"/>
      </w:r>
      <w:r>
        <w:t>).</w:t>
      </w:r>
    </w:p>
    <w:p>
      <w:pPr>
        <w:pStyle w:val="CorpoAltF0"/>
        <w:numPr>
          <w:ilvl w:val="0"/>
          <w:numId w:val="22"/>
        </w:numPr>
        <w:spacing w:before="120"/>
        <w:ind w:left="426" w:hanging="284"/>
      </w:pPr>
      <w:r>
        <w:t>Nel riquadro di sinistra viene evidenziato il dettaglio di calcolo dell’indennità giornaliera di CISOA calcolato in maniera differenziata in caso di applicazione o meno del massimale (campo “</w:t>
      </w:r>
      <w:r>
        <w:rPr>
          <w:i/>
        </w:rPr>
        <w:t>Applica massimale</w:t>
      </w:r>
      <w:r>
        <w:t>” della domanda CISOA):</w:t>
      </w:r>
    </w:p>
    <w:tbl>
      <w:tblPr>
        <w:tblStyle w:val="Grigliatabella"/>
        <w:tblW w:w="9213"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411"/>
      </w:tblGrid>
      <w:tr>
        <w:tc>
          <w:tcPr>
            <w:tcW w:w="2802" w:type="dxa"/>
          </w:tcPr>
          <w:p>
            <w:pPr>
              <w:pStyle w:val="CorpoAltF0"/>
              <w:spacing w:before="120"/>
              <w:jc w:val="left"/>
              <w:rPr>
                <w:i/>
              </w:rPr>
            </w:pPr>
            <w:r>
              <w:rPr>
                <w:i/>
              </w:rPr>
              <w:t>Retribuzione mensile M.P.:</w:t>
            </w:r>
          </w:p>
        </w:tc>
        <w:tc>
          <w:tcPr>
            <w:tcW w:w="6411" w:type="dxa"/>
          </w:tcPr>
          <w:p>
            <w:pPr>
              <w:pStyle w:val="CorpoAltF0"/>
              <w:spacing w:before="120"/>
            </w:pPr>
            <w:r>
              <w:t>retribuzione contrattuale del mese precedente, utilizzata in caso di applicazione del massimale ai fini del raffronto con la “</w:t>
            </w:r>
            <w:r>
              <w:rPr>
                <w:i/>
              </w:rPr>
              <w:t>Retribuzione mensile limite</w:t>
            </w:r>
            <w:r>
              <w:t>” e la conseguente rilevazione dell’importo di massimale inferiore o superiore (“</w:t>
            </w:r>
            <w:r>
              <w:rPr>
                <w:i/>
              </w:rPr>
              <w:t>Tabella massimali</w:t>
            </w:r>
            <w:r>
              <w:t xml:space="preserve">” di </w:t>
            </w:r>
            <w:r>
              <w:rPr>
                <w:b/>
              </w:rPr>
              <w:t>TB0903</w:t>
            </w:r>
            <w:proofErr w:type="gramStart"/>
            <w:r>
              <w:t>-“</w:t>
            </w:r>
            <w:proofErr w:type="gramEnd"/>
            <w:r>
              <w:rPr>
                <w:i/>
              </w:rPr>
              <w:t>Tabelle CIG</w:t>
            </w:r>
            <w:r>
              <w:t>”).</w:t>
            </w:r>
          </w:p>
          <w:p>
            <w:pPr>
              <w:pStyle w:val="CorpoAltF0"/>
              <w:spacing w:before="120"/>
            </w:pPr>
            <w:r>
              <w:t>Tale retribuzione sarà così determinata:</w:t>
            </w:r>
          </w:p>
          <w:p>
            <w:pPr>
              <w:pStyle w:val="CorpoAltF0"/>
              <w:numPr>
                <w:ilvl w:val="0"/>
                <w:numId w:val="23"/>
              </w:numPr>
              <w:spacing w:before="40"/>
              <w:ind w:left="349" w:hanging="284"/>
            </w:pPr>
            <w:r>
              <w:t>Dipendenti orari</w:t>
            </w:r>
          </w:p>
          <w:p>
            <w:pPr>
              <w:pStyle w:val="CorpoAltF0"/>
              <w:ind w:left="352"/>
            </w:pPr>
            <w:proofErr w:type="spellStart"/>
            <w:r>
              <w:t>Retrib</w:t>
            </w:r>
            <w:proofErr w:type="spellEnd"/>
            <w:r>
              <w:t>. oraria (mese precedente) moltiplicata per le ore lavorabili del mese precedente (comprese festività infrasettimanali);</w:t>
            </w:r>
          </w:p>
          <w:p>
            <w:pPr>
              <w:pStyle w:val="CorpoAltF0"/>
              <w:numPr>
                <w:ilvl w:val="0"/>
                <w:numId w:val="23"/>
              </w:numPr>
              <w:spacing w:before="60"/>
              <w:ind w:left="346" w:hanging="284"/>
            </w:pPr>
            <w:r>
              <w:t>Dipendenti mensilizzati</w:t>
            </w:r>
          </w:p>
          <w:p>
            <w:pPr>
              <w:pStyle w:val="CorpoAltF0"/>
              <w:ind w:left="352"/>
            </w:pPr>
            <w:proofErr w:type="spellStart"/>
            <w:r>
              <w:t>Retrib</w:t>
            </w:r>
            <w:proofErr w:type="spellEnd"/>
            <w:r>
              <w:t>. mese precedente (rapportata all’eventuale percentuale part-time).</w:t>
            </w:r>
          </w:p>
          <w:p>
            <w:pPr>
              <w:pStyle w:val="CorpoAltF0"/>
            </w:pPr>
          </w:p>
        </w:tc>
      </w:tr>
      <w:tr>
        <w:tc>
          <w:tcPr>
            <w:tcW w:w="2802" w:type="dxa"/>
          </w:tcPr>
          <w:p>
            <w:pPr>
              <w:pStyle w:val="CorpoAltF0"/>
              <w:spacing w:before="120"/>
              <w:jc w:val="left"/>
              <w:rPr>
                <w:i/>
              </w:rPr>
            </w:pPr>
            <w:r>
              <w:rPr>
                <w:i/>
              </w:rPr>
              <w:t>Massimale mensile:</w:t>
            </w:r>
          </w:p>
        </w:tc>
        <w:tc>
          <w:tcPr>
            <w:tcW w:w="6411" w:type="dxa"/>
          </w:tcPr>
          <w:p>
            <w:pPr>
              <w:pStyle w:val="CorpoAltF0"/>
              <w:spacing w:before="120"/>
            </w:pPr>
            <w:r>
              <w:t>solo in caso di applicazione del massimale, in tale campo viene evidenziato l’importo del massimale di riferimento rilevato dalla “</w:t>
            </w:r>
            <w:r>
              <w:rPr>
                <w:i/>
              </w:rPr>
              <w:t>Tabella massimali</w:t>
            </w:r>
            <w:r>
              <w:t xml:space="preserve">” di </w:t>
            </w:r>
            <w:r>
              <w:rPr>
                <w:b/>
              </w:rPr>
              <w:t>TB0903</w:t>
            </w:r>
            <w:r>
              <w:t>.</w:t>
            </w:r>
          </w:p>
          <w:p>
            <w:pPr>
              <w:pStyle w:val="CorpoAltF0"/>
            </w:pPr>
          </w:p>
        </w:tc>
      </w:tr>
      <w:tr>
        <w:tc>
          <w:tcPr>
            <w:tcW w:w="2802" w:type="dxa"/>
          </w:tcPr>
          <w:p>
            <w:pPr>
              <w:pStyle w:val="CorpoAltF0"/>
              <w:spacing w:before="120"/>
              <w:jc w:val="left"/>
              <w:rPr>
                <w:i/>
              </w:rPr>
            </w:pPr>
            <w:r>
              <w:rPr>
                <w:i/>
              </w:rPr>
              <w:t>Giorni lavorativi:</w:t>
            </w:r>
          </w:p>
        </w:tc>
        <w:tc>
          <w:tcPr>
            <w:tcW w:w="6411" w:type="dxa"/>
          </w:tcPr>
          <w:p>
            <w:pPr>
              <w:pStyle w:val="CorpoAltF0"/>
              <w:spacing w:before="120"/>
            </w:pPr>
            <w:r>
              <w:t>giorni lavorativi del mese di competenza dell’evento di CISOA, ottenuti dallo sviluppo del relativo calendario settimanale/mensile base, considerando anche le giornate di festività infrasettimanale e il “</w:t>
            </w:r>
            <w:r>
              <w:rPr>
                <w:i/>
              </w:rPr>
              <w:t xml:space="preserve">Giorno </w:t>
            </w:r>
            <w:proofErr w:type="spellStart"/>
            <w:r>
              <w:rPr>
                <w:i/>
              </w:rPr>
              <w:t>zeroore</w:t>
            </w:r>
            <w:proofErr w:type="spellEnd"/>
            <w:r>
              <w:t>” in caso di orario settimanale su 5 giorni.</w:t>
            </w:r>
          </w:p>
          <w:p>
            <w:pPr>
              <w:pStyle w:val="CorpoAltF0"/>
            </w:pPr>
          </w:p>
        </w:tc>
      </w:tr>
    </w:tbl>
    <w:p>
      <w:pPr>
        <w:pStyle w:val="Ignora"/>
      </w:pPr>
      <w:r>
        <w:br w:type="page"/>
      </w:r>
    </w:p>
    <w:p>
      <w:pPr>
        <w:pStyle w:val="CorpoAltF0"/>
      </w:pPr>
    </w:p>
    <w:tbl>
      <w:tblPr>
        <w:tblStyle w:val="Grigliatabella"/>
        <w:tblW w:w="9213"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411"/>
      </w:tblGrid>
      <w:tr>
        <w:tc>
          <w:tcPr>
            <w:tcW w:w="2802" w:type="dxa"/>
          </w:tcPr>
          <w:p>
            <w:pPr>
              <w:pStyle w:val="CorpoAltF0"/>
              <w:spacing w:before="120"/>
              <w:jc w:val="left"/>
              <w:rPr>
                <w:i/>
              </w:rPr>
            </w:pPr>
            <w:r>
              <w:rPr>
                <w:i/>
              </w:rPr>
              <w:t>Retribuzione giornaliera:</w:t>
            </w:r>
          </w:p>
        </w:tc>
        <w:tc>
          <w:tcPr>
            <w:tcW w:w="6411" w:type="dxa"/>
          </w:tcPr>
          <w:p>
            <w:pPr>
              <w:pStyle w:val="CorpoAltF0"/>
              <w:spacing w:before="120"/>
            </w:pPr>
            <w:r>
              <w:t>importo dato dalla “</w:t>
            </w:r>
            <w:r>
              <w:rPr>
                <w:i/>
              </w:rPr>
              <w:t>Retribuzione media giornaliera</w:t>
            </w:r>
            <w:r>
              <w:t>” moltiplicata per la percentuale di integrazione (80%).</w:t>
            </w:r>
          </w:p>
          <w:p>
            <w:pPr>
              <w:pStyle w:val="CorpoAltF0"/>
            </w:pPr>
          </w:p>
        </w:tc>
      </w:tr>
      <w:tr>
        <w:tc>
          <w:tcPr>
            <w:tcW w:w="2802" w:type="dxa"/>
          </w:tcPr>
          <w:p>
            <w:pPr>
              <w:pStyle w:val="CorpoAltF0"/>
              <w:spacing w:before="120"/>
              <w:jc w:val="left"/>
              <w:rPr>
                <w:i/>
              </w:rPr>
            </w:pPr>
            <w:r>
              <w:rPr>
                <w:i/>
              </w:rPr>
              <w:t>Massimale giornaliero:</w:t>
            </w:r>
          </w:p>
        </w:tc>
        <w:tc>
          <w:tcPr>
            <w:tcW w:w="6411" w:type="dxa"/>
          </w:tcPr>
          <w:p>
            <w:pPr>
              <w:pStyle w:val="CorpoAltF0"/>
              <w:spacing w:before="120"/>
            </w:pPr>
            <w:r>
              <w:t>importo del “</w:t>
            </w:r>
            <w:r>
              <w:rPr>
                <w:i/>
              </w:rPr>
              <w:t>Massimale mensile</w:t>
            </w:r>
            <w:r>
              <w:t>” diviso per il precedente numero di “</w:t>
            </w:r>
            <w:r>
              <w:rPr>
                <w:i/>
              </w:rPr>
              <w:t>Giorni lavorativi</w:t>
            </w:r>
            <w:r>
              <w:t>” del mese di competenza.</w:t>
            </w:r>
          </w:p>
          <w:p>
            <w:pPr>
              <w:pStyle w:val="CorpoAltF0"/>
            </w:pPr>
          </w:p>
        </w:tc>
      </w:tr>
      <w:tr>
        <w:tc>
          <w:tcPr>
            <w:tcW w:w="2802" w:type="dxa"/>
          </w:tcPr>
          <w:p>
            <w:pPr>
              <w:pStyle w:val="CorpoAltF0"/>
              <w:spacing w:before="120"/>
              <w:jc w:val="left"/>
              <w:rPr>
                <w:i/>
              </w:rPr>
            </w:pPr>
            <w:r>
              <w:rPr>
                <w:i/>
              </w:rPr>
              <w:t>Indennità giornaliera CISOA:</w:t>
            </w:r>
          </w:p>
        </w:tc>
        <w:tc>
          <w:tcPr>
            <w:tcW w:w="6411" w:type="dxa"/>
          </w:tcPr>
          <w:p>
            <w:pPr>
              <w:pStyle w:val="CorpoAltF0"/>
              <w:spacing w:before="120"/>
            </w:pPr>
            <w:r>
              <w:t>in caso di applicazione del massimale, l’indennità giornaliera CISOA sarà data dal minore fra la “</w:t>
            </w:r>
            <w:r>
              <w:rPr>
                <w:i/>
              </w:rPr>
              <w:t>Retribuzione giornaliera</w:t>
            </w:r>
            <w:r>
              <w:t>” ed il “</w:t>
            </w:r>
            <w:r>
              <w:rPr>
                <w:i/>
              </w:rPr>
              <w:t>Massimale giornaliero</w:t>
            </w:r>
            <w:r>
              <w:t>”; diversamente, in caso di non applicazione del massimale, tale importo sarà pari alla “</w:t>
            </w:r>
            <w:r>
              <w:rPr>
                <w:i/>
              </w:rPr>
              <w:t>Retribuzione giornaliera</w:t>
            </w:r>
            <w:r>
              <w:t>”.</w:t>
            </w:r>
          </w:p>
          <w:p>
            <w:pPr>
              <w:pStyle w:val="CorpoAltF0"/>
            </w:pPr>
          </w:p>
        </w:tc>
      </w:tr>
      <w:tr>
        <w:tc>
          <w:tcPr>
            <w:tcW w:w="2802" w:type="dxa"/>
          </w:tcPr>
          <w:p>
            <w:pPr>
              <w:pStyle w:val="CorpoAltF0"/>
              <w:spacing w:before="120"/>
              <w:jc w:val="left"/>
              <w:rPr>
                <w:i/>
              </w:rPr>
            </w:pPr>
            <w:r>
              <w:rPr>
                <w:i/>
              </w:rPr>
              <w:t>Indennità giornaliera CISOA (netto % apprendisti):</w:t>
            </w:r>
          </w:p>
        </w:tc>
        <w:tc>
          <w:tcPr>
            <w:tcW w:w="6411" w:type="dxa"/>
          </w:tcPr>
          <w:p>
            <w:pPr>
              <w:pStyle w:val="CorpoAltF0"/>
              <w:spacing w:before="120"/>
            </w:pPr>
            <w:r>
              <w:t>importo dell’indennità giornaliera (campo precedente) diminuito della percentuale apprendisti indicata al campo “</w:t>
            </w:r>
            <w:r>
              <w:rPr>
                <w:i/>
              </w:rPr>
              <w:t>% apprendisti</w:t>
            </w:r>
            <w:r>
              <w:t>” della “</w:t>
            </w:r>
            <w:r>
              <w:rPr>
                <w:i/>
              </w:rPr>
              <w:t>Tabella massimali</w:t>
            </w:r>
            <w:r>
              <w:t xml:space="preserve">” di </w:t>
            </w:r>
            <w:r>
              <w:rPr>
                <w:b/>
              </w:rPr>
              <w:t>TB0903</w:t>
            </w:r>
            <w:r>
              <w:t xml:space="preserve"> (5,84%).</w:t>
            </w:r>
          </w:p>
          <w:p>
            <w:pPr>
              <w:pStyle w:val="CorpoAltF0"/>
              <w:spacing w:before="120"/>
            </w:pPr>
            <w:r>
              <w:t>Tale importo verrà moltiplicato per il numero di giornate di CISOA al fine di determinare l’indennità c/INPS che verrà erogata, con la voce “</w:t>
            </w:r>
            <w:r>
              <w:rPr>
                <w:i/>
              </w:rPr>
              <w:t>Importo CISOA c/INPS</w:t>
            </w:r>
            <w:r>
              <w:t>” (cod. 8223)</w:t>
            </w:r>
            <w:r>
              <w:rPr>
                <w:i/>
              </w:rPr>
              <w:t xml:space="preserve"> </w:t>
            </w:r>
            <w:r>
              <w:t>nel mese stesso (se anticipata da parte della ditta) o in fase di liquidazione dell’autorizzazione dell’evento.</w:t>
            </w:r>
          </w:p>
        </w:tc>
      </w:tr>
    </w:tbl>
    <w:p>
      <w:pPr>
        <w:pStyle w:val="CorpoAltF0"/>
      </w:pPr>
    </w:p>
    <w:p>
      <w:pPr>
        <w:pStyle w:val="CorpoAltF0"/>
        <w:spacing w:before="120"/>
        <w:rPr>
          <w:u w:val="single"/>
        </w:rPr>
      </w:pPr>
      <w:r>
        <w:rPr>
          <w:u w:val="single"/>
        </w:rPr>
        <w:t>Dati autorizzazione</w:t>
      </w:r>
    </w:p>
    <w:p>
      <w:pPr>
        <w:pStyle w:val="CorpoAltF0"/>
        <w:spacing w:before="120"/>
        <w:jc w:val="center"/>
      </w:pPr>
      <w:r>
        <w:rPr>
          <w:noProof/>
        </w:rPr>
        <w:drawing>
          <wp:inline distT="0" distB="0" distL="0" distR="0">
            <wp:extent cx="5040000" cy="1228758"/>
            <wp:effectExtent l="0" t="0" r="0" b="0"/>
            <wp:docPr id="24" name="Immagine 24"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346A7C.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0000" cy="1228758"/>
                    </a:xfrm>
                    <a:prstGeom prst="rect">
                      <a:avLst/>
                    </a:prstGeom>
                  </pic:spPr>
                </pic:pic>
              </a:graphicData>
            </a:graphic>
          </wp:inline>
        </w:drawing>
      </w:r>
    </w:p>
    <w:p>
      <w:pPr>
        <w:pStyle w:val="CorpoAltF0"/>
      </w:pPr>
    </w:p>
    <w:p>
      <w:pPr>
        <w:pStyle w:val="CorpoAltF0"/>
      </w:pPr>
      <w:r>
        <w:t>In tale sezione vengono evidenziate le informazioni relative all’autorizzazione dell’evento di CISOA, in funzione della compilazione della sezione “</w:t>
      </w:r>
      <w:r>
        <w:rPr>
          <w:i/>
        </w:rPr>
        <w:t>Dati autorizzazione</w:t>
      </w:r>
      <w:r>
        <w:t>” nella specifica domanda.</w:t>
      </w:r>
    </w:p>
    <w:p>
      <w:pPr>
        <w:pStyle w:val="CorpoAltF0"/>
      </w:pPr>
    </w:p>
    <w:p>
      <w:pPr>
        <w:pStyle w:val="CorpoAltF0"/>
        <w:spacing w:before="120"/>
        <w:rPr>
          <w:b/>
          <w:u w:val="single"/>
        </w:rPr>
      </w:pPr>
      <w:bookmarkStart w:id="32" w:name="CISOA_LiqudazioneAutorizzazione"/>
      <w:bookmarkStart w:id="33" w:name="_Hlk496720178"/>
      <w:bookmarkEnd w:id="32"/>
      <w:r>
        <w:rPr>
          <w:b/>
          <w:u w:val="single"/>
        </w:rPr>
        <w:t>Liquidazione dell’autorizzazione</w:t>
      </w:r>
    </w:p>
    <w:p>
      <w:pPr>
        <w:pStyle w:val="CorpoAltF0"/>
        <w:spacing w:before="120"/>
      </w:pPr>
      <w:r>
        <w:t>Nel mese di liquidazione dell’autorizzazione (campo “</w:t>
      </w:r>
      <w:r>
        <w:rPr>
          <w:i/>
        </w:rPr>
        <w:t xml:space="preserve">Mese/anno inizio </w:t>
      </w:r>
      <w:proofErr w:type="spellStart"/>
      <w:r>
        <w:rPr>
          <w:i/>
        </w:rPr>
        <w:t>rec</w:t>
      </w:r>
      <w:proofErr w:type="spellEnd"/>
      <w:r>
        <w:rPr>
          <w:i/>
        </w:rPr>
        <w:t xml:space="preserve">. </w:t>
      </w:r>
      <w:proofErr w:type="spellStart"/>
      <w:r>
        <w:rPr>
          <w:i/>
        </w:rPr>
        <w:t>int</w:t>
      </w:r>
      <w:proofErr w:type="spellEnd"/>
      <w:r>
        <w:rPr>
          <w:i/>
        </w:rPr>
        <w:t>.</w:t>
      </w:r>
      <w:r>
        <w:t>” della domanda) il programma provvederà a generare la voce indicata al campo “</w:t>
      </w:r>
      <w:r>
        <w:rPr>
          <w:i/>
        </w:rPr>
        <w:t>Importo CISOA autorizzato</w:t>
      </w:r>
      <w:r>
        <w:t>” della tabella “</w:t>
      </w:r>
      <w:r>
        <w:rPr>
          <w:i/>
        </w:rPr>
        <w:t>Voci CISOA</w:t>
      </w:r>
      <w:r>
        <w:t>” (cod. voce 8225) con l’importo complessivo dell’indennità c/INPS relativa alle giornate di CISOA autorizzate.</w:t>
      </w:r>
    </w:p>
    <w:p>
      <w:pPr>
        <w:pStyle w:val="CorpoAltF0"/>
      </w:pPr>
      <w:r>
        <w:t>In caso di indennità c/Inps non già anticipata, verrà generata anche la voce “</w:t>
      </w:r>
      <w:r>
        <w:rPr>
          <w:i/>
        </w:rPr>
        <w:t>Importo CISOA c/INPS</w:t>
      </w:r>
      <w:r>
        <w:t>” (cod. 8223) per l’erogazione dell’importo spettante al dipendente.</w:t>
      </w:r>
    </w:p>
    <w:bookmarkEnd w:id="33"/>
    <w:p>
      <w:pPr>
        <w:pStyle w:val="CorpoAltF0"/>
      </w:pPr>
    </w:p>
    <w:p>
      <w:pPr>
        <w:pStyle w:val="CorpoAltF0"/>
      </w:pPr>
      <w:r>
        <w:t xml:space="preserve">In caso di domanda </w:t>
      </w:r>
      <w:r>
        <w:rPr>
          <w:u w:val="single"/>
        </w:rPr>
        <w:t>non autorizzata o parzialmente autorizzata</w:t>
      </w:r>
      <w:r>
        <w:t>, nella suddetta sezione del prospetto di liquidazione verrà evidenziato il numero di giornate non autorizzate.</w:t>
      </w:r>
    </w:p>
    <w:p>
      <w:pPr>
        <w:pStyle w:val="CorpoAltF0"/>
      </w:pPr>
      <w:r>
        <w:t>In caso di anticipazione da parte della ditta, con riferimento a tali giornate verrà generata la voce “</w:t>
      </w:r>
      <w:r>
        <w:rPr>
          <w:i/>
        </w:rPr>
        <w:t>Recupero CISOA non autorizzata</w:t>
      </w:r>
      <w:r>
        <w:t>” (cod. voce 8226) utile al recupero dell’indennità c/INPS già erogata.</w:t>
      </w:r>
    </w:p>
    <w:p>
      <w:pPr>
        <w:pStyle w:val="CorpoAltF0"/>
        <w:rPr>
          <w:i/>
        </w:rPr>
      </w:pPr>
      <w:r>
        <w:t>L’importo di tale voce (in negativo) sarà dato dall’importo di “</w:t>
      </w:r>
      <w:r>
        <w:rPr>
          <w:i/>
        </w:rPr>
        <w:t>Indennità giornaliera CISOA (netto % apprendisti)</w:t>
      </w:r>
      <w:r>
        <w:t>” moltiplicato per il numero di giornate non autorizzate.</w:t>
      </w:r>
    </w:p>
    <w:p>
      <w:pPr>
        <w:pStyle w:val="CorpoAltF0"/>
      </w:pPr>
    </w:p>
    <w:p>
      <w:pPr>
        <w:pStyle w:val="CorpoAltF0"/>
      </w:pPr>
      <w:r>
        <w:t xml:space="preserve">In caso di dipendenti </w:t>
      </w:r>
      <w:r>
        <w:rPr>
          <w:u w:val="single"/>
        </w:rPr>
        <w:t>licenziati in un mese precedente quello di liquidazione dell’autorizzazione</w:t>
      </w:r>
      <w:r>
        <w:t>, sarà necessario elaborare un cedolino vuoto al fine di procedere anche per tali dipendenti al conguaglio dell’indennità di CISOA c/INPS.</w:t>
      </w:r>
    </w:p>
    <w:p>
      <w:pPr>
        <w:pStyle w:val="CorpoAltF0"/>
      </w:pPr>
      <w:r>
        <w:t>A tal fine, confermando l’inserimento o la variazione degli estremi dell’autorizzazione (riquadro “</w:t>
      </w:r>
      <w:r>
        <w:rPr>
          <w:i/>
        </w:rPr>
        <w:t>Dati autorizzazione</w:t>
      </w:r>
      <w:r>
        <w:t>” in “</w:t>
      </w:r>
      <w:r>
        <w:rPr>
          <w:i/>
        </w:rPr>
        <w:t>Gestione domanda CISOA</w:t>
      </w:r>
      <w:r>
        <w:t>”) il programma propone automaticamente l’elenco degli eventuali dipendenti con data di licenziamento precedente al mese di inizio recupero indicato in tale sede:</w:t>
      </w:r>
    </w:p>
    <w:p>
      <w:pPr>
        <w:pStyle w:val="CorpoAltF0"/>
      </w:pPr>
    </w:p>
    <w:p>
      <w:pPr>
        <w:pStyle w:val="CorpoAltF0"/>
        <w:jc w:val="center"/>
      </w:pPr>
      <w:r>
        <w:rPr>
          <w:noProof/>
        </w:rPr>
        <w:drawing>
          <wp:inline distT="0" distB="0" distL="0" distR="0">
            <wp:extent cx="6120765" cy="355600"/>
            <wp:effectExtent l="0" t="0" r="0" b="0"/>
            <wp:docPr id="16" name="Immagine 16"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442FFD.tmp"/>
                    <pic:cNvPicPr/>
                  </pic:nvPicPr>
                  <pic:blipFill>
                    <a:blip r:embed="rId21">
                      <a:extLst>
                        <a:ext uri="{28A0092B-C50C-407E-A947-70E740481C1C}">
                          <a14:useLocalDpi xmlns:a14="http://schemas.microsoft.com/office/drawing/2010/main" val="0"/>
                        </a:ext>
                      </a:extLst>
                    </a:blip>
                    <a:stretch>
                      <a:fillRect/>
                    </a:stretch>
                  </pic:blipFill>
                  <pic:spPr>
                    <a:xfrm>
                      <a:off x="0" y="0"/>
                      <a:ext cx="6120765" cy="355600"/>
                    </a:xfrm>
                    <a:prstGeom prst="rect">
                      <a:avLst/>
                    </a:prstGeom>
                  </pic:spPr>
                </pic:pic>
              </a:graphicData>
            </a:graphic>
          </wp:inline>
        </w:drawing>
      </w:r>
    </w:p>
    <w:p>
      <w:pPr>
        <w:pStyle w:val="CorpoAltF0"/>
        <w:spacing w:before="120"/>
      </w:pPr>
      <w:r>
        <w:lastRenderedPageBreak/>
        <w:t>Lo stesso elenco può anche essere successivamente visualizzato mediante l’apposita funzione “</w:t>
      </w:r>
      <w:r>
        <w:rPr>
          <w:i/>
        </w:rPr>
        <w:t xml:space="preserve">Verifica </w:t>
      </w:r>
      <w:proofErr w:type="spellStart"/>
      <w:r>
        <w:rPr>
          <w:i/>
        </w:rPr>
        <w:t>licenz</w:t>
      </w:r>
      <w:proofErr w:type="spellEnd"/>
      <w:r>
        <w:rPr>
          <w:i/>
        </w:rPr>
        <w:t>.</w:t>
      </w:r>
      <w:r>
        <w:t>” presente nella gestione della domanda CISOA (pulsante “</w:t>
      </w:r>
      <w:r>
        <w:rPr>
          <w:i/>
        </w:rPr>
        <w:t>Funzioni</w:t>
      </w:r>
      <w:r>
        <w:t>”).</w:t>
      </w:r>
    </w:p>
    <w:p>
      <w:pPr>
        <w:pStyle w:val="CorpoAltF0"/>
        <w:spacing w:before="120"/>
        <w:rPr>
          <w:i/>
        </w:rPr>
      </w:pPr>
      <w:r>
        <w:t>Analogamente, in fase di quadratura della mensilità in questione il programma evidenzierà con apposito messaggio la necessità di elaborare il cedolino per il dipendente licenziato.</w:t>
      </w:r>
    </w:p>
    <w:p>
      <w:pPr>
        <w:pStyle w:val="CorpoAltF0"/>
      </w:pPr>
    </w:p>
    <w:p>
      <w:pPr>
        <w:pStyle w:val="CorpoAltF0"/>
      </w:pPr>
    </w:p>
    <w:p>
      <w:pPr>
        <w:pStyle w:val="CorpoAltF0"/>
      </w:pPr>
      <w:r>
        <w:t>Con un successivo aggiornamento della procedura PAGHE, che verrà rilasciato in tempo utile per il prelievo della denuncia DMAG del 4° trimestre 2017, il programma verrà implementato per trasferire le informazioni relative agli eventi di CISOA autorizzati all’interno della scheda “</w:t>
      </w:r>
      <w:r>
        <w:rPr>
          <w:i/>
        </w:rPr>
        <w:t>Variazione</w:t>
      </w:r>
      <w:r>
        <w:t xml:space="preserve">” della gestione </w:t>
      </w:r>
      <w:r>
        <w:rPr>
          <w:b/>
        </w:rPr>
        <w:t>DMAG</w:t>
      </w:r>
      <w:r>
        <w:t>, con riferimento al mese di competenza dell’evento stesso.</w:t>
      </w:r>
    </w:p>
    <w:p>
      <w:pPr>
        <w:pStyle w:val="CorpoAltF0"/>
      </w:pPr>
      <w:r>
        <w:t>In tale sede il programma provvederà al calcolo anche della retribuzione persa giornaliera.</w:t>
      </w:r>
    </w:p>
    <w:p>
      <w:pPr>
        <w:pStyle w:val="CorpoAltF0"/>
      </w:pPr>
    </w:p>
    <w:p>
      <w:pPr>
        <w:pStyle w:val="TS-titolo-05"/>
      </w:pPr>
      <w:bookmarkStart w:id="34" w:name="CISOA_IntegrazDitta"/>
      <w:bookmarkStart w:id="35" w:name="_Toc497211097"/>
      <w:bookmarkStart w:id="36" w:name="_Toc497216131"/>
      <w:bookmarkEnd w:id="34"/>
      <w:r>
        <w:t>Integrazione c/ditta</w:t>
      </w:r>
      <w:bookmarkEnd w:id="35"/>
      <w:bookmarkEnd w:id="36"/>
    </w:p>
    <w:p>
      <w:pPr>
        <w:pStyle w:val="CorpoAltF0"/>
        <w:spacing w:before="120"/>
      </w:pPr>
      <w:r>
        <w:t>In funzione della compilazione del campo “</w:t>
      </w:r>
      <w:r>
        <w:rPr>
          <w:i/>
        </w:rPr>
        <w:t>Percentuale c/ditta</w:t>
      </w:r>
      <w:r>
        <w:t>” in “</w:t>
      </w:r>
      <w:r>
        <w:rPr>
          <w:i/>
        </w:rPr>
        <w:t>Gestione domanda</w:t>
      </w:r>
      <w:r>
        <w:t xml:space="preserve"> </w:t>
      </w:r>
      <w:r>
        <w:rPr>
          <w:i/>
        </w:rPr>
        <w:t>CISOA</w:t>
      </w:r>
      <w:r>
        <w:t>”, con la liquidazione dell’evento il programma provvederà al calcolo e all’erogazione dell’importo di integrazione contrattualmente prevista a carico dell’azienda.</w:t>
      </w:r>
    </w:p>
    <w:p>
      <w:pPr>
        <w:pStyle w:val="CorpoAltF0"/>
      </w:pPr>
      <w:r>
        <w:t>Tale importo viene determinato applicando la percentuale indicata alla retribuzione contrattuale prevista alla data del 1° febbraio dell’anno di competenza dell’evento (per gli eventi relativi al mese di gennaio il programma verificherà la retribuzione valida al 31 gennaio).</w:t>
      </w:r>
    </w:p>
    <w:p>
      <w:pPr>
        <w:pStyle w:val="CorpoAltF0"/>
      </w:pPr>
    </w:p>
    <w:p>
      <w:pPr>
        <w:pStyle w:val="CorpoAltF0"/>
      </w:pPr>
      <w:r>
        <w:t>Il programma determina l’integrazione c/ditta con la seguente modalità:</w:t>
      </w:r>
    </w:p>
    <w:p>
      <w:pPr>
        <w:pStyle w:val="CorpoAltF0"/>
        <w:spacing w:before="120"/>
        <w:ind w:left="851"/>
      </w:pPr>
      <w:r>
        <w:rPr>
          <w:i/>
        </w:rPr>
        <w:t xml:space="preserve">Retribuzione giornaliera = </w:t>
      </w:r>
      <w:proofErr w:type="spellStart"/>
      <w:r>
        <w:rPr>
          <w:i/>
        </w:rPr>
        <w:t>Retrib</w:t>
      </w:r>
      <w:proofErr w:type="spellEnd"/>
      <w:r>
        <w:rPr>
          <w:i/>
        </w:rPr>
        <w:t>. oraria x Ore settimanali / 6</w:t>
      </w:r>
    </w:p>
    <w:p>
      <w:pPr>
        <w:pStyle w:val="CorpoAltF0"/>
      </w:pPr>
    </w:p>
    <w:p>
      <w:pPr>
        <w:pStyle w:val="CorpoAltF0"/>
        <w:ind w:left="2977" w:hanging="2126"/>
      </w:pPr>
      <w:r>
        <w:rPr>
          <w:b/>
          <w:i/>
        </w:rPr>
        <w:t>Integrazione c/ditta</w:t>
      </w:r>
      <w:r>
        <w:rPr>
          <w:i/>
        </w:rPr>
        <w:t xml:space="preserve"> = </w:t>
      </w:r>
      <w:proofErr w:type="spellStart"/>
      <w:r>
        <w:rPr>
          <w:i/>
        </w:rPr>
        <w:t>Retrib</w:t>
      </w:r>
      <w:proofErr w:type="spellEnd"/>
      <w:r>
        <w:rPr>
          <w:i/>
        </w:rPr>
        <w:t xml:space="preserve">. giornaliera </w:t>
      </w:r>
      <w:r>
        <w:t>(rapportata all’eventuale % part-time)</w:t>
      </w:r>
      <w:r>
        <w:rPr>
          <w:i/>
        </w:rPr>
        <w:t xml:space="preserve"> x GG CISOA x “Percentuale c/ditta” (domanda CISOA)</w:t>
      </w:r>
    </w:p>
    <w:p>
      <w:pPr>
        <w:pStyle w:val="CorpoAltF0"/>
      </w:pPr>
    </w:p>
    <w:p>
      <w:pPr>
        <w:pStyle w:val="CorpoAltF0"/>
      </w:pPr>
      <w:r>
        <w:t>Con la liquidazione dell’evento (anche in attesa di autorizzazione), tale l’importo verrà generato con l’apposita voce di calcolo collegata al campo “</w:t>
      </w:r>
      <w:r>
        <w:rPr>
          <w:i/>
        </w:rPr>
        <w:t>Importo CISOA c/ditta</w:t>
      </w:r>
      <w:r>
        <w:t>” della tabella “</w:t>
      </w:r>
      <w:r>
        <w:rPr>
          <w:i/>
        </w:rPr>
        <w:t>Voci CISOA</w:t>
      </w:r>
      <w:r>
        <w:t>” (cod. voce 8224).</w:t>
      </w:r>
    </w:p>
    <w:p>
      <w:pPr>
        <w:pStyle w:val="CorpoAltF0"/>
      </w:pPr>
    </w:p>
    <w:p>
      <w:pPr>
        <w:pStyle w:val="TS-titolo-05"/>
      </w:pPr>
      <w:bookmarkStart w:id="37" w:name="CISOA_RiproporzRatei"/>
      <w:bookmarkStart w:id="38" w:name="_Toc497211098"/>
      <w:bookmarkStart w:id="39" w:name="_Toc497216132"/>
      <w:bookmarkEnd w:id="37"/>
      <w:r>
        <w:t>Riproporzionamento ratei</w:t>
      </w:r>
      <w:bookmarkEnd w:id="38"/>
      <w:bookmarkEnd w:id="39"/>
    </w:p>
    <w:p>
      <w:pPr>
        <w:pStyle w:val="CorpoAltF0"/>
        <w:spacing w:before="120"/>
      </w:pPr>
      <w:r>
        <w:t>In caso di indennità di CISOA calcolata senza applicazione dei massimali CIG (ad esempio in caso di CISOA per eventi atmosferici), la corrispondente quota di mensilità aggiuntive risulterà già compresa nell’importo riconosciuto a titolo di indennità c/INPS (vedi calcolo Retribuzione media giornaliera).</w:t>
      </w:r>
    </w:p>
    <w:p>
      <w:pPr>
        <w:pStyle w:val="CorpoAltF0"/>
      </w:pPr>
      <w:r>
        <w:t>In tal caso, pertanto, il programma provvederà all’abbattimento del rateo di mensilità aggiuntive del mese, mediante la voce collegata al campo “</w:t>
      </w:r>
      <w:r>
        <w:rPr>
          <w:i/>
        </w:rPr>
        <w:t>Riproporzionamento mensilità aggiuntive</w:t>
      </w:r>
      <w:r>
        <w:t>” della tabella “</w:t>
      </w:r>
      <w:r>
        <w:rPr>
          <w:i/>
        </w:rPr>
        <w:t>Voci CISOA</w:t>
      </w:r>
      <w:r>
        <w:t>” (cod. voce 8228, caratterizzata dall’apposito “</w:t>
      </w:r>
      <w:r>
        <w:rPr>
          <w:i/>
        </w:rPr>
        <w:t>Cod. quadrature e DM10</w:t>
      </w:r>
      <w:r>
        <w:t>” 312), con quantità pari all’80% delle ore di CISOA.</w:t>
      </w:r>
    </w:p>
    <w:p>
      <w:pPr>
        <w:pStyle w:val="CorpoAltF0"/>
      </w:pPr>
    </w:p>
    <w:p>
      <w:pPr>
        <w:pStyle w:val="CorpoAltF0"/>
      </w:pPr>
      <w:r>
        <w:t>Con riferimento alle ferie, al fine di definire la maturazione o meno del rateo in corrispondenza dei periodi di CISOA, è stato inserito il nuovo campo “</w:t>
      </w:r>
      <w:r>
        <w:rPr>
          <w:b/>
          <w:i/>
        </w:rPr>
        <w:t>Riduzione rateo ferie in CISOA</w:t>
      </w:r>
      <w:r>
        <w:t>” nella sezione “</w:t>
      </w:r>
      <w:r>
        <w:rPr>
          <w:i/>
        </w:rPr>
        <w:t>Gestione CIG/CDS</w:t>
      </w:r>
      <w:r>
        <w:t>” della scheda “</w:t>
      </w:r>
      <w:r>
        <w:rPr>
          <w:i/>
        </w:rPr>
        <w:t>Dati contrattuali</w:t>
      </w:r>
      <w:r>
        <w:t xml:space="preserve">” di </w:t>
      </w:r>
      <w:r>
        <w:rPr>
          <w:b/>
        </w:rPr>
        <w:t>AZIE</w:t>
      </w:r>
      <w:r>
        <w:t>.</w:t>
      </w:r>
    </w:p>
    <w:p>
      <w:pPr>
        <w:pStyle w:val="CorpoAltF0"/>
      </w:pPr>
      <w:r>
        <w:t xml:space="preserve">Per </w:t>
      </w:r>
      <w:r>
        <w:rPr>
          <w:i/>
        </w:rPr>
        <w:t>default</w:t>
      </w:r>
      <w:r>
        <w:t>, in tale campo viene impostato il valore “No”.</w:t>
      </w:r>
    </w:p>
    <w:p>
      <w:pPr>
        <w:pStyle w:val="CorpoAltF0"/>
      </w:pPr>
      <w:r>
        <w:t>Selezionando l’opzione “Si” nel suddetto campo, il programma provvederà all’abbattimento della maturazione del rateo di ferie in proporzione alle ore di CISOA presenti nel mese, mediante la voce collegata al campo “</w:t>
      </w:r>
      <w:r>
        <w:rPr>
          <w:i/>
        </w:rPr>
        <w:t>Riproporzionamento ferie</w:t>
      </w:r>
      <w:r>
        <w:t>” della tabella “</w:t>
      </w:r>
      <w:r>
        <w:rPr>
          <w:i/>
        </w:rPr>
        <w:t>Voci CISOA</w:t>
      </w:r>
      <w:r>
        <w:t>” (cod. voce 8829, caratterizzata dall’apposito “</w:t>
      </w:r>
      <w:r>
        <w:rPr>
          <w:i/>
        </w:rPr>
        <w:t>Cod. quadrature e DM10</w:t>
      </w:r>
      <w:r>
        <w:t>” 301).</w:t>
      </w:r>
    </w:p>
    <w:p>
      <w:pPr>
        <w:pStyle w:val="CorpoAltF0"/>
      </w:pPr>
    </w:p>
    <w:p>
      <w:pPr>
        <w:pStyle w:val="CorpoAltF0"/>
      </w:pPr>
      <w:r>
        <w:t>Si precisa che, in caso di azienda con sviluppo automatico dei cedolini (</w:t>
      </w:r>
      <w:r>
        <w:rPr>
          <w:i/>
        </w:rPr>
        <w:t>flag</w:t>
      </w:r>
      <w:r>
        <w:t xml:space="preserve"> al campo “</w:t>
      </w:r>
      <w:r>
        <w:rPr>
          <w:i/>
        </w:rPr>
        <w:t>Sviluppo automatico</w:t>
      </w:r>
      <w:r>
        <w:t>” della scheda “</w:t>
      </w:r>
      <w:r>
        <w:rPr>
          <w:i/>
        </w:rPr>
        <w:t>L.U.L.</w:t>
      </w:r>
      <w:r>
        <w:t xml:space="preserve">” di </w:t>
      </w:r>
      <w:r>
        <w:rPr>
          <w:b/>
        </w:rPr>
        <w:t>AZIE</w:t>
      </w:r>
      <w:r>
        <w:t>), il suddetto riproporzionamento dei ratei verrà effettuato automaticamente sulla base delle suddette voci di calcolo, senza generare le stesse all’interno del cedolino.</w:t>
      </w:r>
    </w:p>
    <w:p>
      <w:pPr>
        <w:pStyle w:val="CorpoAltF0"/>
      </w:pPr>
      <w:r>
        <w:br w:type="page"/>
      </w:r>
    </w:p>
    <w:p>
      <w:pPr>
        <w:pStyle w:val="CorpoAltF0"/>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40" w:name="_Toc497216133"/>
            <w:r>
              <w:t>PSQUA</w:t>
            </w:r>
            <w:bookmarkEnd w:id="40"/>
          </w:p>
        </w:tc>
      </w:tr>
    </w:tbl>
    <w:p>
      <w:pPr>
        <w:pStyle w:val="TS-titolo-05"/>
      </w:pPr>
      <w:bookmarkStart w:id="41" w:name="_Toc497216134"/>
      <w:r>
        <w:t>Stampa primanota: esposizione dati CISOA</w:t>
      </w:r>
      <w:bookmarkEnd w:id="41"/>
    </w:p>
    <w:p>
      <w:pPr>
        <w:pStyle w:val="CorpoAltF0"/>
        <w:spacing w:before="120"/>
      </w:pPr>
      <w:r>
        <w:t>Ai fini dell’esposizione in primanota dei dati relativi all’indennità di CISOA, il programma valorizza automaticamente i seguenti totalizzatori, già presenti all’interno delle strutture di primanota standard:</w:t>
      </w:r>
    </w:p>
    <w:p>
      <w:pPr>
        <w:pStyle w:val="CorpoAltF0"/>
        <w:numPr>
          <w:ilvl w:val="0"/>
          <w:numId w:val="23"/>
        </w:numPr>
        <w:spacing w:before="120"/>
        <w:ind w:left="284" w:hanging="284"/>
      </w:pPr>
      <w:r>
        <w:t>Anticipazione CISOA non ancora autorizzata</w:t>
      </w:r>
    </w:p>
    <w:p>
      <w:pPr>
        <w:pStyle w:val="CorpoAltF0"/>
        <w:spacing w:before="120"/>
        <w:ind w:left="284"/>
      </w:pPr>
      <w:r>
        <w:t>Anticipo indennità c/INPS</w:t>
      </w:r>
    </w:p>
    <w:p>
      <w:pPr>
        <w:pStyle w:val="CorpoAltF0"/>
        <w:spacing w:before="40"/>
        <w:ind w:left="284"/>
      </w:pPr>
      <w:r>
        <w:rPr>
          <w:b/>
        </w:rPr>
        <w:t>Q033</w:t>
      </w:r>
      <w:r>
        <w:t xml:space="preserve"> – “</w:t>
      </w:r>
      <w:r>
        <w:rPr>
          <w:i/>
        </w:rPr>
        <w:t>Anticipazioni CIG</w:t>
      </w:r>
      <w:r>
        <w:t>” (vedi PN 96, analitico 10/25/1, Dare, cod. conto 50/05/005)</w:t>
      </w:r>
    </w:p>
    <w:p>
      <w:pPr>
        <w:pStyle w:val="CorpoAltF0"/>
      </w:pPr>
    </w:p>
    <w:p>
      <w:pPr>
        <w:pStyle w:val="CorpoAltF0"/>
        <w:numPr>
          <w:ilvl w:val="0"/>
          <w:numId w:val="23"/>
        </w:numPr>
        <w:spacing w:before="120"/>
        <w:ind w:left="284" w:hanging="284"/>
      </w:pPr>
      <w:r>
        <w:t>Autorizzazione</w:t>
      </w:r>
    </w:p>
    <w:p>
      <w:pPr>
        <w:pStyle w:val="CorpoAltF0"/>
        <w:spacing w:before="120"/>
        <w:ind w:left="284"/>
      </w:pPr>
      <w:r>
        <w:t>Recupero indennità anticipata</w:t>
      </w:r>
    </w:p>
    <w:p>
      <w:pPr>
        <w:pStyle w:val="CorpoAltF0"/>
        <w:spacing w:before="40"/>
        <w:ind w:left="284"/>
      </w:pPr>
      <w:r>
        <w:rPr>
          <w:b/>
        </w:rPr>
        <w:t>Q034</w:t>
      </w:r>
      <w:r>
        <w:t xml:space="preserve"> – “</w:t>
      </w:r>
      <w:r>
        <w:rPr>
          <w:i/>
        </w:rPr>
        <w:t xml:space="preserve">Restituzione </w:t>
      </w:r>
      <w:proofErr w:type="spellStart"/>
      <w:r>
        <w:rPr>
          <w:i/>
        </w:rPr>
        <w:t>anticipaz</w:t>
      </w:r>
      <w:proofErr w:type="spellEnd"/>
      <w:r>
        <w:rPr>
          <w:i/>
        </w:rPr>
        <w:t>.</w:t>
      </w:r>
      <w:r>
        <w:t>” (vedi PN 96, analitico 10/25/2, Avere, cod. conto 50/05/005)</w:t>
      </w:r>
    </w:p>
    <w:p>
      <w:pPr>
        <w:pStyle w:val="CorpoAltF0"/>
        <w:spacing w:before="120"/>
        <w:ind w:left="284"/>
      </w:pPr>
      <w:r>
        <w:t>Anticipo indennità autorizzata</w:t>
      </w:r>
    </w:p>
    <w:p>
      <w:pPr>
        <w:pStyle w:val="CorpoAltF0"/>
        <w:spacing w:before="40"/>
        <w:ind w:left="284"/>
      </w:pPr>
      <w:r>
        <w:rPr>
          <w:b/>
        </w:rPr>
        <w:t>Q168</w:t>
      </w:r>
      <w:r>
        <w:t xml:space="preserve"> – “</w:t>
      </w:r>
      <w:r>
        <w:rPr>
          <w:i/>
        </w:rPr>
        <w:t xml:space="preserve">Integrazione salariale </w:t>
      </w:r>
      <w:proofErr w:type="spellStart"/>
      <w:r>
        <w:rPr>
          <w:i/>
        </w:rPr>
        <w:t>agric</w:t>
      </w:r>
      <w:proofErr w:type="spellEnd"/>
      <w:r>
        <w:rPr>
          <w:i/>
        </w:rPr>
        <w:t>.</w:t>
      </w:r>
      <w:r>
        <w:t>” (vedi PN 96, analitico 10/23/60, Dare, cod. conto 50/05/005)</w:t>
      </w:r>
    </w:p>
    <w:p>
      <w:pPr>
        <w:pStyle w:val="CorpoAltF0"/>
      </w:pPr>
    </w:p>
    <w:p>
      <w:pPr>
        <w:pStyle w:val="CorpoAltF0"/>
      </w:pPr>
    </w:p>
    <w:p>
      <w:pPr>
        <w:pStyle w:val="CorpoAltF0"/>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42" w:name="_Toc497211099"/>
            <w:bookmarkStart w:id="43" w:name="_Toc497216135"/>
            <w:r>
              <w:t>GESCIG</w:t>
            </w:r>
            <w:bookmarkEnd w:id="42"/>
            <w:bookmarkEnd w:id="43"/>
          </w:p>
        </w:tc>
      </w:tr>
    </w:tbl>
    <w:p>
      <w:pPr>
        <w:pStyle w:val="TS-titolo-04"/>
      </w:pPr>
      <w:bookmarkStart w:id="44" w:name="_Toc497211100"/>
      <w:bookmarkStart w:id="45" w:name="_Toc497216136"/>
      <w:r>
        <w:t>Gestione liquidazioni CIG / CISOA</w:t>
      </w:r>
      <w:bookmarkEnd w:id="44"/>
      <w:bookmarkEnd w:id="45"/>
    </w:p>
    <w:p>
      <w:pPr>
        <w:pStyle w:val="CorpoAltF0"/>
        <w:spacing w:before="120"/>
      </w:pPr>
      <w:r>
        <w:t>Con riferimento alle aziende del settore agricolo (cod. 2</w:t>
      </w:r>
      <w:proofErr w:type="gramStart"/>
      <w:r>
        <w:t>-“</w:t>
      </w:r>
      <w:proofErr w:type="gramEnd"/>
      <w:r>
        <w:rPr>
          <w:i/>
        </w:rPr>
        <w:t>Gestione DMAG</w:t>
      </w:r>
      <w:r>
        <w:t>” al campo “</w:t>
      </w:r>
      <w:r>
        <w:rPr>
          <w:i/>
        </w:rPr>
        <w:t>Cod. gestione ente</w:t>
      </w:r>
      <w:r>
        <w:t>” della scheda “</w:t>
      </w:r>
      <w:r>
        <w:rPr>
          <w:i/>
        </w:rPr>
        <w:t>Dati contributivi</w:t>
      </w:r>
      <w:r>
        <w:t xml:space="preserve">” di </w:t>
      </w:r>
      <w:r>
        <w:rPr>
          <w:b/>
        </w:rPr>
        <w:t>AZIE</w:t>
      </w:r>
      <w:r>
        <w:t xml:space="preserve">), anche il comando </w:t>
      </w:r>
      <w:r>
        <w:rPr>
          <w:b/>
        </w:rPr>
        <w:t>GESCIG</w:t>
      </w:r>
      <w:r>
        <w:t xml:space="preserve"> è stato implementato al fine di consentire la gestione degli eventi CISOA.</w:t>
      </w:r>
    </w:p>
    <w:p>
      <w:pPr>
        <w:pStyle w:val="CorpoAltF0"/>
        <w:spacing w:before="120"/>
      </w:pPr>
      <w:r>
        <w:t>Per tali azienda, pertanto, all’interno del comando in oggetto sono disponibili le funzioni di liquidazione degli eventi CISOA (scelta 1), visualizzazione/annullamento delle liquidazioni (scelta 2) e la specifica funzione di accesso alla gestione delle domande CISOA (scelta 7):</w:t>
      </w:r>
    </w:p>
    <w:p>
      <w:pPr>
        <w:pStyle w:val="CorpoAltF0"/>
        <w:spacing w:before="120"/>
        <w:jc w:val="center"/>
        <w:rPr>
          <w:i/>
        </w:rPr>
      </w:pPr>
      <w:r>
        <w:rPr>
          <w:i/>
          <w:noProof/>
        </w:rPr>
        <w:drawing>
          <wp:inline distT="0" distB="0" distL="0" distR="0">
            <wp:extent cx="5040000" cy="1972810"/>
            <wp:effectExtent l="0" t="0" r="0" b="0"/>
            <wp:docPr id="19" name="Immagine 19"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34CBAA.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40000" cy="1972810"/>
                    </a:xfrm>
                    <a:prstGeom prst="rect">
                      <a:avLst/>
                    </a:prstGeom>
                  </pic:spPr>
                </pic:pic>
              </a:graphicData>
            </a:graphic>
          </wp:inline>
        </w:drawing>
      </w:r>
    </w:p>
    <w:p>
      <w:pPr>
        <w:pStyle w:val="CorpoAltF0"/>
      </w:pPr>
    </w:p>
    <w:p>
      <w:pPr>
        <w:pStyle w:val="CorpoAltF0"/>
      </w:pPr>
    </w:p>
    <w:p>
      <w:pPr>
        <w:rPr>
          <w:rFonts w:ascii="Arial" w:hAnsi="Arial"/>
          <w:sz w:val="20"/>
          <w:szCs w:val="20"/>
        </w:rPr>
      </w:pPr>
      <w:r>
        <w:br w:type="page"/>
      </w:r>
    </w:p>
    <w:p>
      <w:pPr>
        <w:pStyle w:val="CorpoAltF0"/>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bookmarkStart w:id="46" w:name="CISOA_AZIE_GiustificativoFondo"/>
            <w:bookmarkEnd w:id="46"/>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47" w:name="_Toc497211101"/>
            <w:bookmarkStart w:id="48" w:name="_Toc497216137"/>
            <w:r>
              <w:t>AZIE</w:t>
            </w:r>
            <w:bookmarkEnd w:id="47"/>
            <w:bookmarkEnd w:id="48"/>
          </w:p>
        </w:tc>
      </w:tr>
    </w:tbl>
    <w:p>
      <w:pPr>
        <w:pStyle w:val="TS-titolo-04"/>
      </w:pPr>
      <w:bookmarkStart w:id="49" w:name="_Toc497211102"/>
      <w:bookmarkStart w:id="50" w:name="_Toc497216138"/>
      <w:r>
        <w:t>Fondi agricoli: giustificativo fondo agricolo</w:t>
      </w:r>
      <w:bookmarkEnd w:id="49"/>
      <w:bookmarkEnd w:id="50"/>
    </w:p>
    <w:p>
      <w:pPr>
        <w:pStyle w:val="CorpoAltF0"/>
        <w:spacing w:before="120"/>
      </w:pPr>
      <w:r>
        <w:t>Nella tabella di impostazione dei fondi agricoli aziendali (sezione “</w:t>
      </w:r>
      <w:r>
        <w:rPr>
          <w:i/>
        </w:rPr>
        <w:t xml:space="preserve">Altri dati &gt; Dati </w:t>
      </w:r>
      <w:proofErr w:type="spellStart"/>
      <w:r>
        <w:rPr>
          <w:i/>
        </w:rPr>
        <w:t>aggiunt</w:t>
      </w:r>
      <w:proofErr w:type="spellEnd"/>
      <w:r>
        <w:rPr>
          <w:i/>
        </w:rPr>
        <w:t xml:space="preserve">. </w:t>
      </w:r>
      <w:proofErr w:type="spellStart"/>
      <w:r>
        <w:rPr>
          <w:i/>
        </w:rPr>
        <w:t>imp</w:t>
      </w:r>
      <w:proofErr w:type="spellEnd"/>
      <w:r>
        <w:rPr>
          <w:i/>
        </w:rPr>
        <w:t>. agricola &gt; Fondi agricoli</w:t>
      </w:r>
      <w:r>
        <w:t xml:space="preserve">” di </w:t>
      </w:r>
      <w:r>
        <w:rPr>
          <w:b/>
        </w:rPr>
        <w:t>AZIE</w:t>
      </w:r>
      <w:r>
        <w:t>) è stato inserito il campo “</w:t>
      </w:r>
      <w:r>
        <w:rPr>
          <w:i/>
        </w:rPr>
        <w:t>Giustificativo fondo agricolo</w:t>
      </w:r>
      <w:r>
        <w:t>” nel quale è possibile collegare un giustificativo che identifichi in maniera univoca lo specifico fondo, al fine di indicare, nella gestione delle presenze mensili, il fondo agricolo di lavoro nel corso del mese stesso:</w:t>
      </w:r>
    </w:p>
    <w:p>
      <w:pPr>
        <w:pStyle w:val="CorpoAltF0"/>
        <w:spacing w:before="120"/>
        <w:jc w:val="center"/>
      </w:pPr>
      <w:r>
        <w:rPr>
          <w:noProof/>
        </w:rPr>
        <w:drawing>
          <wp:inline distT="0" distB="0" distL="0" distR="0">
            <wp:extent cx="5040000" cy="2323660"/>
            <wp:effectExtent l="0" t="0" r="0" b="0"/>
            <wp:docPr id="25" name="Immagine 25"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609212.tmp"/>
                    <pic:cNvPicPr/>
                  </pic:nvPicPr>
                  <pic:blipFill>
                    <a:blip r:embed="rId23">
                      <a:extLst>
                        <a:ext uri="{28A0092B-C50C-407E-A947-70E740481C1C}">
                          <a14:useLocalDpi xmlns:a14="http://schemas.microsoft.com/office/drawing/2010/main" val="0"/>
                        </a:ext>
                      </a:extLst>
                    </a:blip>
                    <a:stretch>
                      <a:fillRect/>
                    </a:stretch>
                  </pic:blipFill>
                  <pic:spPr>
                    <a:xfrm>
                      <a:off x="0" y="0"/>
                      <a:ext cx="5040000" cy="2323660"/>
                    </a:xfrm>
                    <a:prstGeom prst="rect">
                      <a:avLst/>
                    </a:prstGeom>
                  </pic:spPr>
                </pic:pic>
              </a:graphicData>
            </a:graphic>
          </wp:inline>
        </w:drawing>
      </w:r>
    </w:p>
    <w:p>
      <w:pPr>
        <w:pStyle w:val="CorpoAltF0"/>
        <w:spacing w:before="120"/>
      </w:pPr>
      <w:r>
        <w:t>A tal fine, analogamente a quanto previsto per i cantieri edili, sarà necessario collegare in tale campo un giustificativo appositamente creato e caratterizzato dal valore “Si” al campo “</w:t>
      </w:r>
      <w:r>
        <w:rPr>
          <w:i/>
        </w:rPr>
        <w:t>Cantiere edile / Fondo agricolo</w:t>
      </w:r>
      <w:r>
        <w:t>”:</w:t>
      </w:r>
    </w:p>
    <w:p>
      <w:pPr>
        <w:pStyle w:val="CorpoAltF0"/>
        <w:spacing w:before="120"/>
        <w:jc w:val="center"/>
      </w:pPr>
      <w:r>
        <w:rPr>
          <w:noProof/>
        </w:rPr>
        <w:drawing>
          <wp:inline distT="0" distB="0" distL="0" distR="0">
            <wp:extent cx="5040000" cy="1829020"/>
            <wp:effectExtent l="0" t="0" r="0" b="0"/>
            <wp:docPr id="15" name="Immagine 15"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605BD.tmp"/>
                    <pic:cNvPicPr/>
                  </pic:nvPicPr>
                  <pic:blipFill>
                    <a:blip r:embed="rId24">
                      <a:extLst>
                        <a:ext uri="{28A0092B-C50C-407E-A947-70E740481C1C}">
                          <a14:useLocalDpi xmlns:a14="http://schemas.microsoft.com/office/drawing/2010/main" val="0"/>
                        </a:ext>
                      </a:extLst>
                    </a:blip>
                    <a:stretch>
                      <a:fillRect/>
                    </a:stretch>
                  </pic:blipFill>
                  <pic:spPr>
                    <a:xfrm>
                      <a:off x="0" y="0"/>
                      <a:ext cx="5040000" cy="1829020"/>
                    </a:xfrm>
                    <a:prstGeom prst="rect">
                      <a:avLst/>
                    </a:prstGeom>
                  </pic:spPr>
                </pic:pic>
              </a:graphicData>
            </a:graphic>
          </wp:inline>
        </w:drawing>
      </w:r>
    </w:p>
    <w:p>
      <w:pPr>
        <w:pStyle w:val="CorpoAltF0"/>
      </w:pPr>
    </w:p>
    <w:p>
      <w:pPr>
        <w:pStyle w:val="CorpoAltF0"/>
        <w:spacing w:before="120"/>
      </w:pPr>
      <w:r>
        <w:t xml:space="preserve">Si precisa che attualmente l’identificazione del fondo agricolo di lavoro nel corso del mese è utile solo ai fini della gestione di eventi di CISOA, qualora il dipendente risulti inserito in diverse domande di CISOA riferite al medesimo periodo (vedi pag. </w:t>
      </w:r>
      <w:r>
        <w:fldChar w:fldCharType="begin"/>
      </w:r>
      <w:r>
        <w:instrText xml:space="preserve"> PAGEREF CISOA_CEDOL_ElabMensilità \h </w:instrText>
      </w:r>
      <w:r>
        <w:fldChar w:fldCharType="separate"/>
      </w:r>
      <w:r>
        <w:rPr>
          <w:noProof/>
        </w:rPr>
        <w:t>8</w:t>
      </w:r>
      <w:r>
        <w:fldChar w:fldCharType="end"/>
      </w:r>
      <w:r>
        <w:t>).</w:t>
      </w:r>
    </w:p>
    <w:bookmarkEnd w:id="9"/>
    <w:p>
      <w:pPr>
        <w:pStyle w:val="CorpoAltF0"/>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58"/>
        </w:trPr>
        <w:tc>
          <w:tcPr>
            <w:tcW w:w="6874" w:type="dxa"/>
            <w:tcBorders>
              <w:top w:val="nil"/>
              <w:left w:val="nil"/>
              <w:bottom w:val="single" w:sz="12" w:space="0" w:color="auto"/>
              <w:right w:val="nil"/>
            </w:tcBorders>
            <w:vAlign w:val="center"/>
          </w:tcPr>
          <w:p>
            <w:pPr>
              <w:pStyle w:val="TS-titolo-01"/>
              <w:outlineLvl w:val="0"/>
            </w:pPr>
            <w:bookmarkStart w:id="51" w:name="Ctr_contr_Fondi_cat"/>
            <w:bookmarkStart w:id="52" w:name="_Toc479350501"/>
            <w:bookmarkStart w:id="53" w:name="_Toc479356438"/>
            <w:bookmarkStart w:id="54" w:name="_Toc497216139"/>
            <w:bookmarkEnd w:id="51"/>
            <w:r>
              <w:t xml:space="preserve">Contributo contrattuale </w:t>
            </w:r>
            <w:bookmarkEnd w:id="52"/>
            <w:bookmarkEnd w:id="53"/>
            <w:r>
              <w:t>Fondo di settore</w:t>
            </w:r>
            <w:bookmarkEnd w:id="54"/>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pPr>
    </w:p>
    <w:p>
      <w:pPr>
        <w:pStyle w:val="TS-titolo-04"/>
      </w:pPr>
      <w:bookmarkStart w:id="55" w:name="_Toc497216140"/>
      <w:r>
        <w:t>Calcolo contributo contrattuale</w:t>
      </w:r>
      <w:bookmarkEnd w:id="55"/>
    </w:p>
    <w:p>
      <w:pPr>
        <w:pStyle w:val="CorpoAltF0"/>
        <w:spacing w:before="120"/>
      </w:pPr>
      <w:r>
        <w:t>Il programma è stato implementato per calcolare e memorizzare sistematicamente l’eventuale contributo contrattuale da versare al Fondo di settore.</w:t>
      </w:r>
    </w:p>
    <w:p>
      <w:pPr>
        <w:pStyle w:val="CorpoAltF0"/>
        <w:spacing w:before="60"/>
        <w:rPr>
          <w:rFonts w:cs="Arial"/>
        </w:rPr>
      </w:pPr>
      <w:r>
        <w:t xml:space="preserve">Tale modifica può essere utile con riferimento al </w:t>
      </w:r>
      <w:r>
        <w:rPr>
          <w:rFonts w:cs="Arial"/>
        </w:rPr>
        <w:t>CCNL Autoferrotranvieri – Internavigatori (TPL-Mobilità), il cui accordo di rinnovo ha previsto per tutte le aziende del settore la destinazione a Priamo di un contributo in favore dei dipendenti a tempo indeterminato, compresi gli apprendisti.</w:t>
      </w:r>
    </w:p>
    <w:p>
      <w:pPr>
        <w:pStyle w:val="CorpoAltF0"/>
      </w:pPr>
    </w:p>
    <w:p>
      <w:pPr>
        <w:pStyle w:val="CorpoAltF0"/>
      </w:pPr>
      <w:r>
        <w:t xml:space="preserve">Di seguito si illustrano le modifiche introdotte nell’applicativo </w:t>
      </w:r>
      <w:r>
        <w:rPr>
          <w:b/>
        </w:rPr>
        <w:t>PAGHE</w:t>
      </w:r>
      <w:r>
        <w:t xml:space="preserve"> e le impostazioni da effettuare a cura dell’utente per il calcolo del contributo in esame.</w:t>
      </w:r>
    </w:p>
    <w:p>
      <w:pPr>
        <w:pStyle w:val="CorpoAltF0"/>
      </w:pPr>
    </w:p>
    <w:p>
      <w:pPr>
        <w:pStyle w:val="CorpoAltF0"/>
      </w:pPr>
      <w:r>
        <w:t xml:space="preserve">Si precisa che restano invariate le istruzioni fornite per la gestione del contributo contrattuale del settore Edilizia (da versare a PREVEDI, FONDAPI o COOPERLAVORO), dei dirigenti (da versare a PREVINDAPI) e del CCRL Artigianato della Regione Veneto (da versare a </w:t>
      </w:r>
      <w:r>
        <w:rPr>
          <w:rFonts w:cs="Arial"/>
        </w:rPr>
        <w:t>Fondo Solidarietà Veneto o FON.TE).</w:t>
      </w:r>
    </w:p>
    <w:p>
      <w:pPr>
        <w:pStyle w:val="CorpoAltF0"/>
      </w:pPr>
    </w:p>
    <w:p>
      <w:pPr>
        <w:pStyle w:val="TS-titolo-05"/>
      </w:pPr>
      <w:bookmarkStart w:id="56" w:name="_Toc497216141"/>
      <w:r>
        <w:t>TB0803 - Categorie fondi</w:t>
      </w:r>
      <w:bookmarkEnd w:id="56"/>
    </w:p>
    <w:p>
      <w:pPr>
        <w:pStyle w:val="CorpoAltF0"/>
        <w:spacing w:before="120"/>
      </w:pPr>
      <w:r>
        <w:t>Per consentire il calcolo del contributo contrattuale in tabella “</w:t>
      </w:r>
      <w:r>
        <w:rPr>
          <w:i/>
        </w:rPr>
        <w:t>Categorie fondi</w:t>
      </w:r>
      <w:r>
        <w:t>” (</w:t>
      </w:r>
      <w:r>
        <w:rPr>
          <w:b/>
        </w:rPr>
        <w:t>TB0803</w:t>
      </w:r>
      <w:r>
        <w:t xml:space="preserve">) è cura dell’utente gestire un rigo di </w:t>
      </w:r>
      <w:r>
        <w:rPr>
          <w:iCs/>
        </w:rPr>
        <w:t>“</w:t>
      </w:r>
      <w:r>
        <w:rPr>
          <w:i/>
          <w:iCs/>
        </w:rPr>
        <w:t>Contributo aggiuntivo</w:t>
      </w:r>
      <w:r>
        <w:rPr>
          <w:iCs/>
        </w:rPr>
        <w:t>” con le seguenti caratteristiche:</w:t>
      </w:r>
    </w:p>
    <w:p>
      <w:pPr>
        <w:pStyle w:val="CorpoAltF0"/>
        <w:numPr>
          <w:ilvl w:val="0"/>
          <w:numId w:val="2"/>
        </w:numPr>
        <w:spacing w:before="60"/>
        <w:ind w:left="284" w:hanging="284"/>
        <w:rPr>
          <w:iCs/>
        </w:rPr>
      </w:pPr>
      <w:r>
        <w:rPr>
          <w:iCs/>
        </w:rPr>
        <w:t>“</w:t>
      </w:r>
      <w:r>
        <w:rPr>
          <w:i/>
          <w:iCs/>
        </w:rPr>
        <w:t>Imponibile</w:t>
      </w:r>
      <w:r>
        <w:rPr>
          <w:iCs/>
        </w:rPr>
        <w:t xml:space="preserve">” pari a </w:t>
      </w:r>
      <w:r>
        <w:rPr>
          <w:b/>
          <w:iCs/>
        </w:rPr>
        <w:t>9</w:t>
      </w:r>
      <w:r>
        <w:rPr>
          <w:iCs/>
        </w:rPr>
        <w:t xml:space="preserve"> (imponibile formato da voce);</w:t>
      </w:r>
    </w:p>
    <w:p>
      <w:pPr>
        <w:pStyle w:val="CorpoAltF0"/>
        <w:numPr>
          <w:ilvl w:val="0"/>
          <w:numId w:val="2"/>
        </w:numPr>
        <w:spacing w:before="60"/>
        <w:ind w:left="284" w:hanging="284"/>
        <w:rPr>
          <w:iCs/>
        </w:rPr>
      </w:pPr>
      <w:r>
        <w:rPr>
          <w:iCs/>
        </w:rPr>
        <w:t>“</w:t>
      </w:r>
      <w:r>
        <w:rPr>
          <w:i/>
          <w:iCs/>
        </w:rPr>
        <w:t>% azienda</w:t>
      </w:r>
      <w:r>
        <w:rPr>
          <w:iCs/>
        </w:rPr>
        <w:t xml:space="preserve">” pari a </w:t>
      </w:r>
      <w:r>
        <w:rPr>
          <w:b/>
          <w:iCs/>
        </w:rPr>
        <w:t>100</w:t>
      </w:r>
      <w:r>
        <w:rPr>
          <w:iCs/>
        </w:rPr>
        <w:t>;</w:t>
      </w:r>
    </w:p>
    <w:p>
      <w:pPr>
        <w:pStyle w:val="CorpoAltF0"/>
        <w:numPr>
          <w:ilvl w:val="0"/>
          <w:numId w:val="2"/>
        </w:numPr>
        <w:spacing w:before="60"/>
        <w:ind w:left="284" w:hanging="284"/>
        <w:rPr>
          <w:iCs/>
        </w:rPr>
      </w:pPr>
      <w:r>
        <w:rPr>
          <w:iCs/>
        </w:rPr>
        <w:t>“</w:t>
      </w:r>
      <w:r>
        <w:rPr>
          <w:i/>
          <w:iCs/>
        </w:rPr>
        <w:t>Voce</w:t>
      </w:r>
      <w:r>
        <w:rPr>
          <w:iCs/>
        </w:rPr>
        <w:t>”, indicare il codice della voce da utilizzare come base per il calcolo del contributo contrattuale.</w:t>
      </w:r>
    </w:p>
    <w:p>
      <w:pPr>
        <w:pStyle w:val="CorpoAltF0"/>
        <w:spacing w:before="60"/>
        <w:ind w:left="284"/>
        <w:rPr>
          <w:iCs/>
        </w:rPr>
      </w:pPr>
      <w:r>
        <w:rPr>
          <w:iCs/>
        </w:rPr>
        <w:t xml:space="preserve">Tale voce, da codificare in funzione delle specifiche previsioni contrattuali, deve presentare il </w:t>
      </w:r>
      <w:r>
        <w:t>“</w:t>
      </w:r>
      <w:r>
        <w:rPr>
          <w:i/>
        </w:rPr>
        <w:t>Cod. quadrature e DM10</w:t>
      </w:r>
      <w:r>
        <w:t>”</w:t>
      </w:r>
      <w:r>
        <w:rPr>
          <w:i/>
        </w:rPr>
        <w:t xml:space="preserve"> </w:t>
      </w:r>
      <w:r>
        <w:t xml:space="preserve">pari a </w:t>
      </w:r>
      <w:r>
        <w:rPr>
          <w:b/>
        </w:rPr>
        <w:t>423</w:t>
      </w:r>
      <w:r>
        <w:t xml:space="preserve"> (Quota iscrizione al fondo c/ditta).</w:t>
      </w:r>
    </w:p>
    <w:p>
      <w:pPr>
        <w:pStyle w:val="CorpoAltF0"/>
      </w:pPr>
    </w:p>
    <w:p>
      <w:pPr>
        <w:pStyle w:val="CorpoAltF0"/>
      </w:pPr>
      <w:r>
        <w:t xml:space="preserve">La </w:t>
      </w:r>
      <w:r>
        <w:rPr>
          <w:b/>
        </w:rPr>
        <w:t>TB0803</w:t>
      </w:r>
      <w:r>
        <w:t xml:space="preserve"> con le suddette caratteristiche andrà collegata ai dipendenti a favore dei quali l’azienda deve versare il contributo contrattuale.</w:t>
      </w:r>
    </w:p>
    <w:p>
      <w:pPr>
        <w:pStyle w:val="CorpoAltF0"/>
        <w:spacing w:before="60"/>
      </w:pPr>
      <w:r>
        <w:t>A tal proposito si ricorda che occorre intervenire diversamente con riferimento alle seguenti tipologie di dipendenti.</w:t>
      </w:r>
    </w:p>
    <w:p>
      <w:pPr>
        <w:pStyle w:val="CorpoAltF0"/>
        <w:spacing w:before="120"/>
        <w:rPr>
          <w:u w:val="single"/>
        </w:rPr>
      </w:pPr>
      <w:r>
        <w:rPr>
          <w:u w:val="single"/>
        </w:rPr>
        <w:t>Dipendenti già iscritti al Fondo di destinazione del contributo contrattuale</w:t>
      </w:r>
    </w:p>
    <w:p>
      <w:pPr>
        <w:pStyle w:val="CorpoAltF0"/>
        <w:spacing w:before="60"/>
        <w:rPr>
          <w:iCs/>
        </w:rPr>
      </w:pPr>
      <w:r>
        <w:t>Il rigo di contribuzione aggiuntiva</w:t>
      </w:r>
      <w:r>
        <w:rPr>
          <w:iCs/>
        </w:rPr>
        <w:t xml:space="preserve"> con le caratteristiche evidenziate andrà inserito nei codici “</w:t>
      </w:r>
      <w:r>
        <w:rPr>
          <w:i/>
          <w:iCs/>
        </w:rPr>
        <w:t>Categoria</w:t>
      </w:r>
      <w:r>
        <w:rPr>
          <w:iCs/>
        </w:rPr>
        <w:t>” già presenti per il Fondo e collegati ai dipendenti iscritti.</w:t>
      </w:r>
    </w:p>
    <w:p>
      <w:pPr>
        <w:pStyle w:val="CorpoAltF0"/>
        <w:spacing w:before="120"/>
        <w:rPr>
          <w:u w:val="single"/>
        </w:rPr>
      </w:pPr>
      <w:r>
        <w:rPr>
          <w:u w:val="single"/>
        </w:rPr>
        <w:t>Dipendenti non iscritti a Fondi di previdenza complementare</w:t>
      </w:r>
    </w:p>
    <w:p>
      <w:pPr>
        <w:pStyle w:val="CorpoAltF0"/>
        <w:spacing w:before="60"/>
      </w:pPr>
      <w:r>
        <w:t>All’interno del codice tabella relativo al Fondo di destinazione del contributo contrattuale è necessario creare una nuova categoria, nella quale gestire esclusivamente un rigo di contribuzione aggiuntiva, con le caratteristiche sopra descritte.</w:t>
      </w:r>
    </w:p>
    <w:p>
      <w:pPr>
        <w:pStyle w:val="CorpoAltF0"/>
        <w:spacing w:before="60"/>
      </w:pPr>
      <w:r>
        <w:t>La tabella così creata andrà collegata nella scheda “</w:t>
      </w:r>
      <w:r>
        <w:rPr>
          <w:i/>
        </w:rPr>
        <w:t>Fondi</w:t>
      </w:r>
      <w:r>
        <w:t xml:space="preserve">” di </w:t>
      </w:r>
      <w:r>
        <w:rPr>
          <w:b/>
        </w:rPr>
        <w:t>DIPE</w:t>
      </w:r>
      <w:r>
        <w:t xml:space="preserve"> dei dipendenti non iscritti (a tal fine si ricorda che è disponibile la scelta “</w:t>
      </w:r>
      <w:r>
        <w:rPr>
          <w:i/>
        </w:rPr>
        <w:t>Inserimento fondo di previdenza</w:t>
      </w:r>
      <w:r>
        <w:t xml:space="preserve">” del comando </w:t>
      </w:r>
      <w:r>
        <w:rPr>
          <w:b/>
        </w:rPr>
        <w:t>TRAFPC</w:t>
      </w:r>
      <w:r>
        <w:t>).</w:t>
      </w:r>
    </w:p>
    <w:p>
      <w:pPr>
        <w:pStyle w:val="CorpoAltF0"/>
        <w:spacing w:before="120"/>
        <w:rPr>
          <w:u w:val="single"/>
        </w:rPr>
      </w:pPr>
      <w:r>
        <w:rPr>
          <w:u w:val="single"/>
        </w:rPr>
        <w:t xml:space="preserve">Dipendenti iscritti a Fondi di previdenza </w:t>
      </w:r>
      <w:proofErr w:type="spellStart"/>
      <w:r>
        <w:rPr>
          <w:u w:val="single"/>
        </w:rPr>
        <w:t>compl</w:t>
      </w:r>
      <w:proofErr w:type="spellEnd"/>
      <w:r>
        <w:rPr>
          <w:u w:val="single"/>
        </w:rPr>
        <w:t>. diversi da quello di destinazione del contributo contrattuale</w:t>
      </w:r>
    </w:p>
    <w:p>
      <w:pPr>
        <w:pStyle w:val="CorpoAltF0"/>
        <w:spacing w:before="60"/>
      </w:pPr>
      <w:r>
        <w:t>L’utente dovrà creare, nell’ambito del Fondo specifico, un’ulteriore categoria da collegare ai suddetti dipendenti, in cui inserire un rigo di contribuzione aggiuntiva</w:t>
      </w:r>
      <w:r>
        <w:rPr>
          <w:iCs/>
        </w:rPr>
        <w:t xml:space="preserve"> con le</w:t>
      </w:r>
      <w:r>
        <w:t xml:space="preserve"> stesse caratteristiche sopra descritte.</w:t>
      </w:r>
    </w:p>
    <w:p>
      <w:pPr>
        <w:pStyle w:val="CorpoAltF0"/>
        <w:spacing w:before="60"/>
      </w:pPr>
      <w:r>
        <w:t>Al fine di identificare il Fondo a cui destinare il contributo contrattuale sarà necessario compilare il campo “</w:t>
      </w:r>
      <w:r>
        <w:rPr>
          <w:i/>
        </w:rPr>
        <w:t xml:space="preserve">F.do </w:t>
      </w:r>
      <w:proofErr w:type="spellStart"/>
      <w:r>
        <w:rPr>
          <w:i/>
        </w:rPr>
        <w:t>ctr</w:t>
      </w:r>
      <w:proofErr w:type="spellEnd"/>
      <w:r>
        <w:rPr>
          <w:i/>
        </w:rPr>
        <w:t>. contrattuale</w:t>
      </w:r>
      <w:r>
        <w:t>” della scheda “</w:t>
      </w:r>
      <w:r>
        <w:rPr>
          <w:i/>
        </w:rPr>
        <w:t>Fondi</w:t>
      </w:r>
      <w:r>
        <w:t xml:space="preserve">” di </w:t>
      </w:r>
      <w:r>
        <w:rPr>
          <w:b/>
        </w:rPr>
        <w:t>DIPE</w:t>
      </w:r>
      <w:r>
        <w:t xml:space="preserve"> con il relativo codice di tabella “</w:t>
      </w:r>
      <w:r>
        <w:rPr>
          <w:i/>
        </w:rPr>
        <w:t>Anagrafica fondi</w:t>
      </w:r>
      <w:r>
        <w:t xml:space="preserve">” </w:t>
      </w:r>
      <w:r>
        <w:rPr>
          <w:b/>
        </w:rPr>
        <w:t>TB0801</w:t>
      </w:r>
      <w:r>
        <w:t>.</w:t>
      </w:r>
    </w:p>
    <w:p>
      <w:pPr>
        <w:pStyle w:val="Ignora"/>
      </w:pPr>
      <w:r>
        <w:br w:type="page"/>
      </w:r>
    </w:p>
    <w:p>
      <w:pPr>
        <w:pStyle w:val="CorpoAltF0"/>
      </w:pPr>
    </w:p>
    <w:p>
      <w:pPr>
        <w:pStyle w:val="TS-titolo-05"/>
      </w:pPr>
      <w:bookmarkStart w:id="57" w:name="_Toc497216142"/>
      <w:r>
        <w:t>DIPE &gt; Progressivi &gt; Fondo previdenza</w:t>
      </w:r>
      <w:bookmarkEnd w:id="57"/>
    </w:p>
    <w:p>
      <w:pPr>
        <w:pStyle w:val="CorpoAltF0"/>
        <w:spacing w:before="120"/>
      </w:pPr>
      <w:r>
        <w:t>A partire dall’aggiornamento della mensilità di ottobre 2017, il programma provvederà a memorizzare il Fondo di destinazione del contributo contrattuale nel nuovo campo “</w:t>
      </w:r>
      <w:r>
        <w:rPr>
          <w:i/>
        </w:rPr>
        <w:t xml:space="preserve">Codice fondo </w:t>
      </w:r>
      <w:proofErr w:type="spellStart"/>
      <w:r>
        <w:rPr>
          <w:i/>
        </w:rPr>
        <w:t>ctr</w:t>
      </w:r>
      <w:proofErr w:type="spellEnd"/>
      <w:r>
        <w:rPr>
          <w:i/>
        </w:rPr>
        <w:t>. contrattuale</w:t>
      </w:r>
      <w:r>
        <w:t>”, presente nella nuova sezione “</w:t>
      </w:r>
      <w:r>
        <w:rPr>
          <w:i/>
        </w:rPr>
        <w:t>Fondi</w:t>
      </w:r>
      <w:r>
        <w:t xml:space="preserve">” di </w:t>
      </w:r>
      <w:r>
        <w:rPr>
          <w:b/>
        </w:rPr>
        <w:t>DIPE</w:t>
      </w:r>
      <w:r>
        <w:t xml:space="preserve"> &gt; “</w:t>
      </w:r>
      <w:r>
        <w:rPr>
          <w:i/>
        </w:rPr>
        <w:t>Progressivi &gt; Fondo previdenza</w:t>
      </w:r>
      <w:r>
        <w:t xml:space="preserve">” (vedi pag. </w:t>
      </w:r>
      <w:r>
        <w:fldChar w:fldCharType="begin"/>
      </w:r>
      <w:r>
        <w:instrText xml:space="preserve"> PAGEREF DIPE_Prg_Fondi \h </w:instrText>
      </w:r>
      <w:r>
        <w:fldChar w:fldCharType="separate"/>
      </w:r>
      <w:r>
        <w:rPr>
          <w:noProof/>
        </w:rPr>
        <w:t>20</w:t>
      </w:r>
      <w:r>
        <w:fldChar w:fldCharType="end"/>
      </w:r>
      <w:r>
        <w:t>).</w:t>
      </w:r>
    </w:p>
    <w:p>
      <w:pPr>
        <w:pStyle w:val="CorpoAltF0"/>
        <w:spacing w:before="60"/>
      </w:pPr>
      <w:r>
        <w:t>L’importo del contributo verrà memorizzato al campo “</w:t>
      </w:r>
      <w:r>
        <w:rPr>
          <w:i/>
        </w:rPr>
        <w:t>Contributo c/</w:t>
      </w:r>
      <w:proofErr w:type="spellStart"/>
      <w:r>
        <w:rPr>
          <w:i/>
        </w:rPr>
        <w:t>azie</w:t>
      </w:r>
      <w:proofErr w:type="spellEnd"/>
      <w:r>
        <w:rPr>
          <w:i/>
        </w:rPr>
        <w:t xml:space="preserve"> aggiuntivo</w:t>
      </w:r>
      <w:r>
        <w:t>” e nel corrispondente campo “di cui”.</w:t>
      </w:r>
    </w:p>
    <w:p>
      <w:pPr>
        <w:pStyle w:val="CorpoAltF0"/>
      </w:pPr>
    </w:p>
    <w:p>
      <w:pPr>
        <w:pStyle w:val="CorpoAltF0"/>
        <w:jc w:val="center"/>
      </w:pPr>
      <w:r>
        <w:rPr>
          <w:noProof/>
        </w:rPr>
        <w:drawing>
          <wp:inline distT="0" distB="0" distL="0" distR="0">
            <wp:extent cx="5040000" cy="2701638"/>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40000" cy="2701638"/>
                    </a:xfrm>
                    <a:prstGeom prst="rect">
                      <a:avLst/>
                    </a:prstGeom>
                  </pic:spPr>
                </pic:pic>
              </a:graphicData>
            </a:graphic>
          </wp:inline>
        </w:drawing>
      </w:r>
    </w:p>
    <w:p>
      <w:pPr>
        <w:pStyle w:val="CorpoAltF0"/>
      </w:pPr>
    </w:p>
    <w:p>
      <w:pPr>
        <w:pStyle w:val="TS-titolo-05"/>
      </w:pPr>
      <w:bookmarkStart w:id="58" w:name="_Toc479350509"/>
      <w:bookmarkStart w:id="59" w:name="_Toc479356446"/>
      <w:bookmarkStart w:id="60" w:name="_Toc497216143"/>
      <w:r>
        <w:t>QUADR /PSQUA</w:t>
      </w:r>
      <w:bookmarkEnd w:id="58"/>
      <w:bookmarkEnd w:id="59"/>
      <w:bookmarkEnd w:id="60"/>
    </w:p>
    <w:p>
      <w:pPr>
        <w:pStyle w:val="CorpoAltF0"/>
        <w:spacing w:before="120"/>
      </w:pPr>
      <w:r>
        <w:t>Nei tabulati generati dai comandi di quadratura e primanota l’importo del contributo contrattuale verrà esposto come normale contribuzione al Fondo di previdenza; con riferimento ai dipendenti iscritti a Fondi di previdenza complementare diversi da quello di destinazione del contributo contrattuale, verrà esposto separatamente dalla contribuzione al Fondo specifico.</w:t>
      </w:r>
    </w:p>
    <w:p>
      <w:pPr>
        <w:pStyle w:val="CorpoAltF0"/>
      </w:pPr>
    </w:p>
    <w:p>
      <w:pPr>
        <w:pStyle w:val="CorpoAltF0"/>
        <w:jc w:val="center"/>
      </w:pPr>
      <w:r>
        <w:rPr>
          <w:noProof/>
        </w:rPr>
        <w:drawing>
          <wp:inline distT="0" distB="0" distL="0" distR="0">
            <wp:extent cx="6120000" cy="206544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000" cy="2065445"/>
                    </a:xfrm>
                    <a:prstGeom prst="rect">
                      <a:avLst/>
                    </a:prstGeom>
                  </pic:spPr>
                </pic:pic>
              </a:graphicData>
            </a:graphic>
          </wp:inline>
        </w:drawing>
      </w:r>
    </w:p>
    <w:p>
      <w:pPr>
        <w:pStyle w:val="Ignora"/>
      </w:pPr>
      <w:r>
        <w:br w:type="page"/>
      </w:r>
    </w:p>
    <w:p>
      <w:pPr>
        <w:pStyle w:val="CorpoAltF0"/>
        <w:jc w:val="center"/>
      </w:pPr>
    </w:p>
    <w:p>
      <w:pPr>
        <w:pStyle w:val="CorpoAltF0"/>
      </w:pPr>
      <w:r>
        <w:t>Con l’esecuzione della quadratura, verranno altresì memorizzati distintamente i relativi importi nei progressivi dell’anagrafica del dipendente, sezione “</w:t>
      </w:r>
      <w:r>
        <w:rPr>
          <w:i/>
        </w:rPr>
        <w:t>Contributi sociali</w:t>
      </w:r>
      <w:r>
        <w:t>”, sesta pagina.</w:t>
      </w:r>
    </w:p>
    <w:p>
      <w:pPr>
        <w:pStyle w:val="CorpoAltF0"/>
      </w:pPr>
    </w:p>
    <w:p>
      <w:pPr>
        <w:pStyle w:val="CorpoAltF0"/>
        <w:jc w:val="center"/>
      </w:pPr>
      <w:r>
        <w:rPr>
          <w:noProof/>
        </w:rPr>
        <w:drawing>
          <wp:inline distT="0" distB="0" distL="0" distR="0">
            <wp:extent cx="5040000" cy="3117988"/>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40000" cy="3117988"/>
                    </a:xfrm>
                    <a:prstGeom prst="rect">
                      <a:avLst/>
                    </a:prstGeom>
                  </pic:spPr>
                </pic:pic>
              </a:graphicData>
            </a:graphic>
          </wp:inline>
        </w:drawing>
      </w:r>
    </w:p>
    <w:p>
      <w:pPr>
        <w:pStyle w:val="CorpoAltF0"/>
      </w:pPr>
    </w:p>
    <w:p>
      <w:pPr>
        <w:pStyle w:val="TS-titolo-05"/>
      </w:pPr>
      <w:bookmarkStart w:id="61" w:name="_Toc497216144"/>
      <w:r>
        <w:t>TELFONDI / STAFONDI</w:t>
      </w:r>
      <w:bookmarkEnd w:id="61"/>
    </w:p>
    <w:p>
      <w:pPr>
        <w:pStyle w:val="CorpoAltF0"/>
        <w:spacing w:before="120"/>
      </w:pPr>
      <w:r>
        <w:t>Con riferimento ai dipendenti iscritti allo stesso Fondo di destinazione del contributo contrattuale, nel file telematico da inviare al Fondo e nella stampa il programma, se richiesto, provvederà ad esporre separatamente il relativo importo.</w:t>
      </w:r>
    </w:p>
    <w:p>
      <w:pPr>
        <w:pStyle w:val="CorpoAltF0"/>
        <w:spacing w:before="60"/>
      </w:pPr>
      <w:r>
        <w:t>Con riferimento ai dipendenti iscritti a Fondi di previdenza complementare diversi da quello di destinazione del contributo contrattuale, il programma provvederà ad escludere dallo specifico telematico l’importo del contributo contrattuale; quest’ultimo, se previsto, verrà considerato dall’elaborazione del relativo telematico.</w:t>
      </w:r>
    </w:p>
    <w:p>
      <w:pPr>
        <w:pStyle w:val="CorpoAltF0"/>
      </w:pPr>
      <w:r>
        <w:br w:type="page"/>
      </w:r>
    </w:p>
    <w:p>
      <w:pPr>
        <w:pStyle w:val="CorpoAltF0"/>
        <w:rPr>
          <w:highlight w:val="yellow"/>
        </w:rPr>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58"/>
        </w:trPr>
        <w:tc>
          <w:tcPr>
            <w:tcW w:w="6874" w:type="dxa"/>
            <w:tcBorders>
              <w:top w:val="nil"/>
              <w:left w:val="nil"/>
              <w:bottom w:val="single" w:sz="12" w:space="0" w:color="auto"/>
              <w:right w:val="nil"/>
            </w:tcBorders>
            <w:vAlign w:val="center"/>
          </w:tcPr>
          <w:p>
            <w:pPr>
              <w:pStyle w:val="TS-titolo-01"/>
              <w:outlineLvl w:val="0"/>
            </w:pPr>
            <w:bookmarkStart w:id="62" w:name="_Toc485630903"/>
            <w:bookmarkStart w:id="63" w:name="_Toc493496713"/>
            <w:bookmarkStart w:id="64" w:name="_Toc496007888"/>
            <w:bookmarkStart w:id="65" w:name="_Toc497216145"/>
            <w:r>
              <w:t>Archivi di base</w:t>
            </w:r>
            <w:bookmarkEnd w:id="62"/>
            <w:bookmarkEnd w:id="63"/>
            <w:bookmarkEnd w:id="64"/>
            <w:bookmarkEnd w:id="65"/>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rPr>
          <w:sz w:val="10"/>
          <w:szCs w:val="1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r>
              <w:rPr>
                <w:rFonts w:ascii="Arial" w:hAnsi="Arial" w:cs="Arial"/>
                <w:b/>
                <w:i/>
                <w:sz w:val="24"/>
                <w:szCs w:val="24"/>
              </w:rPr>
              <w:t>Tabelle procedura &gt; Tabelle contributive</w:t>
            </w: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66" w:name="TB0307_CtrCE_Eccezioni"/>
            <w:bookmarkStart w:id="67" w:name="_Toc485919823"/>
            <w:bookmarkStart w:id="68" w:name="_Toc486008688"/>
            <w:bookmarkStart w:id="69" w:name="_Toc497216146"/>
            <w:bookmarkEnd w:id="66"/>
            <w:r>
              <w:t>TB0307</w:t>
            </w:r>
            <w:bookmarkEnd w:id="67"/>
            <w:bookmarkEnd w:id="68"/>
            <w:bookmarkEnd w:id="69"/>
          </w:p>
        </w:tc>
      </w:tr>
    </w:tbl>
    <w:p>
      <w:pPr>
        <w:pStyle w:val="TS-titolo-04"/>
      </w:pPr>
      <w:bookmarkStart w:id="70" w:name="_Toc444885166"/>
      <w:bookmarkStart w:id="71" w:name="_Toc446344719"/>
      <w:bookmarkStart w:id="72" w:name="_Toc446433487"/>
      <w:bookmarkStart w:id="73" w:name="_Toc449524425"/>
      <w:bookmarkStart w:id="74" w:name="_Toc449528167"/>
      <w:bookmarkStart w:id="75" w:name="_Toc464461509"/>
      <w:bookmarkStart w:id="76" w:name="_Toc477797045"/>
      <w:bookmarkStart w:id="77" w:name="_Toc477799123"/>
      <w:bookmarkStart w:id="78" w:name="_Toc485919824"/>
      <w:bookmarkStart w:id="79" w:name="_Toc486008689"/>
      <w:bookmarkStart w:id="80" w:name="_Toc497216147"/>
      <w:r>
        <w:t>Contributi casse edil</w:t>
      </w:r>
      <w:bookmarkEnd w:id="70"/>
      <w:bookmarkEnd w:id="71"/>
      <w:bookmarkEnd w:id="72"/>
      <w:bookmarkEnd w:id="73"/>
      <w:bookmarkEnd w:id="74"/>
      <w:bookmarkEnd w:id="75"/>
      <w:bookmarkEnd w:id="76"/>
      <w:bookmarkEnd w:id="77"/>
      <w:r>
        <w:t xml:space="preserve">i &gt; </w:t>
      </w:r>
      <w:bookmarkStart w:id="81" w:name="_Toc444620260"/>
      <w:bookmarkStart w:id="82" w:name="_Toc444885168"/>
      <w:bookmarkStart w:id="83" w:name="_Toc446344720"/>
      <w:bookmarkStart w:id="84" w:name="_Toc446433488"/>
      <w:bookmarkStart w:id="85" w:name="_Toc449524426"/>
      <w:bookmarkStart w:id="86" w:name="_Toc449528168"/>
      <w:bookmarkStart w:id="87" w:name="_Toc464461510"/>
      <w:bookmarkStart w:id="88" w:name="_Toc477797046"/>
      <w:bookmarkStart w:id="89" w:name="_Toc477799124"/>
      <w:r>
        <w:t>Scheda Eccezioni</w:t>
      </w:r>
      <w:bookmarkEnd w:id="78"/>
      <w:bookmarkEnd w:id="79"/>
      <w:bookmarkEnd w:id="81"/>
      <w:bookmarkEnd w:id="82"/>
      <w:bookmarkEnd w:id="83"/>
      <w:bookmarkEnd w:id="84"/>
      <w:bookmarkEnd w:id="85"/>
      <w:bookmarkEnd w:id="86"/>
      <w:bookmarkEnd w:id="87"/>
      <w:bookmarkEnd w:id="88"/>
      <w:bookmarkEnd w:id="89"/>
      <w:bookmarkEnd w:id="80"/>
    </w:p>
    <w:p>
      <w:pPr>
        <w:pStyle w:val="TS-titolo-05"/>
      </w:pPr>
      <w:bookmarkStart w:id="90" w:name="_Toc497216148"/>
      <w:r>
        <w:t>Cassa Edile di Brescia</w:t>
      </w:r>
      <w:bookmarkEnd w:id="90"/>
    </w:p>
    <w:p>
      <w:pPr>
        <w:pStyle w:val="CorpoAltF0"/>
        <w:tabs>
          <w:tab w:val="left" w:pos="284"/>
        </w:tabs>
        <w:spacing w:before="120"/>
      </w:pPr>
      <w:r>
        <w:t xml:space="preserve">La Cassa Edile di Brescia per gli eventi di </w:t>
      </w:r>
      <w:r>
        <w:rPr>
          <w:b/>
          <w:u w:val="single"/>
        </w:rPr>
        <w:t>malattia</w:t>
      </w:r>
      <w:r>
        <w:t xml:space="preserve"> di durata compresi tra 7 e 10 giorni per il periodo di carenza prevede una percentuale di integrazione pari al 50%.</w:t>
      </w:r>
    </w:p>
    <w:p>
      <w:pPr>
        <w:pStyle w:val="CorpoAltF0"/>
        <w:spacing w:before="60"/>
      </w:pPr>
      <w:r>
        <w:t xml:space="preserve">A tal fine è stato modificato il calcolo associato al </w:t>
      </w:r>
      <w:r>
        <w:rPr>
          <w:rFonts w:cs="Arial"/>
          <w:iCs/>
        </w:rPr>
        <w:t>“</w:t>
      </w:r>
      <w:r>
        <w:rPr>
          <w:rFonts w:cs="Arial"/>
          <w:i/>
          <w:iCs/>
        </w:rPr>
        <w:t>Codice calcolo particolare</w:t>
      </w:r>
      <w:r>
        <w:rPr>
          <w:rFonts w:cs="Arial"/>
          <w:iCs/>
        </w:rPr>
        <w:t>”</w:t>
      </w:r>
      <w:r>
        <w:rPr>
          <w:rFonts w:cs="Arial"/>
        </w:rPr>
        <w:t xml:space="preserve"> </w:t>
      </w:r>
      <w:r>
        <w:rPr>
          <w:b/>
        </w:rPr>
        <w:t>BS00</w:t>
      </w:r>
      <w:r>
        <w:t>.</w:t>
      </w:r>
    </w:p>
    <w:p>
      <w:pPr>
        <w:pStyle w:val="CorpoAltF0"/>
        <w:spacing w:before="120"/>
      </w:pPr>
      <w:r>
        <w:t xml:space="preserve">La scheda </w:t>
      </w:r>
      <w:r>
        <w:rPr>
          <w:i/>
        </w:rPr>
        <w:t>“Eccezioni”</w:t>
      </w:r>
      <w:r>
        <w:t xml:space="preserve"> non deve essere modificata.</w:t>
      </w:r>
    </w:p>
    <w:p>
      <w:pPr>
        <w:pStyle w:val="CorpoAltF0"/>
      </w:pPr>
    </w:p>
    <w:p>
      <w:pPr>
        <w:pStyle w:val="TS-titolo-05"/>
      </w:pPr>
      <w:bookmarkStart w:id="91" w:name="_Toc485630906"/>
      <w:bookmarkStart w:id="92" w:name="_Toc496021309"/>
      <w:bookmarkStart w:id="93" w:name="_Toc497216149"/>
      <w:r>
        <w:t xml:space="preserve">Cassa Edile di </w:t>
      </w:r>
      <w:bookmarkEnd w:id="91"/>
      <w:bookmarkEnd w:id="92"/>
      <w:r>
        <w:t>Udine</w:t>
      </w:r>
      <w:bookmarkEnd w:id="93"/>
    </w:p>
    <w:p>
      <w:pPr>
        <w:pStyle w:val="CorpoAltF0"/>
        <w:tabs>
          <w:tab w:val="left" w:pos="284"/>
        </w:tabs>
        <w:spacing w:before="120"/>
      </w:pPr>
      <w:r>
        <w:t xml:space="preserve">La Cassa Edile di Udine prevede per gli eventi di </w:t>
      </w:r>
      <w:r>
        <w:rPr>
          <w:b/>
          <w:u w:val="single"/>
        </w:rPr>
        <w:t>infortunio</w:t>
      </w:r>
      <w:r>
        <w:t xml:space="preserve"> che la percentuale di integrazione relativa ai permessi retribuiti per il periodo di carenza sia pari </w:t>
      </w:r>
      <w:proofErr w:type="gramStart"/>
      <w:r>
        <w:t>ad</w:t>
      </w:r>
      <w:proofErr w:type="gramEnd"/>
      <w:r>
        <w:t xml:space="preserve"> 1,98%.</w:t>
      </w:r>
    </w:p>
    <w:p>
      <w:pPr>
        <w:pStyle w:val="CorpoAltF0"/>
        <w:tabs>
          <w:tab w:val="left" w:pos="284"/>
        </w:tabs>
        <w:spacing w:before="60"/>
      </w:pPr>
      <w:r>
        <w:t xml:space="preserve">A tal fine è stato modificato il calcolo associato al </w:t>
      </w:r>
      <w:r>
        <w:rPr>
          <w:rFonts w:cs="Arial"/>
          <w:iCs/>
        </w:rPr>
        <w:t>“</w:t>
      </w:r>
      <w:r>
        <w:rPr>
          <w:rFonts w:cs="Arial"/>
          <w:i/>
          <w:iCs/>
        </w:rPr>
        <w:t>Codice calcolo particolare</w:t>
      </w:r>
      <w:r>
        <w:rPr>
          <w:rFonts w:cs="Arial"/>
          <w:iCs/>
        </w:rPr>
        <w:t>”</w:t>
      </w:r>
      <w:r>
        <w:rPr>
          <w:rFonts w:cs="Arial"/>
        </w:rPr>
        <w:t xml:space="preserve"> </w:t>
      </w:r>
      <w:r>
        <w:rPr>
          <w:rFonts w:cs="Arial"/>
          <w:b/>
          <w:bCs/>
        </w:rPr>
        <w:t>UD00</w:t>
      </w:r>
      <w:r>
        <w:t>.</w:t>
      </w:r>
    </w:p>
    <w:p>
      <w:pPr>
        <w:pStyle w:val="CorpoAltF0"/>
        <w:spacing w:before="120"/>
      </w:pPr>
      <w:r>
        <w:t xml:space="preserve">La scheda </w:t>
      </w:r>
      <w:r>
        <w:rPr>
          <w:i/>
        </w:rPr>
        <w:t>“Eccezioni”</w:t>
      </w:r>
      <w:r>
        <w:t xml:space="preserve"> deve essere compilata come sotto evidenziato.</w:t>
      </w:r>
    </w:p>
    <w:p>
      <w:pPr>
        <w:pStyle w:val="CorpoAltF0"/>
      </w:pPr>
    </w:p>
    <w:p>
      <w:pPr>
        <w:pStyle w:val="CorpoAltF0"/>
        <w:jc w:val="center"/>
        <w:rPr>
          <w:noProof/>
        </w:rPr>
      </w:pPr>
      <w:r>
        <w:rPr>
          <w:noProof/>
        </w:rPr>
        <w:drawing>
          <wp:inline distT="0" distB="0" distL="0" distR="0">
            <wp:extent cx="5040000" cy="3445194"/>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40000" cy="3445194"/>
                    </a:xfrm>
                    <a:prstGeom prst="rect">
                      <a:avLst/>
                    </a:prstGeom>
                  </pic:spPr>
                </pic:pic>
              </a:graphicData>
            </a:graphic>
          </wp:inline>
        </w:drawing>
      </w:r>
    </w:p>
    <w:p>
      <w:pPr>
        <w:pStyle w:val="CorpoAltF0"/>
      </w:pPr>
    </w:p>
    <w:p>
      <w:pPr>
        <w:pStyle w:val="CorpoAltF0"/>
      </w:pPr>
      <w:r>
        <w:t xml:space="preserve">Per gli utenti </w:t>
      </w:r>
      <w:r>
        <w:rPr>
          <w:b/>
        </w:rPr>
        <w:t>CONTRA</w:t>
      </w:r>
      <w:r>
        <w:t xml:space="preserve">, con la versione </w:t>
      </w:r>
      <w:r>
        <w:rPr>
          <w:b/>
        </w:rPr>
        <w:t>CONTRA 2017.10.0</w:t>
      </w:r>
      <w:r>
        <w:t xml:space="preserve"> la tabella </w:t>
      </w:r>
      <w:r>
        <w:rPr>
          <w:i/>
        </w:rPr>
        <w:t>“Contributi casse edili”</w:t>
      </w:r>
      <w:r>
        <w:t xml:space="preserve"> codice </w:t>
      </w:r>
      <w:r>
        <w:rPr>
          <w:b/>
        </w:rPr>
        <w:t>8303</w:t>
      </w:r>
      <w:r>
        <w:t xml:space="preserve"> è stata modificata come sopra esposto.</w:t>
      </w:r>
    </w:p>
    <w:p>
      <w:pPr>
        <w:pStyle w:val="CorpoAltF0"/>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r>
              <w:rPr>
                <w:rFonts w:ascii="Arial" w:hAnsi="Arial" w:cs="Arial"/>
                <w:b/>
                <w:i/>
                <w:sz w:val="24"/>
                <w:szCs w:val="24"/>
              </w:rPr>
              <w:t>Tabelle procedura &gt; Tabelle sviluppo automatico</w:t>
            </w: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94" w:name="_Toc497216150"/>
            <w:r>
              <w:t>TB1102</w:t>
            </w:r>
            <w:bookmarkEnd w:id="94"/>
          </w:p>
        </w:tc>
      </w:tr>
    </w:tbl>
    <w:p>
      <w:pPr>
        <w:pStyle w:val="TS-titolo-04"/>
      </w:pPr>
      <w:bookmarkStart w:id="95" w:name="TB1102_4_nov"/>
      <w:bookmarkStart w:id="96" w:name="_Toc370204291"/>
      <w:bookmarkStart w:id="97" w:name="_Toc370204737"/>
      <w:bookmarkStart w:id="98" w:name="_Toc432688479"/>
      <w:bookmarkStart w:id="99" w:name="_Toc433638694"/>
      <w:bookmarkStart w:id="100" w:name="_Toc433641032"/>
      <w:bookmarkStart w:id="101" w:name="_Toc497216151"/>
      <w:bookmarkEnd w:id="95"/>
      <w:r>
        <w:t>Trattamento ex festività 4 novembre</w:t>
      </w:r>
      <w:bookmarkEnd w:id="96"/>
      <w:bookmarkEnd w:id="97"/>
      <w:bookmarkEnd w:id="98"/>
      <w:bookmarkEnd w:id="99"/>
      <w:bookmarkEnd w:id="100"/>
      <w:bookmarkEnd w:id="101"/>
    </w:p>
    <w:p>
      <w:pPr>
        <w:pStyle w:val="CorpoAltF0"/>
        <w:spacing w:before="120"/>
      </w:pPr>
      <w:r>
        <w:t>Ai fini del trattamento della ex festività del 4 novembre, fra i codici ammessi nel primo campo del rigo “</w:t>
      </w:r>
      <w:r>
        <w:rPr>
          <w:i/>
        </w:rPr>
        <w:t>4 Novembre</w:t>
      </w:r>
      <w:r>
        <w:t>” di tabella “</w:t>
      </w:r>
      <w:r>
        <w:rPr>
          <w:i/>
        </w:rPr>
        <w:t>Dati presenze</w:t>
      </w:r>
      <w:r>
        <w:t>” (</w:t>
      </w:r>
      <w:r>
        <w:rPr>
          <w:b/>
        </w:rPr>
        <w:t>TB1102</w:t>
      </w:r>
      <w:r>
        <w:t xml:space="preserve">) è stato introdotto il codice </w:t>
      </w:r>
      <w:r>
        <w:rPr>
          <w:b/>
        </w:rPr>
        <w:t>7</w:t>
      </w:r>
      <w:r>
        <w:t>, mediante il quale la ex festività del 4 novembre verrà retribuita nel primo giorno di riposo di novembre.</w:t>
      </w:r>
    </w:p>
    <w:p>
      <w:pPr>
        <w:pStyle w:val="CorpoAltF0"/>
      </w:pPr>
    </w:p>
    <w:p>
      <w:pPr>
        <w:pStyle w:val="CorpoAltF0"/>
      </w:pPr>
      <w:r>
        <w:t xml:space="preserve">Per gli utenti </w:t>
      </w:r>
      <w:r>
        <w:rPr>
          <w:b/>
        </w:rPr>
        <w:t>CONTRA</w:t>
      </w:r>
      <w:r>
        <w:t xml:space="preserve"> con la versione </w:t>
      </w:r>
      <w:r>
        <w:rPr>
          <w:b/>
        </w:rPr>
        <w:t>CONTRA 2017.11.0</w:t>
      </w:r>
      <w:r>
        <w:t xml:space="preserve"> il nuovo codice verrà inserito in </w:t>
      </w:r>
      <w:r>
        <w:rPr>
          <w:b/>
        </w:rPr>
        <w:t>TB1102</w:t>
      </w:r>
      <w:r>
        <w:t xml:space="preserve"> per i codici contratto e trattamento qualifica che prevedono.</w:t>
      </w:r>
    </w:p>
    <w:p>
      <w:pPr>
        <w:pStyle w:val="CorpoAltF0"/>
      </w:pPr>
    </w:p>
    <w:p>
      <w:pPr>
        <w:pStyle w:val="CorpoAltF0"/>
      </w:pPr>
    </w:p>
    <w:p>
      <w:pPr>
        <w:pStyle w:val="CorpoAltF0"/>
      </w:pPr>
    </w:p>
    <w:p>
      <w:pPr>
        <w:pStyle w:val="CorpoAltF0"/>
      </w:pP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r>
              <w:rPr>
                <w:rFonts w:ascii="Arial" w:hAnsi="Arial" w:cs="Arial"/>
                <w:b/>
                <w:i/>
                <w:sz w:val="24"/>
                <w:szCs w:val="24"/>
              </w:rPr>
              <w:t>Anagrafiche e gestioni</w:t>
            </w:r>
            <w:bookmarkStart w:id="102" w:name="ComuneCessato"/>
            <w:bookmarkEnd w:id="102"/>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103" w:name="_Toc497146202"/>
            <w:bookmarkStart w:id="104" w:name="_Toc497216152"/>
            <w:r>
              <w:t>AZIE / DIPE</w:t>
            </w:r>
            <w:bookmarkEnd w:id="103"/>
            <w:bookmarkEnd w:id="104"/>
          </w:p>
        </w:tc>
      </w:tr>
    </w:tbl>
    <w:p>
      <w:pPr>
        <w:pStyle w:val="TS-titolo-04"/>
      </w:pPr>
      <w:bookmarkStart w:id="105" w:name="_Toc497146203"/>
      <w:bookmarkStart w:id="106" w:name="_Hlk497145021"/>
      <w:bookmarkStart w:id="107" w:name="_Toc497216153"/>
      <w:r>
        <w:t>Selezione comune cessato</w:t>
      </w:r>
      <w:bookmarkEnd w:id="105"/>
      <w:bookmarkEnd w:id="107"/>
      <w:r>
        <w:t xml:space="preserve"> </w:t>
      </w:r>
    </w:p>
    <w:p>
      <w:pPr>
        <w:pStyle w:val="CorpoAltF0"/>
        <w:spacing w:before="120"/>
      </w:pPr>
      <w:r>
        <w:t>Il programma è stato implementato per segnalare, mediante apposito messaggio, la compilazione dei campi relativi al codice comune di residenza e domicilio dell’anagrafica azienda e dipendente, con un codice comune catastale (</w:t>
      </w:r>
      <w:r>
        <w:rPr>
          <w:b/>
        </w:rPr>
        <w:t>TB0009</w:t>
      </w:r>
      <w:r>
        <w:t xml:space="preserve"> “</w:t>
      </w:r>
      <w:r>
        <w:rPr>
          <w:i/>
        </w:rPr>
        <w:t>Tabella comuni</w:t>
      </w:r>
      <w:r>
        <w:t>”) riferito ad un comune cessato:</w:t>
      </w:r>
    </w:p>
    <w:p>
      <w:pPr>
        <w:pStyle w:val="CorpoAltF0"/>
      </w:pPr>
    </w:p>
    <w:p>
      <w:pPr>
        <w:pStyle w:val="CorpoAltF0"/>
        <w:jc w:val="center"/>
      </w:pPr>
      <w:r>
        <w:rPr>
          <w:noProof/>
        </w:rPr>
        <w:drawing>
          <wp:inline distT="0" distB="0" distL="0" distR="0">
            <wp:extent cx="2880000" cy="1415234"/>
            <wp:effectExtent l="0" t="0" r="0" b="0"/>
            <wp:docPr id="7" name="Immagine 7"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7C67BF.tmp"/>
                    <pic:cNvPicPr/>
                  </pic:nvPicPr>
                  <pic:blipFill>
                    <a:blip r:embed="rId29">
                      <a:extLst>
                        <a:ext uri="{28A0092B-C50C-407E-A947-70E740481C1C}">
                          <a14:useLocalDpi xmlns:a14="http://schemas.microsoft.com/office/drawing/2010/main" val="0"/>
                        </a:ext>
                      </a:extLst>
                    </a:blip>
                    <a:stretch>
                      <a:fillRect/>
                    </a:stretch>
                  </pic:blipFill>
                  <pic:spPr>
                    <a:xfrm>
                      <a:off x="0" y="0"/>
                      <a:ext cx="2880000" cy="1415234"/>
                    </a:xfrm>
                    <a:prstGeom prst="rect">
                      <a:avLst/>
                    </a:prstGeom>
                  </pic:spPr>
                </pic:pic>
              </a:graphicData>
            </a:graphic>
          </wp:inline>
        </w:drawing>
      </w:r>
    </w:p>
    <w:p>
      <w:pPr>
        <w:pStyle w:val="CorpoAltF0"/>
      </w:pPr>
    </w:p>
    <w:p>
      <w:pPr>
        <w:pStyle w:val="CorpoAltF0"/>
      </w:pPr>
      <w:r>
        <w:t>Selezionando “</w:t>
      </w:r>
      <w:r>
        <w:rPr>
          <w:b/>
        </w:rPr>
        <w:t>Si</w:t>
      </w:r>
      <w:r>
        <w:t>” sarà comunque possibile confermare il valore inserito.</w:t>
      </w:r>
    </w:p>
    <w:bookmarkEnd w:id="106"/>
    <w:p>
      <w:pPr>
        <w:rPr>
          <w:rFonts w:ascii="Arial" w:hAnsi="Arial"/>
          <w:sz w:val="20"/>
          <w:szCs w:val="20"/>
        </w:rPr>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r>
              <w:rPr>
                <w:rFonts w:ascii="Arial" w:hAnsi="Arial" w:cs="Arial"/>
                <w:b/>
                <w:i/>
                <w:sz w:val="24"/>
                <w:szCs w:val="24"/>
              </w:rPr>
              <w:t>Anagrafiche e gestioni</w:t>
            </w: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108" w:name="_Toc497216154"/>
            <w:r>
              <w:t>DIPE</w:t>
            </w:r>
            <w:bookmarkEnd w:id="108"/>
          </w:p>
        </w:tc>
      </w:tr>
    </w:tbl>
    <w:p>
      <w:pPr>
        <w:pStyle w:val="TS-titolo-04"/>
      </w:pPr>
      <w:bookmarkStart w:id="109" w:name="DIPE_Prg_Fondi"/>
      <w:bookmarkStart w:id="110" w:name="_Toc497216155"/>
      <w:bookmarkEnd w:id="109"/>
      <w:r>
        <w:t>Progressivi &gt; Fondo previdenza</w:t>
      </w:r>
      <w:bookmarkEnd w:id="110"/>
    </w:p>
    <w:p>
      <w:pPr>
        <w:pStyle w:val="CorpoAltF0"/>
        <w:spacing w:before="120"/>
      </w:pPr>
      <w:r>
        <w:t xml:space="preserve">La sezione in oggetto di </w:t>
      </w:r>
      <w:r>
        <w:rPr>
          <w:b/>
        </w:rPr>
        <w:t>DIPE</w:t>
      </w:r>
      <w:r>
        <w:t xml:space="preserve"> è stata implementata con l’inserimento della nuova sezione “</w:t>
      </w:r>
      <w:r>
        <w:rPr>
          <w:i/>
        </w:rPr>
        <w:t>Fondi</w:t>
      </w:r>
      <w:r>
        <w:t>”, nella quale, a partire dall’aggiornamento della mensilità di ottobre 2017, il programma provvederà a memorizzare, laddove presenti, il codice del Fondo di previdenza complementare a cui risulta iscritto il dipendente, il codice di versamento del solo TFR e quello del Fondo di destinazione del contributo contrattuale.</w:t>
      </w:r>
    </w:p>
    <w:p>
      <w:pPr>
        <w:pStyle w:val="CorpoAltF0"/>
      </w:pPr>
    </w:p>
    <w:p>
      <w:pPr>
        <w:pStyle w:val="CorpoAltF0"/>
        <w:jc w:val="center"/>
      </w:pPr>
      <w:r>
        <w:rPr>
          <w:noProof/>
        </w:rPr>
        <w:drawing>
          <wp:inline distT="0" distB="0" distL="0" distR="0">
            <wp:extent cx="5040000" cy="1947261"/>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40000" cy="1947261"/>
                    </a:xfrm>
                    <a:prstGeom prst="rect">
                      <a:avLst/>
                    </a:prstGeom>
                  </pic:spPr>
                </pic:pic>
              </a:graphicData>
            </a:graphic>
          </wp:inline>
        </w:drawing>
      </w:r>
    </w:p>
    <w:p>
      <w:pPr>
        <w:pStyle w:val="CorpoAltF0"/>
      </w:pPr>
    </w:p>
    <w:p>
      <w:pPr>
        <w:pStyle w:val="CorpoAltF0"/>
      </w:pPr>
    </w:p>
    <w:p>
      <w:pPr>
        <w:pStyle w:val="CorpoAltF0"/>
      </w:pPr>
    </w:p>
    <w:p>
      <w:pPr>
        <w:pStyle w:val="CorpoAltF0"/>
      </w:pP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r>
              <w:rPr>
                <w:rFonts w:ascii="Arial" w:hAnsi="Arial" w:cs="Arial"/>
                <w:b/>
                <w:i/>
                <w:sz w:val="24"/>
                <w:szCs w:val="24"/>
              </w:rPr>
              <w:t>Stampe archivi di base</w:t>
            </w:r>
            <w:bookmarkStart w:id="111" w:name="STAZI"/>
            <w:bookmarkEnd w:id="111"/>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112" w:name="_Toc497146204"/>
            <w:bookmarkStart w:id="113" w:name="_Toc497216156"/>
            <w:r>
              <w:t>STAZI</w:t>
            </w:r>
            <w:bookmarkEnd w:id="112"/>
            <w:bookmarkEnd w:id="113"/>
          </w:p>
        </w:tc>
      </w:tr>
    </w:tbl>
    <w:p>
      <w:pPr>
        <w:pStyle w:val="TS-titolo-04"/>
      </w:pPr>
      <w:bookmarkStart w:id="114" w:name="_Toc497146205"/>
      <w:bookmarkStart w:id="115" w:name="_Toc497216157"/>
      <w:r>
        <w:t>Stampa tabelle aziendali</w:t>
      </w:r>
      <w:bookmarkEnd w:id="114"/>
      <w:bookmarkEnd w:id="115"/>
    </w:p>
    <w:p>
      <w:pPr>
        <w:pStyle w:val="CorpoAltF0"/>
        <w:spacing w:before="120"/>
      </w:pPr>
      <w:r>
        <w:t xml:space="preserve">La scelta in oggetto del comando </w:t>
      </w:r>
      <w:r>
        <w:rPr>
          <w:b/>
        </w:rPr>
        <w:t>STAZI</w:t>
      </w:r>
      <w:r>
        <w:t xml:space="preserve"> è stata implementata al fine di stampare, oltre che ai centri di costo / reparto 1 creati per azienda, anche i centri di costo / reparto 2 e 3 (“</w:t>
      </w:r>
      <w:r>
        <w:rPr>
          <w:i/>
        </w:rPr>
        <w:t>Altri dati</w:t>
      </w:r>
      <w:r>
        <w:t>” &gt; “</w:t>
      </w:r>
      <w:r>
        <w:rPr>
          <w:i/>
        </w:rPr>
        <w:t>Tabelle aziendali</w:t>
      </w:r>
      <w:r>
        <w:t xml:space="preserve">” di </w:t>
      </w:r>
      <w:r>
        <w:rPr>
          <w:b/>
        </w:rPr>
        <w:t>AZIE</w:t>
      </w:r>
      <w:r>
        <w:t>).</w:t>
      </w:r>
    </w:p>
    <w:p>
      <w:pPr>
        <w:pStyle w:val="CorpoAltF0"/>
      </w:pPr>
      <w:r>
        <w:br w:type="page"/>
      </w:r>
    </w:p>
    <w:p>
      <w:pPr>
        <w:pStyle w:val="CorpoAltF0"/>
        <w:rPr>
          <w:highlight w:val="yellow"/>
        </w:rPr>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58"/>
        </w:trPr>
        <w:tc>
          <w:tcPr>
            <w:tcW w:w="6874" w:type="dxa"/>
            <w:tcBorders>
              <w:top w:val="nil"/>
              <w:left w:val="nil"/>
              <w:bottom w:val="single" w:sz="12" w:space="0" w:color="auto"/>
              <w:right w:val="nil"/>
            </w:tcBorders>
            <w:vAlign w:val="center"/>
          </w:tcPr>
          <w:p>
            <w:pPr>
              <w:pStyle w:val="TS-titolo-01"/>
              <w:outlineLvl w:val="0"/>
            </w:pPr>
            <w:bookmarkStart w:id="116" w:name="_Toc497216158"/>
            <w:r>
              <w:t>Elaborazioni mensili</w:t>
            </w:r>
            <w:bookmarkEnd w:id="116"/>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rPr>
          <w:sz w:val="10"/>
          <w:szCs w:val="1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r>
              <w:rPr>
                <w:rFonts w:ascii="Arial" w:hAnsi="Arial" w:cs="Arial"/>
                <w:b/>
                <w:i/>
                <w:sz w:val="24"/>
                <w:szCs w:val="24"/>
              </w:rPr>
              <w:t>Elaborazioni</w:t>
            </w: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117" w:name="_Toc497216159"/>
            <w:r>
              <w:t>CEDOL</w:t>
            </w:r>
            <w:bookmarkEnd w:id="117"/>
          </w:p>
        </w:tc>
      </w:tr>
    </w:tbl>
    <w:p>
      <w:pPr>
        <w:pStyle w:val="TS-titolo-04"/>
      </w:pPr>
      <w:bookmarkStart w:id="118" w:name="CEDOL_Ex_ENPALS"/>
      <w:bookmarkStart w:id="119" w:name="_Toc436663488"/>
      <w:bookmarkStart w:id="120" w:name="_Toc436671029"/>
      <w:bookmarkStart w:id="121" w:name="_Toc497216160"/>
      <w:bookmarkEnd w:id="118"/>
      <w:r>
        <w:t>Lavoratori Spettacolo e Sportivi professionisti</w:t>
      </w:r>
      <w:bookmarkEnd w:id="119"/>
      <w:bookmarkEnd w:id="120"/>
      <w:r>
        <w:t xml:space="preserve"> – Giorni retribuiti</w:t>
      </w:r>
      <w:bookmarkEnd w:id="121"/>
    </w:p>
    <w:p>
      <w:pPr>
        <w:pStyle w:val="CorpoAltF0"/>
        <w:spacing w:before="120"/>
        <w:rPr>
          <w:rFonts w:cs="Arial"/>
        </w:rPr>
      </w:pPr>
      <w:r>
        <w:rPr>
          <w:rFonts w:cs="Arial"/>
        </w:rPr>
        <w:t>L’INPS tramite Assosoftware ha comunicato l’introduzione, in fase di verifica della denuncia UNIEMENS, di un controllo di coerenza fra il numero delle giornate indicate nell’elemento &lt;</w:t>
      </w:r>
      <w:proofErr w:type="spellStart"/>
      <w:r>
        <w:rPr>
          <w:rFonts w:cs="Arial"/>
        </w:rPr>
        <w:t>GiorniRetribuiti</w:t>
      </w:r>
      <w:proofErr w:type="spellEnd"/>
      <w:r>
        <w:rPr>
          <w:rFonts w:cs="Arial"/>
        </w:rPr>
        <w:t>&gt; e le giornate indicate nell’elemento &lt;Giorno&gt;, verificando in particolare le informazioni presenti negli elementi &lt;</w:t>
      </w:r>
      <w:proofErr w:type="spellStart"/>
      <w:r>
        <w:rPr>
          <w:rFonts w:cs="Arial"/>
        </w:rPr>
        <w:t>TipoCoperturaGiorn</w:t>
      </w:r>
      <w:proofErr w:type="spellEnd"/>
      <w:r>
        <w:rPr>
          <w:rFonts w:cs="Arial"/>
        </w:rPr>
        <w:t>&gt; e &lt;Lavorato&gt; che lo compongono.</w:t>
      </w:r>
    </w:p>
    <w:p>
      <w:pPr>
        <w:pStyle w:val="CorpoAltF0"/>
        <w:spacing w:before="120"/>
        <w:rPr>
          <w:rFonts w:cs="Arial"/>
        </w:rPr>
      </w:pPr>
      <w:r>
        <w:rPr>
          <w:rFonts w:cs="Arial"/>
        </w:rPr>
        <w:t>Pertanto, con la presente versione per i lavoratori in oggetto vengono apportate delle modifiche alla compilazione della testata del cedolino, con riferimento alle giornate contribuite/retribuite, rispetto a quanto precedentemente proposto dal programma, a partire dalla versione PAGHE 2015.1.6, in attuazione del Messaggio INPS n. 5327/2015.</w:t>
      </w:r>
    </w:p>
    <w:p>
      <w:pPr>
        <w:pStyle w:val="CorpoAltF0"/>
        <w:spacing w:before="60"/>
      </w:pPr>
      <w:r>
        <w:rPr>
          <w:rFonts w:cs="Arial"/>
        </w:rPr>
        <w:t>Le modifiche, di seguito evidenziate, verranno applicate a partire dall’elaborazione del mese di ottobre 2017</w:t>
      </w:r>
      <w:r>
        <w:t>.</w:t>
      </w:r>
    </w:p>
    <w:p>
      <w:pPr>
        <w:pStyle w:val="CorpoAltF0"/>
      </w:pPr>
    </w:p>
    <w:p>
      <w:pPr>
        <w:pStyle w:val="CorpoAltF0"/>
        <w:spacing w:before="60"/>
        <w:rPr>
          <w:rFonts w:cs="Arial"/>
          <w:b/>
          <w:u w:val="single"/>
        </w:rPr>
      </w:pPr>
      <w:r>
        <w:rPr>
          <w:rFonts w:cs="Arial"/>
          <w:b/>
          <w:u w:val="single"/>
        </w:rPr>
        <w:t>Dipendenti con contratto full time o part time orizzontale</w:t>
      </w:r>
    </w:p>
    <w:p>
      <w:pPr>
        <w:pStyle w:val="CorpoAltF0"/>
        <w:spacing w:before="120"/>
        <w:rPr>
          <w:rFonts w:cs="Arial"/>
        </w:rPr>
      </w:pPr>
      <w:r>
        <w:rPr>
          <w:rFonts w:cs="Arial"/>
        </w:rPr>
        <w:t>I nuovi controlli confermano il criterio indicato nel Messaggio INPS n. 5327/2015 in caso di intero mese lavorato in via continuativa ed in assenza di eventi tutelati che interessano l’intera giornata, secondo il quale il valore da indicare al campo &lt;</w:t>
      </w:r>
      <w:proofErr w:type="spellStart"/>
      <w:r>
        <w:rPr>
          <w:rFonts w:cs="Arial"/>
        </w:rPr>
        <w:t>GiorniRetribuiti</w:t>
      </w:r>
      <w:proofErr w:type="spellEnd"/>
      <w:r>
        <w:rPr>
          <w:rFonts w:cs="Arial"/>
        </w:rPr>
        <w:t>&gt; è pari a 26.</w:t>
      </w:r>
    </w:p>
    <w:p>
      <w:pPr>
        <w:pStyle w:val="CorpoAltF0"/>
        <w:spacing w:before="60"/>
      </w:pPr>
      <w:r>
        <w:rPr>
          <w:rFonts w:cs="Arial"/>
        </w:rPr>
        <w:t>Viceversa, in presenza di eventi tutelati che interessano l’intera giornata, il valore da indicare al campo &lt;</w:t>
      </w:r>
      <w:proofErr w:type="spellStart"/>
      <w:r>
        <w:rPr>
          <w:rFonts w:cs="Arial"/>
        </w:rPr>
        <w:t>GiorniRetribuiti</w:t>
      </w:r>
      <w:proofErr w:type="spellEnd"/>
      <w:r>
        <w:rPr>
          <w:rFonts w:cs="Arial"/>
        </w:rPr>
        <w:t xml:space="preserve">&gt; deve essere uguale alla somma delle giornate aventi </w:t>
      </w:r>
      <w:r>
        <w:t>&lt;</w:t>
      </w:r>
      <w:proofErr w:type="spellStart"/>
      <w:r>
        <w:t>TipoCoperturaGiorn</w:t>
      </w:r>
      <w:proofErr w:type="spellEnd"/>
      <w:r>
        <w:t>&gt; pari ad “X” (giornate totalmente retribuite).</w:t>
      </w:r>
    </w:p>
    <w:p>
      <w:pPr>
        <w:pStyle w:val="CorpoAltF0"/>
        <w:spacing w:before="60"/>
        <w:rPr>
          <w:rFonts w:cs="Arial"/>
        </w:rPr>
      </w:pPr>
      <w:r>
        <w:t>L’osservanza di tale controllo potrebbe dar luogo ad un risultato diverso rispetto quello indicato nel suddetto Messaggio (“il numero dei giorni retribuiti sarà 26 meno i giorni con eventi tutelati, esclusi gli eventuali giorni di riposo compresi nel periodo tutelato”).</w:t>
      </w:r>
    </w:p>
    <w:p>
      <w:pPr>
        <w:pStyle w:val="CorpoAltF0"/>
        <w:spacing w:before="60"/>
        <w:rPr>
          <w:rFonts w:cs="Arial"/>
        </w:rPr>
      </w:pPr>
      <w:r>
        <w:rPr>
          <w:rFonts w:cs="Arial"/>
        </w:rPr>
        <w:t>In funzione di quanto sopra, per la compilazione della testata del cedolino il programma è stato modificato per verificare in tabella “</w:t>
      </w:r>
      <w:r>
        <w:rPr>
          <w:rFonts w:cs="Arial"/>
          <w:i/>
        </w:rPr>
        <w:t>Formule testata cedolino</w:t>
      </w:r>
      <w:r>
        <w:rPr>
          <w:rFonts w:cs="Arial"/>
        </w:rPr>
        <w:t>” (</w:t>
      </w:r>
      <w:r>
        <w:rPr>
          <w:rFonts w:cs="Arial"/>
          <w:b/>
        </w:rPr>
        <w:t>TB1107</w:t>
      </w:r>
      <w:r>
        <w:rPr>
          <w:rFonts w:cs="Arial"/>
        </w:rPr>
        <w:t>) la sezione “</w:t>
      </w:r>
      <w:r>
        <w:rPr>
          <w:rFonts w:cs="Arial"/>
          <w:i/>
        </w:rPr>
        <w:t>Paga oraria</w:t>
      </w:r>
      <w:r>
        <w:rPr>
          <w:rFonts w:cs="Arial"/>
        </w:rPr>
        <w:t>” sia nel caso di dipendente orario che mensilizzato, inserendo i seguenti controlli:</w:t>
      </w:r>
    </w:p>
    <w:p>
      <w:pPr>
        <w:pStyle w:val="CorpoAltF0"/>
        <w:numPr>
          <w:ilvl w:val="0"/>
          <w:numId w:val="19"/>
        </w:numPr>
        <w:spacing w:before="60"/>
        <w:ind w:left="284" w:hanging="242"/>
        <w:rPr>
          <w:rFonts w:cs="Arial"/>
        </w:rPr>
      </w:pPr>
      <w:r>
        <w:rPr>
          <w:rFonts w:cs="Arial"/>
        </w:rPr>
        <w:t>nei giorni retribuiti viene conteggiato anche il giorno a zero ore;</w:t>
      </w:r>
    </w:p>
    <w:p>
      <w:pPr>
        <w:pStyle w:val="CorpoAltF0"/>
        <w:numPr>
          <w:ilvl w:val="0"/>
          <w:numId w:val="19"/>
        </w:numPr>
        <w:spacing w:before="60"/>
        <w:ind w:left="284" w:hanging="242"/>
        <w:rPr>
          <w:rFonts w:cs="Arial"/>
        </w:rPr>
      </w:pPr>
      <w:r>
        <w:t>in assenza nel mese di eventi tutelati, o altre assenze non retribuite, che interessano giornate intere nei giorni retribuiti verrà indicato 26.</w:t>
      </w:r>
    </w:p>
    <w:p>
      <w:pPr>
        <w:pStyle w:val="CorpoAltF0"/>
        <w:ind w:left="284"/>
        <w:rPr>
          <w:rFonts w:cs="Arial"/>
        </w:rPr>
      </w:pPr>
      <w:r>
        <w:t>Tale secondo controllo verrà applicato solo in caso di dipendente in forza per l’intero mese.</w:t>
      </w:r>
    </w:p>
    <w:p>
      <w:pPr>
        <w:pStyle w:val="CorpoAltF0"/>
        <w:spacing w:before="60"/>
        <w:rPr>
          <w:rFonts w:cs="Arial"/>
        </w:rPr>
      </w:pPr>
      <w:r>
        <w:rPr>
          <w:rFonts w:cs="Arial"/>
        </w:rPr>
        <w:t>Come da precedenti istruzioni si ribadisce che,</w:t>
      </w:r>
      <w:r>
        <w:t xml:space="preserve"> </w:t>
      </w:r>
      <w:r>
        <w:rPr>
          <w:rFonts w:cs="Arial"/>
        </w:rPr>
        <w:t>nel caso di dipendente orario</w:t>
      </w:r>
      <w:r>
        <w:t xml:space="preserve"> nella tabella “</w:t>
      </w:r>
      <w:r>
        <w:rPr>
          <w:i/>
        </w:rPr>
        <w:t>Calendario settimanale base</w:t>
      </w:r>
      <w:r>
        <w:t>” (</w:t>
      </w:r>
      <w:r>
        <w:rPr>
          <w:b/>
        </w:rPr>
        <w:t>TB1104</w:t>
      </w:r>
      <w:r>
        <w:t>) o nel calendario mensile base è comunque</w:t>
      </w:r>
      <w:r>
        <w:rPr>
          <w:rFonts w:cs="Arial"/>
        </w:rPr>
        <w:t xml:space="preserve"> necessario indicare</w:t>
      </w:r>
      <w:r>
        <w:t xml:space="preserve"> il giorno a zero ore</w:t>
      </w:r>
      <w:r>
        <w:rPr>
          <w:rFonts w:cs="Arial"/>
        </w:rPr>
        <w:t xml:space="preserve">; il programma di prelievo UNIEMENS provvederà a riportare per le relative giornate nell’elemento </w:t>
      </w:r>
      <w:r>
        <w:t>&lt;</w:t>
      </w:r>
      <w:proofErr w:type="spellStart"/>
      <w:r>
        <w:t>TipoCoperturaGiorn</w:t>
      </w:r>
      <w:proofErr w:type="spellEnd"/>
      <w:r>
        <w:t>&gt; il codice “T”.</w:t>
      </w:r>
    </w:p>
    <w:p>
      <w:pPr>
        <w:pStyle w:val="CorpoAltF0"/>
        <w:rPr>
          <w:highlight w:val="yellow"/>
        </w:rPr>
      </w:pPr>
    </w:p>
    <w:p>
      <w:pPr>
        <w:pStyle w:val="CorpoAltF0"/>
        <w:spacing w:before="60"/>
        <w:rPr>
          <w:rFonts w:cs="Arial"/>
          <w:b/>
          <w:u w:val="single"/>
        </w:rPr>
      </w:pPr>
      <w:r>
        <w:rPr>
          <w:rFonts w:cs="Arial"/>
          <w:b/>
          <w:u w:val="single"/>
        </w:rPr>
        <w:t>Dipendenti con contratto part time verticale o misto</w:t>
      </w:r>
    </w:p>
    <w:p>
      <w:pPr>
        <w:pStyle w:val="CorpoAltF0"/>
        <w:spacing w:before="120"/>
        <w:rPr>
          <w:rFonts w:cs="Arial"/>
        </w:rPr>
      </w:pPr>
      <w:r>
        <w:rPr>
          <w:rFonts w:cs="Arial"/>
        </w:rPr>
        <w:t>Per la compilazione della testata del cedolino il programma è stato modificato per verificare in tabella “</w:t>
      </w:r>
      <w:r>
        <w:rPr>
          <w:rFonts w:cs="Arial"/>
          <w:i/>
        </w:rPr>
        <w:t>Formule testata cedolino</w:t>
      </w:r>
      <w:r>
        <w:rPr>
          <w:rFonts w:cs="Arial"/>
        </w:rPr>
        <w:t>” (</w:t>
      </w:r>
      <w:r>
        <w:rPr>
          <w:rFonts w:cs="Arial"/>
          <w:b/>
        </w:rPr>
        <w:t>TB1107</w:t>
      </w:r>
      <w:r>
        <w:rPr>
          <w:rFonts w:cs="Arial"/>
        </w:rPr>
        <w:t>) la sezione “</w:t>
      </w:r>
      <w:r>
        <w:rPr>
          <w:rFonts w:cs="Arial"/>
          <w:i/>
        </w:rPr>
        <w:t>Paga oraria</w:t>
      </w:r>
      <w:r>
        <w:rPr>
          <w:rFonts w:cs="Arial"/>
        </w:rPr>
        <w:t>” sia nel caso di dipendente orario che mensilizzato, senza applicare i due controlli sopra descritti validi per i dipendenti full time.</w:t>
      </w:r>
    </w:p>
    <w:p>
      <w:pPr>
        <w:pStyle w:val="CorpoAltF0"/>
        <w:spacing w:before="60"/>
        <w:rPr>
          <w:rFonts w:cs="Arial"/>
        </w:rPr>
      </w:pPr>
      <w:r>
        <w:rPr>
          <w:rFonts w:cs="Arial"/>
        </w:rPr>
        <w:t>Coerentemente il programma di prelievo UNIEMENS, con riferimento agli eventuali giorni a zero ore indicati, provvederà a riportare nell’elemento</w:t>
      </w:r>
      <w:r>
        <w:t xml:space="preserve"> &lt;</w:t>
      </w:r>
      <w:proofErr w:type="spellStart"/>
      <w:r>
        <w:t>TipoCoperturaGiorn</w:t>
      </w:r>
      <w:proofErr w:type="spellEnd"/>
      <w:r>
        <w:t>&gt; il codice “0”.</w:t>
      </w:r>
    </w:p>
    <w:p>
      <w:pPr>
        <w:pStyle w:val="CorpoAltF0"/>
      </w:pPr>
    </w:p>
    <w:p>
      <w:pPr>
        <w:pStyle w:val="CorpoAltF0"/>
        <w:spacing w:before="60"/>
        <w:rPr>
          <w:rFonts w:cs="Arial"/>
          <w:b/>
          <w:u w:val="single"/>
        </w:rPr>
      </w:pPr>
      <w:r>
        <w:rPr>
          <w:rFonts w:cs="Arial"/>
          <w:b/>
          <w:u w:val="single"/>
        </w:rPr>
        <w:t>Dipendenti con contratto part time orizzontale</w:t>
      </w:r>
    </w:p>
    <w:p>
      <w:pPr>
        <w:pStyle w:val="CorpoAltF0"/>
        <w:spacing w:before="120"/>
        <w:rPr>
          <w:rFonts w:cs="Arial"/>
        </w:rPr>
      </w:pPr>
      <w:r>
        <w:rPr>
          <w:rFonts w:cs="Arial"/>
        </w:rPr>
        <w:t>Per i dipendenti con contratto part time orizzontale il calcolo dei giorni utili verrà effettuato rapportando le ore retribuite nel mese al coefficiente ore settimanali full time/6</w:t>
      </w:r>
      <w:r>
        <w:t>, in luogo del coefficiente ore/giorni.</w:t>
      </w:r>
    </w:p>
    <w:p>
      <w:pPr>
        <w:pStyle w:val="CorpoAltF0"/>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r>
              <w:rPr>
                <w:rFonts w:ascii="Arial" w:hAnsi="Arial" w:cs="Arial"/>
                <w:b/>
                <w:i/>
                <w:sz w:val="24"/>
                <w:szCs w:val="24"/>
              </w:rPr>
              <w:t>Utility</w:t>
            </w:r>
            <w:bookmarkStart w:id="122" w:name="TRAFPC"/>
            <w:bookmarkEnd w:id="122"/>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123" w:name="_Toc497209725"/>
            <w:bookmarkStart w:id="124" w:name="_Toc497216161"/>
            <w:r>
              <w:t>TRAFPC</w:t>
            </w:r>
            <w:bookmarkEnd w:id="123"/>
            <w:bookmarkEnd w:id="124"/>
          </w:p>
        </w:tc>
      </w:tr>
    </w:tbl>
    <w:p>
      <w:pPr>
        <w:pStyle w:val="TS-titolo-04"/>
      </w:pPr>
      <w:bookmarkStart w:id="125" w:name="_Toc497209726"/>
      <w:bookmarkStart w:id="126" w:name="_Toc497216162"/>
      <w:r>
        <w:t>Cambio</w:t>
      </w:r>
      <w:r>
        <w:t xml:space="preserve"> fondo previdenza</w:t>
      </w:r>
      <w:bookmarkEnd w:id="125"/>
      <w:bookmarkEnd w:id="126"/>
      <w:r>
        <w:t xml:space="preserve"> </w:t>
      </w:r>
    </w:p>
    <w:p>
      <w:pPr>
        <w:pStyle w:val="CorpoAltF0"/>
        <w:spacing w:before="120"/>
      </w:pPr>
      <w:r>
        <w:t xml:space="preserve">Con riferimento ai dipendenti iscritti a Fondi di previdenza il comando di utilità </w:t>
      </w:r>
      <w:r>
        <w:rPr>
          <w:b/>
        </w:rPr>
        <w:t>TRAFPC</w:t>
      </w:r>
      <w:r>
        <w:t xml:space="preserve"> è stato implementato al fine di sostituire in maniera massiva il codice fondo e categoria presenti nell’anagrafica del dipendente (scheda “</w:t>
      </w:r>
      <w:r>
        <w:rPr>
          <w:i/>
        </w:rPr>
        <w:t>Fondi</w:t>
      </w:r>
      <w:r>
        <w:t xml:space="preserve">” di </w:t>
      </w:r>
      <w:r>
        <w:rPr>
          <w:b/>
        </w:rPr>
        <w:t>DIPE</w:t>
      </w:r>
      <w:r>
        <w:t>) con un codice fondo e categoria selezionato dall’utente.</w:t>
      </w:r>
    </w:p>
    <w:p>
      <w:pPr>
        <w:pStyle w:val="CorpoAltF0"/>
        <w:spacing w:before="60"/>
      </w:pPr>
      <w:r>
        <w:t>A tal fine è stata inserita la nuova scelta “</w:t>
      </w:r>
      <w:r>
        <w:rPr>
          <w:i/>
        </w:rPr>
        <w:t>Cambio fondo di previdenza</w:t>
      </w:r>
      <w:r>
        <w:t>”:</w:t>
      </w:r>
    </w:p>
    <w:p>
      <w:pPr>
        <w:pStyle w:val="CorpoAltF0"/>
        <w:spacing w:before="120"/>
        <w:jc w:val="center"/>
      </w:pPr>
      <w:r>
        <w:rPr>
          <w:noProof/>
        </w:rPr>
        <w:drawing>
          <wp:inline distT="0" distB="0" distL="0" distR="0">
            <wp:extent cx="5040000" cy="1371688"/>
            <wp:effectExtent l="0" t="0" r="0" b="0"/>
            <wp:docPr id="26" name="Immagine 26"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44C487.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40000" cy="1371688"/>
                    </a:xfrm>
                    <a:prstGeom prst="rect">
                      <a:avLst/>
                    </a:prstGeom>
                  </pic:spPr>
                </pic:pic>
              </a:graphicData>
            </a:graphic>
          </wp:inline>
        </w:drawing>
      </w:r>
    </w:p>
    <w:p>
      <w:pPr>
        <w:pStyle w:val="CorpoAltF0"/>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8"/>
        <w:gridCol w:w="7471"/>
      </w:tblGrid>
      <w:tr>
        <w:tc>
          <w:tcPr>
            <w:tcW w:w="2418" w:type="dxa"/>
          </w:tcPr>
          <w:p>
            <w:pPr>
              <w:pStyle w:val="CorpoAltF0"/>
              <w:spacing w:before="60"/>
              <w:rPr>
                <w:i/>
              </w:rPr>
            </w:pPr>
            <w:r>
              <w:rPr>
                <w:i/>
              </w:rPr>
              <w:t>Data variazione storica:</w:t>
            </w:r>
          </w:p>
        </w:tc>
        <w:tc>
          <w:tcPr>
            <w:tcW w:w="7471" w:type="dxa"/>
          </w:tcPr>
          <w:p>
            <w:pPr>
              <w:pStyle w:val="CorpoAltF0"/>
              <w:spacing w:before="60"/>
            </w:pPr>
            <w:r>
              <w:t>alla conferma della scelta in oggetto il programma provvede a creare una variazione storica dell’anagrafica dipendente con data di decorrenza indicata nel suddetto campo;</w:t>
            </w:r>
          </w:p>
          <w:p>
            <w:pPr>
              <w:pStyle w:val="CorpoAltF0"/>
            </w:pPr>
          </w:p>
        </w:tc>
      </w:tr>
      <w:tr>
        <w:tc>
          <w:tcPr>
            <w:tcW w:w="2418" w:type="dxa"/>
          </w:tcPr>
          <w:p>
            <w:pPr>
              <w:pStyle w:val="CorpoAltF0"/>
              <w:rPr>
                <w:i/>
              </w:rPr>
            </w:pPr>
            <w:r>
              <w:rPr>
                <w:i/>
              </w:rPr>
              <w:t>Codice fondo partenza:</w:t>
            </w:r>
          </w:p>
        </w:tc>
        <w:tc>
          <w:tcPr>
            <w:tcW w:w="7471" w:type="dxa"/>
          </w:tcPr>
          <w:p>
            <w:pPr>
              <w:pStyle w:val="CorpoAltF0"/>
            </w:pPr>
            <w:r>
              <w:t>indicare il codice di tabella “</w:t>
            </w:r>
            <w:r>
              <w:rPr>
                <w:i/>
              </w:rPr>
              <w:t>Anagrafica fondi</w:t>
            </w:r>
            <w:r>
              <w:t>” (</w:t>
            </w:r>
            <w:r>
              <w:rPr>
                <w:b/>
              </w:rPr>
              <w:t>TB0801</w:t>
            </w:r>
            <w:r>
              <w:t>) presente all’interno dell’anagrafica dipendente che si intende andare a sostituire;</w:t>
            </w:r>
          </w:p>
          <w:p>
            <w:pPr>
              <w:pStyle w:val="CorpoAltF0"/>
            </w:pPr>
          </w:p>
        </w:tc>
      </w:tr>
      <w:tr>
        <w:tc>
          <w:tcPr>
            <w:tcW w:w="2418" w:type="dxa"/>
          </w:tcPr>
          <w:p>
            <w:pPr>
              <w:pStyle w:val="CorpoAltF0"/>
              <w:rPr>
                <w:i/>
              </w:rPr>
            </w:pPr>
            <w:r>
              <w:rPr>
                <w:i/>
              </w:rPr>
              <w:t>Codice fondo arrivo:</w:t>
            </w:r>
          </w:p>
        </w:tc>
        <w:tc>
          <w:tcPr>
            <w:tcW w:w="7471" w:type="dxa"/>
          </w:tcPr>
          <w:p>
            <w:pPr>
              <w:pStyle w:val="CorpoAltF0"/>
            </w:pPr>
            <w:r>
              <w:t>indicare il codice di tabella “</w:t>
            </w:r>
            <w:r>
              <w:rPr>
                <w:i/>
              </w:rPr>
              <w:t>Anagrafica fondi</w:t>
            </w:r>
            <w:r>
              <w:t>” (</w:t>
            </w:r>
            <w:r>
              <w:rPr>
                <w:b/>
              </w:rPr>
              <w:t>TB0801</w:t>
            </w:r>
            <w:r>
              <w:t>) che andrà a sostituire all’interno della scheda “</w:t>
            </w:r>
            <w:r>
              <w:rPr>
                <w:i/>
              </w:rPr>
              <w:t>Fondi</w:t>
            </w:r>
            <w:r>
              <w:t xml:space="preserve">” di </w:t>
            </w:r>
            <w:r>
              <w:rPr>
                <w:b/>
              </w:rPr>
              <w:t>DIPE</w:t>
            </w:r>
            <w:r>
              <w:t xml:space="preserve"> il codice del fondo indicato nel precedente campo.</w:t>
            </w:r>
          </w:p>
        </w:tc>
      </w:tr>
    </w:tbl>
    <w:p>
      <w:pPr>
        <w:pStyle w:val="CorpoAltF0"/>
      </w:pPr>
    </w:p>
    <w:p>
      <w:pPr>
        <w:pStyle w:val="CorpoAltF0"/>
      </w:pPr>
      <w:r>
        <w:t>Una volta selezionati il fondo di partenza e di arrivo sarà possibile accedere alla funzione “</w:t>
      </w:r>
      <w:r>
        <w:rPr>
          <w:i/>
        </w:rPr>
        <w:t>Opzioni</w:t>
      </w:r>
      <w:r>
        <w:t>” (pulsante</w:t>
      </w:r>
      <w:r>
        <w:rPr>
          <w:i/>
        </w:rPr>
        <w:t xml:space="preserve"> “Funzioni”</w:t>
      </w:r>
      <w:r>
        <w:t>) utile al fine di associare ad ogni categoria (</w:t>
      </w:r>
      <w:r>
        <w:rPr>
          <w:b/>
        </w:rPr>
        <w:t>TB0803</w:t>
      </w:r>
      <w:r>
        <w:t>) rilevata per il fondo di partenza la corrispondente categoria del fondo di arrivo.</w:t>
      </w:r>
    </w:p>
    <w:p>
      <w:pPr>
        <w:pStyle w:val="CorpoAltF0"/>
        <w:spacing w:before="60"/>
      </w:pPr>
      <w:r>
        <w:t xml:space="preserve">Nelle prime tre colonne della funzione in oggetto il programma propone automaticamente tutte le categorie relative al fondo di partenza. </w:t>
      </w:r>
    </w:p>
    <w:p>
      <w:pPr>
        <w:pStyle w:val="CorpoAltF0"/>
        <w:spacing w:before="60"/>
      </w:pPr>
      <w:r>
        <w:t xml:space="preserve">Per ciascuna categoria del fondo di partenza sarà cura dell’utente indicare la corrispondente categoria del fondo di destinazione; a tal fine è disponibile il pulsante </w:t>
      </w:r>
      <w:r>
        <w:rPr>
          <w:b/>
        </w:rPr>
        <w:t>F2</w:t>
      </w:r>
      <w:r>
        <w:t xml:space="preserve"> per visualizzare le categorie presenti </w:t>
      </w:r>
      <w:proofErr w:type="gramStart"/>
      <w:r>
        <w:t>ed</w:t>
      </w:r>
      <w:proofErr w:type="gramEnd"/>
      <w:r>
        <w:t xml:space="preserve"> </w:t>
      </w:r>
      <w:r>
        <w:rPr>
          <w:b/>
        </w:rPr>
        <w:t>F4</w:t>
      </w:r>
      <w:r>
        <w:t xml:space="preserve"> per accedere alla gestione delle stesse:</w:t>
      </w:r>
    </w:p>
    <w:p>
      <w:pPr>
        <w:pStyle w:val="CorpoAltF0"/>
        <w:spacing w:before="120"/>
        <w:jc w:val="center"/>
      </w:pPr>
      <w:r>
        <w:rPr>
          <w:noProof/>
        </w:rPr>
        <w:drawing>
          <wp:inline distT="0" distB="0" distL="0" distR="0">
            <wp:extent cx="5040000" cy="2498037"/>
            <wp:effectExtent l="0" t="0" r="8255" b="0"/>
            <wp:docPr id="27" name="Immagine 27"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4448B5.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40000" cy="2498037"/>
                    </a:xfrm>
                    <a:prstGeom prst="rect">
                      <a:avLst/>
                    </a:prstGeom>
                  </pic:spPr>
                </pic:pic>
              </a:graphicData>
            </a:graphic>
          </wp:inline>
        </w:drawing>
      </w:r>
    </w:p>
    <w:p>
      <w:pPr>
        <w:pStyle w:val="CorpoAltF0"/>
      </w:pPr>
    </w:p>
    <w:p>
      <w:pPr>
        <w:pStyle w:val="Ignora"/>
      </w:pPr>
      <w:r>
        <w:br w:type="page"/>
      </w:r>
    </w:p>
    <w:p>
      <w:pPr>
        <w:pStyle w:val="CorpoAltF0"/>
      </w:pPr>
    </w:p>
    <w:p>
      <w:pPr>
        <w:pStyle w:val="CorpoAltF0"/>
      </w:pPr>
      <w:r>
        <w:t>Alla conferma, per i dipendenti in essere, il programma provvede alla sostituzione del codice fondo e categoria all’interno della scheda “</w:t>
      </w:r>
      <w:r>
        <w:rPr>
          <w:i/>
        </w:rPr>
        <w:t>Fondi</w:t>
      </w:r>
      <w:r>
        <w:t xml:space="preserve">” di </w:t>
      </w:r>
      <w:r>
        <w:rPr>
          <w:b/>
        </w:rPr>
        <w:t>DIPE</w:t>
      </w:r>
      <w:r>
        <w:t>, effettuando, inoltre, la creazione della variazione storica con data di decorrenza indicata al campo “</w:t>
      </w:r>
      <w:r>
        <w:rPr>
          <w:i/>
        </w:rPr>
        <w:t>Data variazione storica</w:t>
      </w:r>
      <w:r>
        <w:t>” e descrizione pari a quella del campo “</w:t>
      </w:r>
      <w:r>
        <w:rPr>
          <w:i/>
        </w:rPr>
        <w:t>Descrizione variazione storica</w:t>
      </w:r>
      <w:r>
        <w:t>” (viene proposta “</w:t>
      </w:r>
      <w:r>
        <w:rPr>
          <w:i/>
        </w:rPr>
        <w:t>Cambio fondo dipendente</w:t>
      </w:r>
      <w:r>
        <w:t>).</w:t>
      </w:r>
    </w:p>
    <w:p>
      <w:pPr>
        <w:pStyle w:val="CorpoAltF0"/>
        <w:spacing w:before="60"/>
      </w:pPr>
      <w:r>
        <w:t>In caso di mancata indicazione del codice categoria di arrivo, all’interno della funzione “</w:t>
      </w:r>
      <w:r>
        <w:rPr>
          <w:i/>
        </w:rPr>
        <w:t>Opzioni</w:t>
      </w:r>
      <w:r>
        <w:t>”, il programma non provvederà alla sostituzione del codice fondo/categoria all’interno dell’anagrafica dipendente.</w:t>
      </w:r>
    </w:p>
    <w:p>
      <w:pPr>
        <w:pStyle w:val="CorpoAltF0"/>
        <w:spacing w:before="60"/>
      </w:pPr>
      <w:r>
        <w:t xml:space="preserve">Si precisa che il programma provvede a sostituire anche gli eventuali codici di tabella </w:t>
      </w:r>
      <w:r>
        <w:rPr>
          <w:b/>
        </w:rPr>
        <w:t>TB0801</w:t>
      </w:r>
      <w:r>
        <w:t xml:space="preserve"> presenti ai campi “</w:t>
      </w:r>
      <w:r>
        <w:rPr>
          <w:i/>
        </w:rPr>
        <w:t>Codice fondo</w:t>
      </w:r>
      <w:r>
        <w:t>” e “</w:t>
      </w:r>
      <w:r>
        <w:rPr>
          <w:i/>
        </w:rPr>
        <w:t xml:space="preserve">F.do </w:t>
      </w:r>
      <w:proofErr w:type="spellStart"/>
      <w:r>
        <w:rPr>
          <w:i/>
        </w:rPr>
        <w:t>ctr</w:t>
      </w:r>
      <w:proofErr w:type="spellEnd"/>
      <w:r>
        <w:rPr>
          <w:i/>
        </w:rPr>
        <w:t>. contrattuale</w:t>
      </w:r>
      <w:r>
        <w:t>” della sezione “</w:t>
      </w:r>
      <w:r>
        <w:rPr>
          <w:i/>
        </w:rPr>
        <w:t>Secondo fondo previdenza per destinazione del solo TFR</w:t>
      </w:r>
      <w:r>
        <w:t>”. Si ricorda che il campo “</w:t>
      </w:r>
      <w:r>
        <w:rPr>
          <w:i/>
        </w:rPr>
        <w:t>Codice fondo</w:t>
      </w:r>
      <w:r>
        <w:t>” della sud</w:t>
      </w:r>
      <w:r>
        <w:t>detta sezione non è oggetto di variazione storica.</w:t>
      </w:r>
    </w:p>
    <w:p>
      <w:pPr>
        <w:pStyle w:val="CorpoAltF0"/>
        <w:spacing w:before="60"/>
      </w:pPr>
      <w:r>
        <w:t>Contestualmente all’esecuzione del comando verrà generata una stampa nella quale saranno riepilogati i dipendenti interessati, includendo anche quelli per i quali il programma non ha effettuato la sostituzione dei codici (mancata indicazione del codice categoria di arrivo), in tal caso in corrispondenza dello specifico dipendente al campo “</w:t>
      </w:r>
      <w:r>
        <w:rPr>
          <w:i/>
        </w:rPr>
        <w:t>Descrizione categoria arrivo</w:t>
      </w:r>
      <w:r>
        <w:t>” verrà esposta la dicitura “</w:t>
      </w:r>
      <w:r>
        <w:rPr>
          <w:i/>
        </w:rPr>
        <w:t>Nessuna variazione</w:t>
      </w:r>
      <w:r>
        <w:t>”:</w:t>
      </w:r>
    </w:p>
    <w:p>
      <w:pPr>
        <w:pStyle w:val="CorpoAltF0"/>
        <w:spacing w:before="120"/>
        <w:jc w:val="center"/>
      </w:pPr>
      <w:r>
        <w:rPr>
          <w:noProof/>
        </w:rPr>
        <w:drawing>
          <wp:inline distT="0" distB="0" distL="0" distR="0">
            <wp:extent cx="5760000" cy="815622"/>
            <wp:effectExtent l="0" t="0" r="0" b="0"/>
            <wp:docPr id="28" name="Immagine 2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505A5E.tmp"/>
                    <pic:cNvPicPr/>
                  </pic:nvPicPr>
                  <pic:blipFill>
                    <a:blip r:embed="rId33">
                      <a:extLst>
                        <a:ext uri="{28A0092B-C50C-407E-A947-70E740481C1C}">
                          <a14:useLocalDpi xmlns:a14="http://schemas.microsoft.com/office/drawing/2010/main" val="0"/>
                        </a:ext>
                      </a:extLst>
                    </a:blip>
                    <a:stretch>
                      <a:fillRect/>
                    </a:stretch>
                  </pic:blipFill>
                  <pic:spPr>
                    <a:xfrm>
                      <a:off x="0" y="0"/>
                      <a:ext cx="5760000" cy="815622"/>
                    </a:xfrm>
                    <a:prstGeom prst="rect">
                      <a:avLst/>
                    </a:prstGeom>
                  </pic:spPr>
                </pic:pic>
              </a:graphicData>
            </a:graphic>
          </wp:inline>
        </w:drawing>
      </w:r>
    </w:p>
    <w:p>
      <w:pPr>
        <w:pStyle w:val="CorpoAltF0"/>
      </w:pPr>
    </w:p>
    <w:p>
      <w:pPr>
        <w:pStyle w:val="CorpoAltF0"/>
      </w:pPr>
    </w:p>
    <w:p>
      <w:pPr>
        <w:pStyle w:val="CorpoAltF0"/>
      </w:pPr>
    </w:p>
    <w:p>
      <w:pPr>
        <w:rPr>
          <w:rFonts w:ascii="Arial" w:hAnsi="Arial"/>
          <w:sz w:val="20"/>
          <w:szCs w:val="20"/>
        </w:rPr>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58"/>
        </w:trPr>
        <w:tc>
          <w:tcPr>
            <w:tcW w:w="6874" w:type="dxa"/>
            <w:tcBorders>
              <w:top w:val="nil"/>
              <w:left w:val="nil"/>
              <w:bottom w:val="single" w:sz="12" w:space="0" w:color="auto"/>
              <w:right w:val="nil"/>
            </w:tcBorders>
            <w:vAlign w:val="center"/>
          </w:tcPr>
          <w:p>
            <w:pPr>
              <w:pStyle w:val="TS-titolo-01"/>
              <w:outlineLvl w:val="0"/>
            </w:pPr>
            <w:bookmarkStart w:id="127" w:name="_Toc497215283"/>
            <w:bookmarkStart w:id="128" w:name="_Toc497216163"/>
            <w:r>
              <w:t>Fondi di previdenza</w:t>
            </w:r>
            <w:bookmarkStart w:id="129" w:name="PREVILOG_pRIAMO"/>
            <w:bookmarkEnd w:id="127"/>
            <w:bookmarkEnd w:id="129"/>
            <w:bookmarkEnd w:id="128"/>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TS-titolo-04"/>
      </w:pPr>
      <w:bookmarkStart w:id="130" w:name="_Toc497215284"/>
      <w:bookmarkStart w:id="131" w:name="_Toc497216164"/>
      <w:r>
        <w:t>Confluenza fondo Prev.i.log in fondo Priamo</w:t>
      </w:r>
      <w:bookmarkEnd w:id="130"/>
      <w:bookmarkEnd w:id="131"/>
      <w:r>
        <w:t xml:space="preserve"> </w:t>
      </w:r>
    </w:p>
    <w:p>
      <w:pPr>
        <w:pStyle w:val="CorpoAltF0"/>
        <w:spacing w:before="120"/>
      </w:pPr>
      <w:r>
        <w:t xml:space="preserve">A far data dal 1 ottobre 2017, in base all’accordo sottoscritto in data 25 gennaio 2017, il Fondo pensione Priamo diviene il fondo di riferimento dei lavoratori delle aziende che applicano i </w:t>
      </w:r>
      <w:proofErr w:type="spellStart"/>
      <w:r>
        <w:t>ccnl</w:t>
      </w:r>
      <w:proofErr w:type="spellEnd"/>
      <w:r>
        <w:t xml:space="preserve"> Agenzie Marittime ed Aeree, Autoscuole, Autotrasporto Merci e Logistica, Porti e Guardie ai Fuochi.</w:t>
      </w:r>
    </w:p>
    <w:p>
      <w:pPr>
        <w:pStyle w:val="CorpoAltF0"/>
        <w:spacing w:before="60"/>
      </w:pPr>
      <w:r>
        <w:t>Per i soli mesi di luglio – agosto – settembre 2017 sarà possibile inviare la lista di contribuzione trimestrale. Dal versamento di competenza ottobre, è necessario procedere con l’invio e versamento con cadenza mensile.</w:t>
      </w:r>
    </w:p>
    <w:p>
      <w:pPr>
        <w:pStyle w:val="CorpoAltF0"/>
        <w:spacing w:before="60"/>
      </w:pPr>
      <w:r>
        <w:t>Per permettere l’adeguamento delle procedure di creazione delle liste di contribuzione è possibile utilizzare il tracciato in uso presso Prev.i.log fino al 31/10/2017.</w:t>
      </w:r>
    </w:p>
    <w:p>
      <w:pPr>
        <w:pStyle w:val="CorpoAltF0"/>
      </w:pPr>
    </w:p>
    <w:p>
      <w:pPr>
        <w:pStyle w:val="CorpoAltF0"/>
      </w:pPr>
      <w:r>
        <w:t xml:space="preserve">In funzione di quanto sopra la procedura </w:t>
      </w:r>
      <w:r>
        <w:rPr>
          <w:b/>
        </w:rPr>
        <w:t>PAGHE</w:t>
      </w:r>
      <w:r>
        <w:t xml:space="preserve"> è stata implementata come di seguito descritto.</w:t>
      </w:r>
    </w:p>
    <w:p>
      <w:pPr>
        <w:pStyle w:val="CorpoAltF0"/>
      </w:pPr>
    </w:p>
    <w:p>
      <w:pPr>
        <w:pStyle w:val="CorpoAltF0"/>
      </w:pPr>
    </w:p>
    <w:p>
      <w:pPr>
        <w:pStyle w:val="TS-titolo-05"/>
      </w:pPr>
      <w:bookmarkStart w:id="132" w:name="_Toc497215285"/>
      <w:bookmarkStart w:id="133" w:name="_Toc497216165"/>
      <w:r>
        <w:t>TRAFPC – Cambio fondo di previdenza</w:t>
      </w:r>
      <w:bookmarkEnd w:id="132"/>
      <w:bookmarkEnd w:id="133"/>
    </w:p>
    <w:p>
      <w:pPr>
        <w:pStyle w:val="CorpoAltF0"/>
        <w:spacing w:before="120"/>
      </w:pPr>
      <w:r>
        <w:t>A seguito della confluenza del Fondo Prev.i.log in Fondo Priamo, la quale non comporta alcuna modifica delle percentuali contributive e del Tfr destinando, sarà necessario sostituire all’interno dell’anagrafica dipendente (scheda “</w:t>
      </w:r>
      <w:r>
        <w:rPr>
          <w:i/>
        </w:rPr>
        <w:t>Fondi</w:t>
      </w:r>
      <w:r>
        <w:t xml:space="preserve">” di </w:t>
      </w:r>
      <w:r>
        <w:rPr>
          <w:b/>
        </w:rPr>
        <w:t>DIPE</w:t>
      </w:r>
      <w:r>
        <w:t>) il codice tabella fondo (</w:t>
      </w:r>
      <w:r>
        <w:rPr>
          <w:b/>
        </w:rPr>
        <w:t>TB0801</w:t>
      </w:r>
      <w:r>
        <w:t>) e categoria (</w:t>
      </w:r>
      <w:r>
        <w:rPr>
          <w:b/>
        </w:rPr>
        <w:t>TB0803</w:t>
      </w:r>
      <w:r>
        <w:t>) relativi al Fondo Prev.i.log con quelle riferite al Fondo Priamo.</w:t>
      </w:r>
    </w:p>
    <w:p>
      <w:pPr>
        <w:pStyle w:val="CorpoAltF0"/>
        <w:spacing w:before="60"/>
      </w:pPr>
      <w:r>
        <w:t>A tal fine sarà possibile utilizzare la scelta “</w:t>
      </w:r>
      <w:r>
        <w:rPr>
          <w:i/>
        </w:rPr>
        <w:t>Cambio fondo di previdenza</w:t>
      </w:r>
      <w:r>
        <w:t xml:space="preserve">” del comando </w:t>
      </w:r>
      <w:r>
        <w:rPr>
          <w:b/>
        </w:rPr>
        <w:t>TRAFPC</w:t>
      </w:r>
      <w:r>
        <w:t xml:space="preserve"> (v. pag. </w:t>
      </w:r>
      <w:r>
        <w:fldChar w:fldCharType="begin"/>
      </w:r>
      <w:r>
        <w:instrText xml:space="preserve"> REF TRAFPC \h  \* MERGEFORMAT </w:instrText>
      </w:r>
      <w:r>
        <w:fldChar w:fldCharType="end"/>
      </w:r>
      <w:r>
        <w:fldChar w:fldCharType="begin"/>
      </w:r>
      <w:r>
        <w:instrText xml:space="preserve"> PAGEREF TRAFPC \h </w:instrText>
      </w:r>
      <w:r>
        <w:fldChar w:fldCharType="separate"/>
      </w:r>
      <w:r>
        <w:rPr>
          <w:noProof/>
        </w:rPr>
        <w:t>22</w:t>
      </w:r>
      <w:r>
        <w:fldChar w:fldCharType="end"/>
      </w:r>
      <w:r>
        <w:t>).</w:t>
      </w:r>
    </w:p>
    <w:p>
      <w:pPr>
        <w:pStyle w:val="CorpoAltF0"/>
        <w:spacing w:before="60"/>
      </w:pPr>
      <w:r>
        <w:t xml:space="preserve">Si precisa che prima di eseguire la suddetta scelta sarà necessario creare nuovi codici tabella </w:t>
      </w:r>
      <w:r>
        <w:rPr>
          <w:b/>
        </w:rPr>
        <w:t>TB0801</w:t>
      </w:r>
      <w:r>
        <w:t xml:space="preserve"> e </w:t>
      </w:r>
      <w:r>
        <w:rPr>
          <w:b/>
        </w:rPr>
        <w:t>TB0803</w:t>
      </w:r>
      <w:r>
        <w:t xml:space="preserve"> relativi al Fondo Priamo, se non già presenti.</w:t>
      </w:r>
    </w:p>
    <w:p>
      <w:pPr>
        <w:pStyle w:val="CorpoAltF0"/>
      </w:pPr>
    </w:p>
    <w:p>
      <w:pPr>
        <w:pStyle w:val="CorpoAltF0"/>
        <w:spacing w:before="120"/>
        <w:rPr>
          <w:b/>
          <w:u w:val="single"/>
        </w:rPr>
      </w:pPr>
      <w:r>
        <w:rPr>
          <w:b/>
          <w:u w:val="single"/>
        </w:rPr>
        <w:t>Utenti CONTRA</w:t>
      </w:r>
    </w:p>
    <w:p>
      <w:pPr>
        <w:pStyle w:val="CorpoAltF0"/>
        <w:spacing w:before="60"/>
      </w:pPr>
      <w:r>
        <w:t>Mediante la versione CONTRA 2017.10.0 sono state fornite le tabelle “</w:t>
      </w:r>
      <w:r>
        <w:rPr>
          <w:i/>
        </w:rPr>
        <w:t>Anagrafica Fondi</w:t>
      </w:r>
      <w:r>
        <w:t>” (</w:t>
      </w:r>
      <w:r>
        <w:rPr>
          <w:b/>
        </w:rPr>
        <w:t>TB0801</w:t>
      </w:r>
      <w:r>
        <w:t>) e “</w:t>
      </w:r>
      <w:r>
        <w:rPr>
          <w:i/>
        </w:rPr>
        <w:t>Categorie Fondi</w:t>
      </w:r>
      <w:r>
        <w:t>” (</w:t>
      </w:r>
      <w:r>
        <w:rPr>
          <w:b/>
        </w:rPr>
        <w:t>TB0803</w:t>
      </w:r>
      <w:r>
        <w:t>) relative al Fondo Priamo.</w:t>
      </w:r>
    </w:p>
    <w:p>
      <w:pPr>
        <w:pStyle w:val="CorpoAltF0"/>
        <w:spacing w:before="60"/>
      </w:pPr>
      <w:r>
        <w:t>Utilizzando la scelta “</w:t>
      </w:r>
      <w:r>
        <w:rPr>
          <w:i/>
        </w:rPr>
        <w:t>Cambio fondo di previdenza</w:t>
      </w:r>
      <w:r>
        <w:t xml:space="preserve">” di </w:t>
      </w:r>
      <w:r>
        <w:rPr>
          <w:b/>
        </w:rPr>
        <w:t>TRAFPC</w:t>
      </w:r>
      <w:r>
        <w:t xml:space="preserve"> con riferimento ai suddetti fondi, il programma provvederà automaticamente all’interno della funzione “</w:t>
      </w:r>
      <w:r>
        <w:rPr>
          <w:i/>
        </w:rPr>
        <w:t>Opzioni</w:t>
      </w:r>
      <w:r>
        <w:t>” ad associare i codici categoria (</w:t>
      </w:r>
      <w:r>
        <w:rPr>
          <w:b/>
        </w:rPr>
        <w:t>TB0803</w:t>
      </w:r>
      <w:r>
        <w:t>) relativi al Fondo Prev.i.log con i corrispondenti codici categoria creati per il Fondo Priamo.</w:t>
      </w:r>
    </w:p>
    <w:p>
      <w:pPr>
        <w:pStyle w:val="CorpoAltF0"/>
      </w:pPr>
    </w:p>
    <w:p>
      <w:pPr>
        <w:pStyle w:val="CorpoAltF0"/>
      </w:pPr>
    </w:p>
    <w:p>
      <w:pPr>
        <w:pStyle w:val="TS-titolo-05"/>
      </w:pPr>
      <w:bookmarkStart w:id="134" w:name="_Toc497215286"/>
      <w:bookmarkStart w:id="135" w:name="_Toc497216166"/>
      <w:r>
        <w:t>TELFONDI / STAFONDI – Telematico / stampa distinta di contribuzione</w:t>
      </w:r>
      <w:bookmarkEnd w:id="134"/>
      <w:bookmarkEnd w:id="135"/>
    </w:p>
    <w:p>
      <w:pPr>
        <w:pStyle w:val="CorpoAltF0"/>
        <w:spacing w:before="120"/>
      </w:pPr>
      <w:r>
        <w:t>A partire dalla mensilità di ottobre 2017 la generazione del telematico e la relativa stampa del modello per il Fondo Prev.i.log non sarà più possibile, pertanto procedendo alla generazione del telematico del suddetto fondo il programma provvederà a evidenziare con apposito messaggio la necessità di effettuare l’elaborazione con riferimento al Fondo Priamo.</w:t>
      </w:r>
    </w:p>
    <w:p>
      <w:pPr>
        <w:pStyle w:val="CorpoAltF0"/>
        <w:spacing w:before="60"/>
      </w:pPr>
      <w:r>
        <w:t>Si ricorda che, per attivare la gestione del telematico e la stampa del modello per il Fondo Priamo, sarà cura dell’utente indicare il codice interno associato al Fondo Priamo (cod. 440) all’interno della scheda “</w:t>
      </w:r>
      <w:r>
        <w:rPr>
          <w:i/>
        </w:rPr>
        <w:t>Enti</w:t>
      </w:r>
      <w:r>
        <w:t xml:space="preserve">” di </w:t>
      </w:r>
      <w:r>
        <w:rPr>
          <w:b/>
        </w:rPr>
        <w:t>AZIE</w:t>
      </w:r>
      <w:r>
        <w:t>.</w:t>
      </w:r>
    </w:p>
    <w:p>
      <w:pPr>
        <w:pStyle w:val="CorpoAltF0"/>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58"/>
        </w:trPr>
        <w:tc>
          <w:tcPr>
            <w:tcW w:w="6874" w:type="dxa"/>
            <w:tcBorders>
              <w:top w:val="nil"/>
              <w:left w:val="nil"/>
              <w:bottom w:val="single" w:sz="12" w:space="0" w:color="auto"/>
              <w:right w:val="nil"/>
            </w:tcBorders>
            <w:vAlign w:val="center"/>
          </w:tcPr>
          <w:p>
            <w:pPr>
              <w:pStyle w:val="TS-titolo-01"/>
              <w:outlineLvl w:val="0"/>
            </w:pPr>
            <w:bookmarkStart w:id="136" w:name="_Toc497215661"/>
            <w:bookmarkStart w:id="137" w:name="_Toc497216167"/>
            <w:r>
              <w:t>Utility e funzioni varie</w:t>
            </w:r>
            <w:bookmarkEnd w:id="136"/>
            <w:bookmarkEnd w:id="137"/>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rPr>
          <w:sz w:val="10"/>
          <w:szCs w:val="1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bookmarkStart w:id="138" w:name="IMPWEL"/>
            <w:bookmarkEnd w:id="138"/>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139" w:name="_Toc497215662"/>
            <w:bookmarkStart w:id="140" w:name="_Toc497216168"/>
            <w:r>
              <w:t>IMPWEL</w:t>
            </w:r>
            <w:bookmarkEnd w:id="139"/>
            <w:bookmarkEnd w:id="140"/>
          </w:p>
        </w:tc>
      </w:tr>
    </w:tbl>
    <w:p>
      <w:pPr>
        <w:pStyle w:val="TS-titolo-04"/>
      </w:pPr>
      <w:bookmarkStart w:id="141" w:name="_Hlk497145588"/>
      <w:bookmarkStart w:id="142" w:name="_Toc497215663"/>
      <w:bookmarkStart w:id="143" w:name="_Toc497216169"/>
      <w:r>
        <w:t xml:space="preserve">Importazione Welfare aziendale da file </w:t>
      </w:r>
      <w:proofErr w:type="spellStart"/>
      <w:r>
        <w:t>csv</w:t>
      </w:r>
      <w:bookmarkEnd w:id="142"/>
      <w:bookmarkEnd w:id="143"/>
      <w:proofErr w:type="spellEnd"/>
      <w:r>
        <w:t xml:space="preserve"> </w:t>
      </w:r>
    </w:p>
    <w:bookmarkEnd w:id="141"/>
    <w:p>
      <w:pPr>
        <w:pStyle w:val="CorpoAltF0"/>
        <w:spacing w:before="120"/>
      </w:pPr>
      <w:r>
        <w:t xml:space="preserve">Il comando </w:t>
      </w:r>
      <w:r>
        <w:rPr>
          <w:b/>
        </w:rPr>
        <w:t>IMPWEL</w:t>
      </w:r>
      <w:r>
        <w:t xml:space="preserve"> è stato implementato con l’inserimento del campo “</w:t>
      </w:r>
      <w:r>
        <w:rPr>
          <w:b/>
          <w:i/>
        </w:rPr>
        <w:t>Salta la riga di intestazione</w:t>
      </w:r>
      <w:r>
        <w:t>”, utile al fine di consentire l’importazione, o meno, dei dati presenti nel primo rigo del file selezionato al campo “</w:t>
      </w:r>
      <w:r>
        <w:rPr>
          <w:i/>
        </w:rPr>
        <w:t>File da importare</w:t>
      </w:r>
      <w:r>
        <w:t>”:</w:t>
      </w:r>
    </w:p>
    <w:p>
      <w:pPr>
        <w:pStyle w:val="CorpoAltF0"/>
        <w:spacing w:before="120"/>
        <w:jc w:val="center"/>
      </w:pPr>
      <w:r>
        <w:rPr>
          <w:noProof/>
        </w:rPr>
        <w:drawing>
          <wp:inline distT="0" distB="0" distL="0" distR="0">
            <wp:extent cx="5040000" cy="2218301"/>
            <wp:effectExtent l="0" t="0" r="0" b="0"/>
            <wp:docPr id="29" name="Immagine 29"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44A430.tmp"/>
                    <pic:cNvPicPr/>
                  </pic:nvPicPr>
                  <pic:blipFill>
                    <a:blip r:embed="rId34">
                      <a:extLst>
                        <a:ext uri="{28A0092B-C50C-407E-A947-70E740481C1C}">
                          <a14:useLocalDpi xmlns:a14="http://schemas.microsoft.com/office/drawing/2010/main" val="0"/>
                        </a:ext>
                      </a:extLst>
                    </a:blip>
                    <a:stretch>
                      <a:fillRect/>
                    </a:stretch>
                  </pic:blipFill>
                  <pic:spPr>
                    <a:xfrm>
                      <a:off x="0" y="0"/>
                      <a:ext cx="5040000" cy="2218301"/>
                    </a:xfrm>
                    <a:prstGeom prst="rect">
                      <a:avLst/>
                    </a:prstGeom>
                  </pic:spPr>
                </pic:pic>
              </a:graphicData>
            </a:graphic>
          </wp:inline>
        </w:drawing>
      </w:r>
    </w:p>
    <w:p>
      <w:pPr>
        <w:pStyle w:val="CorpoAltF0"/>
      </w:pPr>
    </w:p>
    <w:p>
      <w:pPr>
        <w:pStyle w:val="CorpoAltF0"/>
      </w:pPr>
      <w:r>
        <w:t xml:space="preserve">Contrassegnando il campo in oggetto il programma non importerà i dati presenti nella prima riga del file </w:t>
      </w:r>
      <w:proofErr w:type="spellStart"/>
      <w:r>
        <w:t>csv</w:t>
      </w:r>
      <w:proofErr w:type="spellEnd"/>
      <w:r>
        <w:t xml:space="preserve"> selezionato.</w:t>
      </w:r>
    </w:p>
    <w:p>
      <w:pPr>
        <w:pStyle w:val="CorpoAltF0"/>
        <w:spacing w:before="60"/>
      </w:pPr>
      <w:r>
        <w:t xml:space="preserve">In fase di conversione tale campo verrà automaticamente valorizzato all’interno dei codici parametrizzazione presenti in archivio, in quanto, in precedenza il programma provvedeva a escludere automaticamente dall’importazione i dati presenti nella prima riga del file </w:t>
      </w:r>
      <w:proofErr w:type="spellStart"/>
      <w:r>
        <w:t>csv</w:t>
      </w:r>
      <w:proofErr w:type="spellEnd"/>
      <w:r>
        <w:t>.</w:t>
      </w:r>
    </w:p>
    <w:p>
      <w:pPr>
        <w:pStyle w:val="CorpoAltF0"/>
        <w:spacing w:before="120"/>
      </w:pPr>
      <w:r>
        <w:t>Inoltre, con riferimento alla transcodifica dei codici detrazione CU e deduzione CU il programma è stato modificato al fine di non segnalare mediante l’icona di avvertimento (</w:t>
      </w:r>
      <w:r>
        <w:rPr>
          <w:noProof/>
        </w:rPr>
        <w:drawing>
          <wp:inline distT="0" distB="0" distL="0" distR="0">
            <wp:extent cx="180000" cy="163638"/>
            <wp:effectExtent l="0" t="0" r="0" b="0"/>
            <wp:docPr id="30" name="Immagine 30"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14DC64.tmp"/>
                    <pic:cNvPicPr/>
                  </pic:nvPicPr>
                  <pic:blipFill>
                    <a:blip r:embed="rId35">
                      <a:extLst>
                        <a:ext uri="{28A0092B-C50C-407E-A947-70E740481C1C}">
                          <a14:useLocalDpi xmlns:a14="http://schemas.microsoft.com/office/drawing/2010/main" val="0"/>
                        </a:ext>
                      </a:extLst>
                    </a:blip>
                    <a:stretch>
                      <a:fillRect/>
                    </a:stretch>
                  </pic:blipFill>
                  <pic:spPr>
                    <a:xfrm>
                      <a:off x="0" y="0"/>
                      <a:ext cx="180000" cy="163638"/>
                    </a:xfrm>
                    <a:prstGeom prst="rect">
                      <a:avLst/>
                    </a:prstGeom>
                  </pic:spPr>
                </pic:pic>
              </a:graphicData>
            </a:graphic>
          </wp:inline>
        </w:drawing>
      </w:r>
      <w:r>
        <w:t>) il caso in cui risultino presenti dei valori da importare convertiti con valore “0” (zero).</w:t>
      </w:r>
    </w:p>
    <w:p>
      <w:pPr>
        <w:pStyle w:val="CorpoAltF0"/>
      </w:pPr>
    </w:p>
    <w:sectPr>
      <w:headerReference w:type="default" r:id="rId36"/>
      <w:footerReference w:type="default" r:id="rId37"/>
      <w:pgSz w:w="11907" w:h="16840" w:code="9"/>
      <w:pgMar w:top="567" w:right="992" w:bottom="1134" w:left="1134" w:header="397" w:footer="397" w:gutter="0"/>
      <w:pgNumType w:chapStyle="1" w:chapSep="period"/>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CorpoAltF0"/>
      <w:jc w:val="center"/>
      <w:rPr>
        <w:sz w:val="10"/>
        <w:szCs w:val="10"/>
      </w:rPr>
    </w:pPr>
    <w:r>
      <w:rPr>
        <w:noProof/>
        <w:sz w:val="10"/>
        <w:szCs w:val="10"/>
      </w:rPr>
      <w:drawing>
        <wp:inline distT="0" distB="0" distL="0" distR="0">
          <wp:extent cx="6120000" cy="360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000" cy="36000"/>
                  </a:xfrm>
                  <a:prstGeom prst="rect">
                    <a:avLst/>
                  </a:prstGeom>
                  <a:noFill/>
                  <a:ln>
                    <a:noFill/>
                  </a:ln>
                </pic:spPr>
              </pic:pic>
            </a:graphicData>
          </a:graphic>
        </wp:inline>
      </w:drawing>
    </w:r>
  </w:p>
  <w:tbl>
    <w:tblPr>
      <w:tblW w:w="9639" w:type="dxa"/>
      <w:jc w:val="center"/>
      <w:tblLayout w:type="fixed"/>
      <w:tblCellMar>
        <w:left w:w="70" w:type="dxa"/>
        <w:right w:w="70" w:type="dxa"/>
      </w:tblCellMar>
      <w:tblLook w:val="0000" w:firstRow="0" w:lastRow="0" w:firstColumn="0" w:lastColumn="0" w:noHBand="0" w:noVBand="0"/>
    </w:tblPr>
    <w:tblGrid>
      <w:gridCol w:w="2977"/>
      <w:gridCol w:w="4961"/>
      <w:gridCol w:w="1701"/>
    </w:tblGrid>
    <w:tr>
      <w:trPr>
        <w:trHeight w:hRule="exact" w:val="567"/>
        <w:jc w:val="center"/>
      </w:trPr>
      <w:tc>
        <w:tcPr>
          <w:tcW w:w="2977" w:type="dxa"/>
          <w:tcMar>
            <w:left w:w="0" w:type="dxa"/>
          </w:tcMar>
          <w:vAlign w:val="center"/>
        </w:tcPr>
        <w:p>
          <w:pPr>
            <w:spacing w:line="240" w:lineRule="atLeast"/>
            <w:ind w:right="360"/>
            <w:rPr>
              <w:rStyle w:val="Numeropagina"/>
              <w:rFonts w:ascii="Courier" w:hAnsi="Courier"/>
              <w:b/>
            </w:rPr>
          </w:pPr>
        </w:p>
      </w:tc>
      <w:tc>
        <w:tcPr>
          <w:tcW w:w="4961" w:type="dxa"/>
        </w:tcPr>
        <w:p>
          <w:pPr>
            <w:spacing w:line="240" w:lineRule="atLeast"/>
            <w:jc w:val="center"/>
            <w:rPr>
              <w:rStyle w:val="Numeropagina"/>
              <w:rFonts w:ascii="Arial" w:hAnsi="Arial" w:cs="Arial"/>
              <w:i/>
              <w:sz w:val="20"/>
            </w:rPr>
          </w:pPr>
          <w:r>
            <w:rPr>
              <w:rStyle w:val="Numeropagina"/>
              <w:rFonts w:ascii="Arial" w:hAnsi="Arial" w:cs="Arial"/>
              <w:i/>
              <w:sz w:val="20"/>
            </w:rPr>
            <w:t>Integrazione alla guida utente</w:t>
          </w:r>
        </w:p>
        <w:p>
          <w:pPr>
            <w:jc w:val="center"/>
            <w:rPr>
              <w:rFonts w:ascii="Arial" w:hAnsi="Arial" w:cs="Arial"/>
              <w:i/>
              <w:sz w:val="20"/>
              <w:szCs w:val="20"/>
            </w:rPr>
          </w:pPr>
          <w:r>
            <w:rPr>
              <w:rFonts w:ascii="Arial" w:hAnsi="Arial" w:cs="Arial"/>
              <w:i/>
              <w:sz w:val="20"/>
              <w:szCs w:val="20"/>
            </w:rPr>
            <w:t>PAGHE 2017.2.2</w:t>
          </w:r>
        </w:p>
      </w:tc>
      <w:tc>
        <w:tcPr>
          <w:tcW w:w="1701" w:type="dxa"/>
        </w:tcPr>
        <w:p>
          <w:pPr>
            <w:spacing w:line="240" w:lineRule="atLeast"/>
            <w:ind w:right="141"/>
            <w:jc w:val="right"/>
            <w:rPr>
              <w:rStyle w:val="Numeropagina"/>
              <w:rFonts w:ascii="Arial" w:hAnsi="Arial" w:cs="Arial"/>
              <w:sz w:val="20"/>
            </w:rPr>
          </w:pPr>
          <w:r>
            <w:rPr>
              <w:rStyle w:val="Numeropagina"/>
              <w:rFonts w:ascii="Arial" w:hAnsi="Arial" w:cs="Arial"/>
              <w:sz w:val="20"/>
            </w:rPr>
            <w:fldChar w:fldCharType="begin"/>
          </w:r>
          <w:r>
            <w:rPr>
              <w:rStyle w:val="Numeropagina"/>
              <w:rFonts w:ascii="Arial" w:hAnsi="Arial" w:cs="Arial"/>
              <w:sz w:val="20"/>
            </w:rPr>
            <w:instrText xml:space="preserve"> PAGE </w:instrText>
          </w:r>
          <w:r>
            <w:rPr>
              <w:rStyle w:val="Numeropagina"/>
              <w:rFonts w:ascii="Arial" w:hAnsi="Arial" w:cs="Arial"/>
              <w:sz w:val="20"/>
            </w:rPr>
            <w:fldChar w:fldCharType="separate"/>
          </w:r>
          <w:r>
            <w:rPr>
              <w:rStyle w:val="Numeropagina"/>
              <w:rFonts w:ascii="Arial" w:hAnsi="Arial" w:cs="Arial"/>
              <w:noProof/>
              <w:sz w:val="20"/>
            </w:rPr>
            <w:t>1</w:t>
          </w:r>
          <w:r>
            <w:rPr>
              <w:rStyle w:val="Numeropagina"/>
              <w:rFonts w:ascii="Arial" w:hAnsi="Arial" w:cs="Arial"/>
              <w:sz w:val="20"/>
            </w:rPr>
            <w:fldChar w:fldCharType="end"/>
          </w:r>
        </w:p>
      </w:tc>
    </w:tr>
  </w:tbl>
  <w:p>
    <w:pPr>
      <w:pStyle w:val="corpoAltF"/>
      <w:rPr>
        <w:sz w:val="10"/>
        <w:szCs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CorpoAltF0"/>
      <w:jc w:val="center"/>
      <w:rPr>
        <w:sz w:val="10"/>
        <w:szCs w:val="10"/>
      </w:rPr>
    </w:pPr>
    <w:r>
      <w:rPr>
        <w:noProof/>
        <w:sz w:val="10"/>
        <w:szCs w:val="10"/>
      </w:rPr>
      <w:drawing>
        <wp:inline distT="0" distB="0" distL="0" distR="0">
          <wp:extent cx="6120000" cy="360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000" cy="36000"/>
                  </a:xfrm>
                  <a:prstGeom prst="rect">
                    <a:avLst/>
                  </a:prstGeom>
                  <a:noFill/>
                  <a:ln>
                    <a:noFill/>
                  </a:ln>
                </pic:spPr>
              </pic:pic>
            </a:graphicData>
          </a:graphic>
        </wp:inline>
      </w:drawing>
    </w:r>
  </w:p>
  <w:tbl>
    <w:tblPr>
      <w:tblW w:w="9639" w:type="dxa"/>
      <w:jc w:val="center"/>
      <w:tblLayout w:type="fixed"/>
      <w:tblCellMar>
        <w:left w:w="70" w:type="dxa"/>
        <w:right w:w="70" w:type="dxa"/>
      </w:tblCellMar>
      <w:tblLook w:val="0000" w:firstRow="0" w:lastRow="0" w:firstColumn="0" w:lastColumn="0" w:noHBand="0" w:noVBand="0"/>
    </w:tblPr>
    <w:tblGrid>
      <w:gridCol w:w="2977"/>
      <w:gridCol w:w="4961"/>
      <w:gridCol w:w="1701"/>
    </w:tblGrid>
    <w:tr>
      <w:trPr>
        <w:trHeight w:hRule="exact" w:val="567"/>
        <w:jc w:val="center"/>
      </w:trPr>
      <w:tc>
        <w:tcPr>
          <w:tcW w:w="2977" w:type="dxa"/>
          <w:tcMar>
            <w:left w:w="0" w:type="dxa"/>
          </w:tcMar>
          <w:vAlign w:val="center"/>
        </w:tcPr>
        <w:p>
          <w:pPr>
            <w:spacing w:line="240" w:lineRule="atLeast"/>
            <w:ind w:right="360"/>
            <w:rPr>
              <w:rStyle w:val="Numeropagina"/>
              <w:rFonts w:ascii="Courier" w:hAnsi="Courier"/>
              <w:b/>
            </w:rPr>
          </w:pPr>
          <w:r>
            <w:rPr>
              <w:rFonts w:ascii="Courier" w:hAnsi="Courier"/>
              <w:b/>
              <w:noProof/>
            </w:rPr>
            <w:drawing>
              <wp:inline distT="0" distB="0" distL="0" distR="0">
                <wp:extent cx="1612800" cy="349200"/>
                <wp:effectExtent l="0" t="0" r="0" b="0"/>
                <wp:docPr id="12" name="Immagine 12"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2800" cy="349200"/>
                        </a:xfrm>
                        <a:prstGeom prst="rect">
                          <a:avLst/>
                        </a:prstGeom>
                        <a:noFill/>
                        <a:ln>
                          <a:noFill/>
                        </a:ln>
                      </pic:spPr>
                    </pic:pic>
                  </a:graphicData>
                </a:graphic>
              </wp:inline>
            </w:drawing>
          </w:r>
        </w:p>
      </w:tc>
      <w:tc>
        <w:tcPr>
          <w:tcW w:w="4961" w:type="dxa"/>
        </w:tcPr>
        <w:p>
          <w:pPr>
            <w:spacing w:line="240" w:lineRule="atLeast"/>
            <w:jc w:val="center"/>
            <w:rPr>
              <w:rStyle w:val="Numeropagina"/>
              <w:rFonts w:ascii="Arial" w:hAnsi="Arial" w:cs="Arial"/>
              <w:i/>
              <w:sz w:val="20"/>
            </w:rPr>
          </w:pPr>
          <w:r>
            <w:rPr>
              <w:rStyle w:val="Numeropagina"/>
              <w:rFonts w:ascii="Arial" w:hAnsi="Arial" w:cs="Arial"/>
              <w:i/>
              <w:sz w:val="20"/>
            </w:rPr>
            <w:t>Integrazione alla guida utente</w:t>
          </w:r>
        </w:p>
        <w:p>
          <w:pPr>
            <w:jc w:val="center"/>
            <w:rPr>
              <w:rFonts w:ascii="Arial" w:hAnsi="Arial" w:cs="Arial"/>
              <w:i/>
              <w:sz w:val="20"/>
              <w:szCs w:val="20"/>
            </w:rPr>
          </w:pPr>
          <w:r>
            <w:rPr>
              <w:rFonts w:ascii="Arial" w:hAnsi="Arial" w:cs="Arial"/>
              <w:i/>
              <w:sz w:val="20"/>
              <w:szCs w:val="20"/>
            </w:rPr>
            <w:t>PAGHE 2017.2.2</w:t>
          </w:r>
        </w:p>
      </w:tc>
      <w:tc>
        <w:tcPr>
          <w:tcW w:w="1701" w:type="dxa"/>
        </w:tcPr>
        <w:p>
          <w:pPr>
            <w:spacing w:line="240" w:lineRule="atLeast"/>
            <w:ind w:right="213"/>
            <w:jc w:val="right"/>
            <w:rPr>
              <w:rStyle w:val="Numeropagina"/>
              <w:rFonts w:ascii="Arial" w:hAnsi="Arial" w:cs="Arial"/>
              <w:sz w:val="20"/>
            </w:rPr>
          </w:pPr>
          <w:r>
            <w:rPr>
              <w:rStyle w:val="Numeropagina"/>
              <w:rFonts w:ascii="Arial" w:hAnsi="Arial" w:cs="Arial"/>
              <w:sz w:val="20"/>
            </w:rPr>
            <w:fldChar w:fldCharType="begin"/>
          </w:r>
          <w:r>
            <w:rPr>
              <w:rStyle w:val="Numeropagina"/>
              <w:rFonts w:ascii="Arial" w:hAnsi="Arial" w:cs="Arial"/>
              <w:sz w:val="20"/>
            </w:rPr>
            <w:instrText xml:space="preserve"> PAGE </w:instrText>
          </w:r>
          <w:r>
            <w:rPr>
              <w:rStyle w:val="Numeropagina"/>
              <w:rFonts w:ascii="Arial" w:hAnsi="Arial" w:cs="Arial"/>
              <w:sz w:val="20"/>
            </w:rPr>
            <w:fldChar w:fldCharType="separate"/>
          </w:r>
          <w:r>
            <w:rPr>
              <w:rStyle w:val="Numeropagina"/>
              <w:rFonts w:ascii="Arial" w:hAnsi="Arial" w:cs="Arial"/>
              <w:noProof/>
              <w:sz w:val="20"/>
            </w:rPr>
            <w:t>2</w:t>
          </w:r>
          <w:r>
            <w:rPr>
              <w:rStyle w:val="Numeropagina"/>
              <w:rFonts w:ascii="Arial" w:hAnsi="Arial" w:cs="Arial"/>
              <w:sz w:val="20"/>
            </w:rPr>
            <w:fldChar w:fldCharType="end"/>
          </w:r>
        </w:p>
        <w:p>
          <w:pPr>
            <w:spacing w:line="240" w:lineRule="atLeast"/>
            <w:jc w:val="right"/>
            <w:rPr>
              <w:rStyle w:val="Numeropagina"/>
              <w:rFonts w:ascii="Arial" w:hAnsi="Arial" w:cs="Arial"/>
              <w:sz w:val="20"/>
            </w:rPr>
          </w:pPr>
          <w:r>
            <w:rPr>
              <w:rStyle w:val="Numeropagina"/>
              <w:rFonts w:ascii="Arial" w:hAnsi="Arial" w:cs="Arial"/>
              <w:sz w:val="20"/>
            </w:rPr>
          </w:r>
          <w:r>
            <w:rPr>
              <w:rStyle w:val="Numeropagina"/>
              <w:rFonts w:ascii="Arial" w:hAnsi="Arial" w:cs="Arial"/>
              <w:sz w:val="20"/>
            </w:rPr>
            <w:pict>
              <v:roundrect id="AutoShape 1" o:spid="_x0000_s2049" style="width:68.6pt;height:12.45pt;visibility:visible;mso-left-percent:-10001;mso-top-percent:-10001;mso-position-horizontal:absolute;mso-position-horizontal-relative:char;mso-position-vertical:absolute;mso-position-vertical-relative:line;mso-left-percent:-10001;mso-top-percent:-10001" arcsize="10923f" filled="f" fillcolor="#365f91" strokecolor="#365f91 [2404]">
                <v:textbox style="mso-next-textbox:#AutoShape 1" inset=",.3mm,,.3mm">
                  <w:txbxContent>
                    <w:p>
                      <w:pPr>
                        <w:jc w:val="center"/>
                        <w:rPr>
                          <w:rFonts w:ascii="Verdana" w:hAnsi="Verdana"/>
                          <w:b/>
                          <w:color w:val="365F91"/>
                          <w:sz w:val="12"/>
                          <w:szCs w:val="12"/>
                        </w:rPr>
                      </w:pPr>
                      <w:hyperlink w:anchor="INDICE" w:history="1">
                        <w:r>
                          <w:rPr>
                            <w:rStyle w:val="Collegamentoipertestuale"/>
                            <w:rFonts w:ascii="Verdana" w:hAnsi="Verdana"/>
                            <w:b/>
                            <w:color w:val="365F91"/>
                            <w:sz w:val="12"/>
                            <w:szCs w:val="12"/>
                          </w:rPr>
                          <w:t>Torna all’indice</w:t>
                        </w:r>
                      </w:hyperlink>
                    </w:p>
                  </w:txbxContent>
                </v:textbox>
                <w10:wrap type="none"/>
                <w10:anchorlock/>
              </v:roundrect>
            </w:pict>
          </w:r>
        </w:p>
      </w:tc>
    </w:tr>
  </w:tbl>
  <w:p>
    <w:pPr>
      <w:pStyle w:val="corpoAltF"/>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35"/>
      <w:gridCol w:w="4663"/>
      <w:gridCol w:w="2141"/>
    </w:tblGrid>
    <w:tr>
      <w:trPr>
        <w:cantSplit/>
      </w:trPr>
      <w:tc>
        <w:tcPr>
          <w:tcW w:w="2835" w:type="dxa"/>
          <w:tcBorders>
            <w:top w:val="nil"/>
            <w:left w:val="nil"/>
            <w:bottom w:val="single" w:sz="4" w:space="0" w:color="auto"/>
            <w:right w:val="nil"/>
          </w:tcBorders>
        </w:tcPr>
        <w:p>
          <w:pPr>
            <w:pStyle w:val="Intestazione"/>
            <w:spacing w:before="20"/>
            <w:rPr>
              <w:rFonts w:ascii="Courier" w:hAnsi="Courier"/>
              <w:b/>
            </w:rPr>
          </w:pPr>
          <w:r>
            <w:rPr>
              <w:rFonts w:ascii="Courier" w:hAnsi="Courier"/>
              <w:b/>
              <w:noProof/>
            </w:rPr>
            <w:drawing>
              <wp:inline distT="0" distB="0" distL="0" distR="0">
                <wp:extent cx="1693545" cy="367030"/>
                <wp:effectExtent l="0" t="0" r="1905" b="0"/>
                <wp:docPr id="10" name="Immagine 10"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3545" cy="367030"/>
                        </a:xfrm>
                        <a:prstGeom prst="rect">
                          <a:avLst/>
                        </a:prstGeom>
                        <a:noFill/>
                        <a:ln>
                          <a:noFill/>
                        </a:ln>
                      </pic:spPr>
                    </pic:pic>
                  </a:graphicData>
                </a:graphic>
              </wp:inline>
            </w:drawing>
          </w:r>
        </w:p>
      </w:tc>
      <w:tc>
        <w:tcPr>
          <w:tcW w:w="4663" w:type="dxa"/>
          <w:tcBorders>
            <w:top w:val="nil"/>
            <w:left w:val="nil"/>
            <w:bottom w:val="single" w:sz="4" w:space="0" w:color="auto"/>
            <w:right w:val="nil"/>
          </w:tcBorders>
          <w:vAlign w:val="bottom"/>
        </w:tcPr>
        <w:p>
          <w:pPr>
            <w:pStyle w:val="Intestazione"/>
            <w:jc w:val="center"/>
            <w:rPr>
              <w:rFonts w:ascii="Arial" w:hAnsi="Arial" w:cs="Arial"/>
              <w:b/>
              <w:bCs/>
              <w:sz w:val="18"/>
            </w:rPr>
          </w:pPr>
          <w:r>
            <w:rPr>
              <w:rFonts w:ascii="Arial" w:hAnsi="Arial" w:cs="Arial"/>
              <w:b/>
              <w:bCs/>
              <w:color w:val="000080"/>
            </w:rPr>
            <w:t>NOTE OPERATIVE DI RELEASE</w:t>
          </w:r>
        </w:p>
      </w:tc>
      <w:tc>
        <w:tcPr>
          <w:tcW w:w="2141" w:type="dxa"/>
          <w:tcBorders>
            <w:top w:val="nil"/>
            <w:left w:val="nil"/>
            <w:bottom w:val="single" w:sz="4" w:space="0" w:color="auto"/>
            <w:right w:val="nil"/>
          </w:tcBorders>
          <w:vAlign w:val="bottom"/>
        </w:tcPr>
        <w:p>
          <w:pPr>
            <w:pStyle w:val="Intestazione"/>
            <w:jc w:val="right"/>
            <w:rPr>
              <w:rFonts w:ascii="Arial" w:hAnsi="Arial" w:cs="Arial"/>
            </w:rPr>
          </w:pPr>
        </w:p>
      </w:tc>
    </w:tr>
    <w:tr>
      <w:trPr>
        <w:cantSplit/>
      </w:trPr>
      <w:tc>
        <w:tcPr>
          <w:tcW w:w="9639" w:type="dxa"/>
          <w:gridSpan w:val="3"/>
          <w:tcBorders>
            <w:top w:val="single" w:sz="4" w:space="0" w:color="auto"/>
            <w:left w:val="nil"/>
            <w:bottom w:val="nil"/>
            <w:right w:val="nil"/>
          </w:tcBorders>
          <w:vAlign w:val="bottom"/>
        </w:tcPr>
        <w:p>
          <w:pPr>
            <w:pStyle w:val="Intestazione"/>
            <w:jc w:val="center"/>
            <w:rPr>
              <w:rFonts w:ascii="Arial" w:hAnsi="Arial" w:cs="Arial"/>
              <w:color w:val="000080"/>
              <w:sz w:val="12"/>
            </w:rPr>
          </w:pPr>
        </w:p>
        <w:p>
          <w:pPr>
            <w:pStyle w:val="Intestazione"/>
            <w:jc w:val="center"/>
            <w:rPr>
              <w:rFonts w:ascii="Arial" w:hAnsi="Arial" w:cs="Arial"/>
              <w:color w:val="000080"/>
              <w:sz w:val="16"/>
            </w:rPr>
          </w:pPr>
          <w:r>
            <w:rPr>
              <w:rFonts w:ascii="Arial" w:hAnsi="Arial" w:cs="Arial"/>
              <w:color w:val="000080"/>
              <w:sz w:val="16"/>
            </w:rPr>
            <w:t>Il presente documento costituisce un’integrazione al manuale utente del prodotto ed evidenzia le variazioni apportate con la release.</w:t>
          </w:r>
        </w:p>
        <w:p>
          <w:pPr>
            <w:pStyle w:val="Intestazione"/>
            <w:rPr>
              <w:rFonts w:ascii="Arial" w:hAnsi="Arial" w:cs="Arial"/>
              <w:b/>
              <w:bCs/>
              <w:color w:val="000080"/>
              <w:sz w:val="10"/>
              <w:szCs w:val="10"/>
            </w:rPr>
          </w:pPr>
        </w:p>
      </w:tc>
    </w:tr>
  </w:tbl>
  <w:p>
    <w:pPr>
      <w:pStyle w:val="CorpoAltF0"/>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70" w:type="dxa"/>
      <w:tblBorders>
        <w:bottom w:val="single" w:sz="12" w:space="0" w:color="auto"/>
      </w:tblBorders>
      <w:tblCellMar>
        <w:left w:w="70" w:type="dxa"/>
        <w:right w:w="70" w:type="dxa"/>
      </w:tblCellMar>
      <w:tblLook w:val="0000" w:firstRow="0" w:lastRow="0" w:firstColumn="0" w:lastColumn="0" w:noHBand="0" w:noVBand="0"/>
    </w:tblPr>
    <w:tblGrid>
      <w:gridCol w:w="9639"/>
    </w:tblGrid>
    <w:tr>
      <w:trPr>
        <w:trHeight w:hRule="exact" w:val="567"/>
      </w:trPr>
      <w:tc>
        <w:tcPr>
          <w:tcW w:w="9639" w:type="dxa"/>
        </w:tcPr>
        <w:p>
          <w:pPr>
            <w:pStyle w:val="TS-testata-01"/>
            <w:tabs>
              <w:tab w:val="clear" w:pos="9638"/>
            </w:tabs>
            <w:rPr>
              <w:b w:val="0"/>
              <w:color w:val="FFFFFF"/>
              <w:sz w:val="32"/>
            </w:rPr>
          </w:pPr>
          <w:r>
            <w:t>PAGHE – IMPLEMENTAZIONI</w:t>
          </w:r>
        </w:p>
      </w:tc>
    </w:tr>
  </w:tbl>
  <w:p>
    <w:pPr>
      <w:pStyle w:val="corpoAltF"/>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singleLevel"/>
    <w:tmpl w:val="00000006"/>
    <w:name w:val="WW8Num14"/>
    <w:lvl w:ilvl="0">
      <w:start w:val="1"/>
      <w:numFmt w:val="bullet"/>
      <w:lvlText w:val=""/>
      <w:lvlJc w:val="left"/>
      <w:pPr>
        <w:tabs>
          <w:tab w:val="num" w:pos="0"/>
        </w:tabs>
        <w:ind w:left="890" w:hanging="360"/>
      </w:pPr>
      <w:rPr>
        <w:rFonts w:ascii="Wingdings" w:hAnsi="Wingdings" w:cs="Wingdings" w:hint="default"/>
      </w:rPr>
    </w:lvl>
  </w:abstractNum>
  <w:abstractNum w:abstractNumId="1" w15:restartNumberingAfterBreak="0">
    <w:nsid w:val="00000007"/>
    <w:multiLevelType w:val="singleLevel"/>
    <w:tmpl w:val="00000007"/>
    <w:name w:val="WW8Num18"/>
    <w:lvl w:ilvl="0">
      <w:start w:val="1"/>
      <w:numFmt w:val="bullet"/>
      <w:lvlText w:val=""/>
      <w:lvlJc w:val="left"/>
      <w:pPr>
        <w:tabs>
          <w:tab w:val="num" w:pos="757"/>
        </w:tabs>
        <w:ind w:left="757" w:hanging="284"/>
      </w:pPr>
      <w:rPr>
        <w:rFonts w:ascii="Wingdings" w:hAnsi="Wingdings" w:cs="Wingdings" w:hint="default"/>
      </w:rPr>
    </w:lvl>
  </w:abstractNum>
  <w:abstractNum w:abstractNumId="2" w15:restartNumberingAfterBreak="0">
    <w:nsid w:val="00864790"/>
    <w:multiLevelType w:val="hybridMultilevel"/>
    <w:tmpl w:val="52F4E92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1391482"/>
    <w:multiLevelType w:val="hybridMultilevel"/>
    <w:tmpl w:val="D7F8FD70"/>
    <w:lvl w:ilvl="0" w:tplc="0410000B">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4" w15:restartNumberingAfterBreak="0">
    <w:nsid w:val="0B8524E5"/>
    <w:multiLevelType w:val="hybridMultilevel"/>
    <w:tmpl w:val="4EF43BB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0E0077D"/>
    <w:multiLevelType w:val="hybridMultilevel"/>
    <w:tmpl w:val="6AD2621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5E34DA0"/>
    <w:multiLevelType w:val="hybridMultilevel"/>
    <w:tmpl w:val="BE5A153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800756B"/>
    <w:multiLevelType w:val="multilevel"/>
    <w:tmpl w:val="5F76A6EE"/>
    <w:lvl w:ilvl="0">
      <w:start w:val="1"/>
      <w:numFmt w:val="decimal"/>
      <w:pStyle w:val="Titolo1"/>
      <w:suff w:val="space"/>
      <w:lvlText w:val="%1"/>
      <w:lvlJc w:val="left"/>
      <w:pPr>
        <w:ind w:left="432" w:hanging="432"/>
      </w:pPr>
    </w:lvl>
    <w:lvl w:ilvl="1">
      <w:start w:val="1"/>
      <w:numFmt w:val="decimal"/>
      <w:suff w:val="space"/>
      <w:lvlText w:val="%1.%2"/>
      <w:lvlJc w:val="left"/>
      <w:pPr>
        <w:ind w:left="576" w:hanging="576"/>
      </w:pPr>
    </w:lvl>
    <w:lvl w:ilvl="2">
      <w:start w:val="1"/>
      <w:numFmt w:val="decimal"/>
      <w:suff w:val="space"/>
      <w:lvlText w:val="%1.%2.%3"/>
      <w:lvlJc w:val="left"/>
      <w:pPr>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pStyle w:val="Titolo9"/>
      <w:lvlText w:val="%1.%2.%3.%4.%5.%6.%7.%8.%9"/>
      <w:lvlJc w:val="left"/>
      <w:pPr>
        <w:tabs>
          <w:tab w:val="num" w:pos="1584"/>
        </w:tabs>
        <w:ind w:left="1584" w:hanging="1584"/>
      </w:pPr>
    </w:lvl>
  </w:abstractNum>
  <w:abstractNum w:abstractNumId="8" w15:restartNumberingAfterBreak="0">
    <w:nsid w:val="1B5B21BA"/>
    <w:multiLevelType w:val="hybridMultilevel"/>
    <w:tmpl w:val="7AEE8CC0"/>
    <w:lvl w:ilvl="0" w:tplc="5BA43DD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D6C5FB3"/>
    <w:multiLevelType w:val="hybridMultilevel"/>
    <w:tmpl w:val="5AFCF31C"/>
    <w:lvl w:ilvl="0" w:tplc="0410000B">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0" w15:restartNumberingAfterBreak="0">
    <w:nsid w:val="1F5E2128"/>
    <w:multiLevelType w:val="hybridMultilevel"/>
    <w:tmpl w:val="689C889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3507846"/>
    <w:multiLevelType w:val="hybridMultilevel"/>
    <w:tmpl w:val="C954244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56248E3"/>
    <w:multiLevelType w:val="hybridMultilevel"/>
    <w:tmpl w:val="B1DE40C2"/>
    <w:lvl w:ilvl="0" w:tplc="AD04F37A">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B905EFB"/>
    <w:multiLevelType w:val="hybridMultilevel"/>
    <w:tmpl w:val="046E60BE"/>
    <w:lvl w:ilvl="0" w:tplc="36CE0BCC">
      <w:numFmt w:val="bullet"/>
      <w:lvlText w:val="-"/>
      <w:lvlJc w:val="left"/>
      <w:pPr>
        <w:ind w:left="644" w:hanging="360"/>
      </w:pPr>
      <w:rPr>
        <w:rFonts w:ascii="Arial" w:eastAsia="Times New Roman"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4" w15:restartNumberingAfterBreak="0">
    <w:nsid w:val="2C904B4F"/>
    <w:multiLevelType w:val="hybridMultilevel"/>
    <w:tmpl w:val="E076AD6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FC130D1"/>
    <w:multiLevelType w:val="hybridMultilevel"/>
    <w:tmpl w:val="EE4466A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2385E9D"/>
    <w:multiLevelType w:val="hybridMultilevel"/>
    <w:tmpl w:val="244E316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979035C"/>
    <w:multiLevelType w:val="hybridMultilevel"/>
    <w:tmpl w:val="58FE7F96"/>
    <w:lvl w:ilvl="0" w:tplc="2536E686">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9F41854"/>
    <w:multiLevelType w:val="hybridMultilevel"/>
    <w:tmpl w:val="2EFCD26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03563D2"/>
    <w:multiLevelType w:val="hybridMultilevel"/>
    <w:tmpl w:val="5CFA4876"/>
    <w:lvl w:ilvl="0" w:tplc="0410000B">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0" w15:restartNumberingAfterBreak="0">
    <w:nsid w:val="4ADC22A7"/>
    <w:multiLevelType w:val="hybridMultilevel"/>
    <w:tmpl w:val="853A63E6"/>
    <w:lvl w:ilvl="0" w:tplc="0472CDE0">
      <w:start w:val="1"/>
      <w:numFmt w:val="decimal"/>
      <w:lvlText w:val="%1."/>
      <w:lvlJc w:val="left"/>
      <w:pPr>
        <w:ind w:left="720" w:hanging="360"/>
      </w:pPr>
      <w:rPr>
        <w:rFonts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5072BCA"/>
    <w:multiLevelType w:val="hybridMultilevel"/>
    <w:tmpl w:val="F806AE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30D297B"/>
    <w:multiLevelType w:val="hybridMultilevel"/>
    <w:tmpl w:val="4398950E"/>
    <w:lvl w:ilvl="0" w:tplc="5BA43DD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3140829"/>
    <w:multiLevelType w:val="hybridMultilevel"/>
    <w:tmpl w:val="601211A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32772EA"/>
    <w:multiLevelType w:val="hybridMultilevel"/>
    <w:tmpl w:val="7BA866B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C226D0B"/>
    <w:multiLevelType w:val="hybridMultilevel"/>
    <w:tmpl w:val="FC4E08C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E1072FF"/>
    <w:multiLevelType w:val="hybridMultilevel"/>
    <w:tmpl w:val="DFEC075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7"/>
  </w:num>
  <w:num w:numId="2">
    <w:abstractNumId w:val="15"/>
  </w:num>
  <w:num w:numId="3">
    <w:abstractNumId w:val="22"/>
  </w:num>
  <w:num w:numId="4">
    <w:abstractNumId w:val="21"/>
  </w:num>
  <w:num w:numId="5">
    <w:abstractNumId w:val="20"/>
  </w:num>
  <w:num w:numId="6">
    <w:abstractNumId w:val="2"/>
  </w:num>
  <w:num w:numId="7">
    <w:abstractNumId w:val="11"/>
  </w:num>
  <w:num w:numId="8">
    <w:abstractNumId w:val="9"/>
  </w:num>
  <w:num w:numId="9">
    <w:abstractNumId w:val="17"/>
  </w:num>
  <w:num w:numId="10">
    <w:abstractNumId w:val="14"/>
  </w:num>
  <w:num w:numId="11">
    <w:abstractNumId w:val="8"/>
  </w:num>
  <w:num w:numId="12">
    <w:abstractNumId w:val="24"/>
  </w:num>
  <w:num w:numId="13">
    <w:abstractNumId w:val="23"/>
  </w:num>
  <w:num w:numId="14">
    <w:abstractNumId w:val="25"/>
  </w:num>
  <w:num w:numId="15">
    <w:abstractNumId w:val="13"/>
  </w:num>
  <w:num w:numId="16">
    <w:abstractNumId w:val="3"/>
  </w:num>
  <w:num w:numId="17">
    <w:abstractNumId w:val="19"/>
  </w:num>
  <w:num w:numId="18">
    <w:abstractNumId w:val="5"/>
  </w:num>
  <w:num w:numId="19">
    <w:abstractNumId w:val="18"/>
  </w:num>
  <w:num w:numId="20">
    <w:abstractNumId w:val="26"/>
  </w:num>
  <w:num w:numId="21">
    <w:abstractNumId w:val="4"/>
  </w:num>
  <w:num w:numId="22">
    <w:abstractNumId w:val="12"/>
  </w:num>
  <w:num w:numId="23">
    <w:abstractNumId w:val="6"/>
  </w:num>
  <w:num w:numId="24">
    <w:abstractNumId w:val="16"/>
  </w:num>
  <w:num w:numId="25">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30"/>
  <w:activeWritingStyle w:appName="MSWord" w:lang="it-IT" w:vendorID="3" w:dllVersion="517"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9"/>
  <w:hyphenationZone w:val="283"/>
  <w:drawingGridHorizontalSpacing w:val="181"/>
  <w:drawingGridVerticalSpacing w:val="181"/>
  <w:noPunctuationKerning/>
  <w:characterSpacingControl w:val="doNotCompress"/>
  <w:hdrShapeDefaults>
    <o:shapedefaults v:ext="edit" spidmax="2051" fill="f" fillcolor="white" strokecolor="red">
      <v:fill color="white" on="f"/>
      <v:stroke color="red" weight="1.25pt"/>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f" fillcolor="white" strokecolor="red">
      <v:fill color="white" on="f"/>
      <v:stroke color="red" weight="1.25pt"/>
    </o:shapedefaults>
    <o:shapelayout v:ext="edit">
      <o:idmap v:ext="edit" data="1"/>
    </o:shapelayout>
  </w:shapeDefaults>
  <w:decimalSymbol w:val=","/>
  <w:listSeparator w:val=";"/>
  <w15:docId w15:val="{C0E91E20-DDBA-48EE-A7F0-D580937A9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5">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rPr>
      <w:sz w:val="24"/>
      <w:szCs w:val="24"/>
    </w:rPr>
  </w:style>
  <w:style w:type="paragraph" w:styleId="Titolo1">
    <w:name w:val="heading 1"/>
    <w:basedOn w:val="Normale"/>
    <w:next w:val="Normale"/>
    <w:pPr>
      <w:keepNext/>
      <w:numPr>
        <w:numId w:val="1"/>
      </w:numPr>
      <w:spacing w:after="360" w:line="0" w:lineRule="atLeast"/>
      <w:ind w:left="431" w:hanging="431"/>
      <w:outlineLvl w:val="0"/>
    </w:pPr>
    <w:rPr>
      <w:b/>
      <w:sz w:val="32"/>
      <w:szCs w:val="20"/>
    </w:rPr>
  </w:style>
  <w:style w:type="paragraph" w:styleId="Titolo2">
    <w:name w:val="heading 2"/>
    <w:basedOn w:val="Normale"/>
    <w:next w:val="Normale"/>
    <w:link w:val="Titolo2Carattere"/>
    <w:pPr>
      <w:keepNext/>
      <w:outlineLvl w:val="1"/>
    </w:pPr>
    <w:rPr>
      <w:rFonts w:ascii="Verdana" w:hAnsi="Verdana"/>
      <w:b/>
      <w:bCs/>
      <w:sz w:val="20"/>
    </w:rPr>
  </w:style>
  <w:style w:type="paragraph" w:styleId="Titolo3">
    <w:name w:val="heading 3"/>
    <w:basedOn w:val="Normale"/>
    <w:next w:val="Normale"/>
    <w:pPr>
      <w:keepNext/>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both"/>
      <w:outlineLvl w:val="2"/>
    </w:pPr>
    <w:rPr>
      <w:rFonts w:ascii="Arial" w:hAnsi="Arial" w:cs="Arial"/>
      <w:b/>
      <w:bCs/>
      <w:i/>
      <w:iCs/>
      <w:sz w:val="20"/>
    </w:rPr>
  </w:style>
  <w:style w:type="paragraph" w:styleId="Titolo4">
    <w:name w:val="heading 4"/>
    <w:basedOn w:val="Normale"/>
    <w:next w:val="Normale"/>
    <w:pPr>
      <w:keepNext/>
      <w:autoSpaceDE w:val="0"/>
      <w:autoSpaceDN w:val="0"/>
      <w:adjustRightInd w:val="0"/>
      <w:jc w:val="both"/>
      <w:outlineLvl w:val="3"/>
    </w:pPr>
    <w:rPr>
      <w:rFonts w:ascii="Arial" w:hAnsi="Arial" w:cs="Arial"/>
      <w:b/>
      <w:bCs/>
      <w:sz w:val="20"/>
      <w:szCs w:val="20"/>
    </w:rPr>
  </w:style>
  <w:style w:type="paragraph" w:styleId="Titolo5">
    <w:name w:val="heading 5"/>
    <w:basedOn w:val="Normale"/>
    <w:next w:val="Normale"/>
    <w:pPr>
      <w:spacing w:before="240" w:after="60"/>
      <w:outlineLvl w:val="4"/>
    </w:pPr>
    <w:rPr>
      <w:b/>
      <w:bCs/>
      <w:i/>
      <w:iCs/>
      <w:sz w:val="26"/>
      <w:szCs w:val="26"/>
    </w:rPr>
  </w:style>
  <w:style w:type="paragraph" w:styleId="Titolo6">
    <w:name w:val="heading 6"/>
    <w:basedOn w:val="Normale"/>
    <w:next w:val="Normale"/>
    <w:pPr>
      <w:numPr>
        <w:ilvl w:val="5"/>
        <w:numId w:val="1"/>
      </w:numPr>
      <w:spacing w:before="240" w:after="60"/>
      <w:outlineLvl w:val="5"/>
    </w:pPr>
    <w:rPr>
      <w:i/>
      <w:sz w:val="22"/>
      <w:szCs w:val="20"/>
    </w:rPr>
  </w:style>
  <w:style w:type="paragraph" w:styleId="Titolo7">
    <w:name w:val="heading 7"/>
    <w:basedOn w:val="Normale"/>
    <w:next w:val="Normale"/>
    <w:pPr>
      <w:numPr>
        <w:ilvl w:val="6"/>
        <w:numId w:val="1"/>
      </w:numPr>
      <w:spacing w:before="240" w:after="60"/>
      <w:outlineLvl w:val="6"/>
    </w:pPr>
    <w:rPr>
      <w:rFonts w:ascii="Arial" w:hAnsi="Arial"/>
      <w:sz w:val="20"/>
      <w:szCs w:val="20"/>
    </w:rPr>
  </w:style>
  <w:style w:type="paragraph" w:styleId="Titolo8">
    <w:name w:val="heading 8"/>
    <w:basedOn w:val="Normale"/>
    <w:next w:val="Normale"/>
    <w:pPr>
      <w:numPr>
        <w:ilvl w:val="7"/>
        <w:numId w:val="1"/>
      </w:numPr>
      <w:spacing w:before="240" w:after="60"/>
      <w:outlineLvl w:val="7"/>
    </w:pPr>
    <w:rPr>
      <w:rFonts w:ascii="Arial" w:hAnsi="Arial"/>
      <w:i/>
      <w:sz w:val="20"/>
      <w:szCs w:val="20"/>
    </w:rPr>
  </w:style>
  <w:style w:type="paragraph" w:styleId="Titolo9">
    <w:name w:val="heading 9"/>
    <w:basedOn w:val="Normale"/>
    <w:next w:val="Normale"/>
    <w:pPr>
      <w:numPr>
        <w:ilvl w:val="8"/>
        <w:numId w:val="1"/>
      </w:numPr>
      <w:spacing w:before="240" w:after="60"/>
      <w:outlineLvl w:val="8"/>
    </w:pPr>
    <w:rPr>
      <w:rFonts w:ascii="Arial" w:hAnsi="Arial"/>
      <w:b/>
      <w:i/>
      <w:sz w:val="1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omandoaltC">
    <w:name w:val="Comando(alt+C)"/>
    <w:basedOn w:val="Titolo1"/>
    <w:pPr>
      <w:numPr>
        <w:numId w:val="0"/>
      </w:numPr>
      <w:spacing w:after="0" w:line="240" w:lineRule="auto"/>
    </w:pPr>
    <w:rPr>
      <w:rFonts w:ascii="Arial" w:hAnsi="Arial"/>
    </w:rPr>
  </w:style>
  <w:style w:type="paragraph" w:customStyle="1" w:styleId="Vocedelmenaltu">
    <w:name w:val="Voce del menù(alt+u)"/>
    <w:basedOn w:val="Normale"/>
    <w:pPr>
      <w:tabs>
        <w:tab w:val="num" w:pos="360"/>
      </w:tabs>
      <w:spacing w:before="120" w:after="240" w:line="240" w:lineRule="atLeast"/>
      <w:ind w:left="357" w:hanging="357"/>
      <w:outlineLvl w:val="4"/>
    </w:pPr>
    <w:rPr>
      <w:b/>
      <w:sz w:val="28"/>
      <w:szCs w:val="20"/>
      <w:u w:val="thick"/>
    </w:rPr>
  </w:style>
  <w:style w:type="paragraph" w:customStyle="1" w:styleId="Stile1">
    <w:name w:val="Stile1"/>
    <w:basedOn w:val="Puntoelenco"/>
    <w:pPr>
      <w:tabs>
        <w:tab w:val="num" w:pos="720"/>
      </w:tabs>
      <w:ind w:left="720" w:hanging="360"/>
    </w:pPr>
    <w:rPr>
      <w:rFonts w:cs="Arial"/>
    </w:rPr>
  </w:style>
  <w:style w:type="paragraph" w:styleId="Puntoelenco">
    <w:name w:val="List Bullet"/>
    <w:basedOn w:val="Normale"/>
    <w:autoRedefine/>
    <w:pPr>
      <w:ind w:left="709"/>
      <w:jc w:val="both"/>
    </w:pPr>
    <w:rPr>
      <w:rFonts w:ascii="Arial" w:hAnsi="Arial"/>
      <w:sz w:val="20"/>
      <w:szCs w:val="20"/>
    </w:rPr>
  </w:style>
  <w:style w:type="paragraph" w:customStyle="1" w:styleId="Puntoelenco1">
    <w:name w:val="Punto elenco 1"/>
    <w:basedOn w:val="corpoAltF"/>
    <w:pPr>
      <w:tabs>
        <w:tab w:val="num" w:pos="720"/>
      </w:tabs>
      <w:ind w:left="720" w:hanging="360"/>
    </w:pPr>
  </w:style>
  <w:style w:type="paragraph" w:customStyle="1" w:styleId="corpoAltF">
    <w:name w:val="corpo (Alt+F)"/>
    <w:basedOn w:val="Normale"/>
    <w:link w:val="corpoAltFCarattere"/>
    <w:pPr>
      <w:jc w:val="both"/>
    </w:pPr>
    <w:rPr>
      <w:rFonts w:ascii="Arial" w:hAnsi="Arial" w:cs="Arial"/>
      <w:sz w:val="20"/>
      <w:szCs w:val="20"/>
    </w:rPr>
  </w:style>
  <w:style w:type="paragraph" w:styleId="Intestazione">
    <w:name w:val="header"/>
    <w:basedOn w:val="Normale"/>
    <w:link w:val="IntestazioneCarattere"/>
    <w:pPr>
      <w:tabs>
        <w:tab w:val="center" w:pos="4819"/>
        <w:tab w:val="right" w:pos="9638"/>
      </w:tabs>
    </w:pPr>
    <w:rPr>
      <w:sz w:val="20"/>
      <w:szCs w:val="20"/>
    </w:rPr>
  </w:style>
  <w:style w:type="paragraph" w:customStyle="1" w:styleId="comando">
    <w:name w:val="comando"/>
    <w:basedOn w:val="Normale"/>
    <w:pPr>
      <w:tabs>
        <w:tab w:val="right" w:leader="dot" w:pos="9639"/>
      </w:tabs>
    </w:pPr>
    <w:rPr>
      <w:rFonts w:ascii="Arial" w:hAnsi="Arial"/>
      <w:b/>
      <w:caps/>
    </w:rPr>
  </w:style>
  <w:style w:type="character" w:styleId="Collegamentoipertestuale">
    <w:name w:val="Hyperlink"/>
    <w:uiPriority w:val="99"/>
    <w:rPr>
      <w:color w:val="0000FF"/>
      <w:u w:val="single"/>
    </w:rPr>
  </w:style>
  <w:style w:type="paragraph" w:styleId="Sommario1">
    <w:name w:val="toc 1"/>
    <w:basedOn w:val="Normale"/>
    <w:next w:val="Normale"/>
    <w:autoRedefine/>
    <w:uiPriority w:val="39"/>
    <w:pPr>
      <w:pBdr>
        <w:top w:val="double" w:sz="4" w:space="1" w:color="365F91"/>
        <w:bottom w:val="double" w:sz="4" w:space="0" w:color="365F91"/>
      </w:pBdr>
      <w:shd w:val="clear" w:color="auto" w:fill="365F91"/>
      <w:tabs>
        <w:tab w:val="right" w:leader="dot" w:pos="9629"/>
      </w:tabs>
      <w:spacing w:before="180" w:after="60"/>
    </w:pPr>
    <w:rPr>
      <w:rFonts w:ascii="Arial" w:hAnsi="Arial" w:cs="Arial"/>
      <w:b/>
      <w:noProof/>
      <w:color w:val="FFFFFF"/>
      <w:sz w:val="20"/>
      <w:szCs w:val="40"/>
    </w:rPr>
  </w:style>
  <w:style w:type="paragraph" w:styleId="Sommario4">
    <w:name w:val="toc 4"/>
    <w:basedOn w:val="Normale"/>
    <w:next w:val="Normale"/>
    <w:autoRedefine/>
    <w:uiPriority w:val="39"/>
    <w:pPr>
      <w:tabs>
        <w:tab w:val="left" w:pos="993"/>
        <w:tab w:val="right" w:leader="dot" w:pos="9629"/>
      </w:tabs>
      <w:ind w:left="567"/>
    </w:pPr>
    <w:rPr>
      <w:rFonts w:ascii="Arial" w:hAnsi="Arial" w:cs="Arial"/>
      <w:i/>
      <w:noProof/>
      <w:sz w:val="20"/>
      <w:szCs w:val="20"/>
    </w:rPr>
  </w:style>
  <w:style w:type="paragraph" w:customStyle="1" w:styleId="TS-titolo-01">
    <w:name w:val="TS-titolo-01"/>
    <w:basedOn w:val="Intestazione"/>
    <w:link w:val="TS-titolo-01Carattere"/>
    <w:autoRedefine/>
    <w:qFormat/>
    <w:pPr>
      <w:tabs>
        <w:tab w:val="clear" w:pos="4819"/>
        <w:tab w:val="clear" w:pos="9638"/>
      </w:tabs>
    </w:pPr>
    <w:rPr>
      <w:rFonts w:ascii="Arial" w:hAnsi="Arial" w:cs="Arial"/>
      <w:b/>
      <w:i/>
      <w:sz w:val="28"/>
    </w:rPr>
  </w:style>
  <w:style w:type="paragraph" w:customStyle="1" w:styleId="TS-titolo-02">
    <w:name w:val="TS-titolo-02"/>
    <w:basedOn w:val="Intestazione"/>
    <w:autoRedefine/>
    <w:qFormat/>
    <w:pPr>
      <w:ind w:left="69"/>
      <w:jc w:val="center"/>
    </w:pPr>
    <w:rPr>
      <w:rFonts w:ascii="Arial" w:hAnsi="Arial" w:cs="Arial"/>
      <w:b/>
      <w:color w:val="FFFFFF"/>
      <w:sz w:val="32"/>
    </w:rPr>
  </w:style>
  <w:style w:type="paragraph" w:customStyle="1" w:styleId="TS-titolo-04">
    <w:name w:val="TS-titolo-04"/>
    <w:basedOn w:val="Titolo"/>
    <w:link w:val="TS-titolo-04Carattere"/>
    <w:autoRedefine/>
    <w:qFormat/>
    <w:pPr>
      <w:pBdr>
        <w:top w:val="single" w:sz="4" w:space="0" w:color="auto"/>
      </w:pBdr>
      <w:ind w:left="0"/>
      <w:jc w:val="both"/>
    </w:pPr>
    <w:rPr>
      <w:sz w:val="24"/>
      <w:szCs w:val="24"/>
    </w:rPr>
  </w:style>
  <w:style w:type="paragraph" w:styleId="Titolo">
    <w:name w:val="Title"/>
    <w:basedOn w:val="Normale"/>
    <w:pPr>
      <w:pBdr>
        <w:top w:val="single" w:sz="4" w:space="1" w:color="auto"/>
        <w:bottom w:val="single" w:sz="4" w:space="1" w:color="auto"/>
      </w:pBdr>
      <w:spacing w:before="240" w:after="60"/>
      <w:ind w:left="-284"/>
      <w:outlineLvl w:val="0"/>
    </w:pPr>
    <w:rPr>
      <w:rFonts w:ascii="Arial" w:hAnsi="Arial"/>
      <w:b/>
      <w:kern w:val="28"/>
      <w:sz w:val="32"/>
      <w:szCs w:val="20"/>
    </w:rPr>
  </w:style>
  <w:style w:type="paragraph" w:styleId="Titoloindice">
    <w:name w:val="index heading"/>
    <w:basedOn w:val="Normale"/>
    <w:next w:val="Indice1"/>
    <w:semiHidden/>
    <w:rPr>
      <w:sz w:val="20"/>
      <w:szCs w:val="20"/>
    </w:rPr>
  </w:style>
  <w:style w:type="paragraph" w:styleId="Indice1">
    <w:name w:val="index 1"/>
    <w:basedOn w:val="Normale"/>
    <w:next w:val="Normale"/>
    <w:autoRedefine/>
    <w:semiHidden/>
    <w:pPr>
      <w:ind w:left="200" w:hanging="200"/>
    </w:pPr>
    <w:rPr>
      <w:sz w:val="20"/>
      <w:szCs w:val="20"/>
    </w:rPr>
  </w:style>
  <w:style w:type="paragraph" w:customStyle="1" w:styleId="TS-titolo-03">
    <w:name w:val="TS-titolo-03"/>
    <w:basedOn w:val="Intestazione"/>
    <w:autoRedefine/>
    <w:pPr>
      <w:jc w:val="center"/>
    </w:pPr>
    <w:rPr>
      <w:rFonts w:ascii="Arial" w:hAnsi="Arial" w:cs="Arial"/>
      <w:b/>
      <w:color w:val="000000"/>
      <w:sz w:val="32"/>
    </w:rPr>
  </w:style>
  <w:style w:type="paragraph" w:styleId="Corpodeltesto3">
    <w:name w:val="Body Text 3"/>
    <w:basedOn w:val="Normale"/>
    <w:link w:val="Corpodeltesto3Carattere"/>
    <w:pPr>
      <w:jc w:val="both"/>
    </w:pPr>
    <w:rPr>
      <w:rFonts w:ascii="Arial" w:hAnsi="Arial"/>
      <w:b/>
      <w:sz w:val="20"/>
      <w:szCs w:val="20"/>
    </w:rPr>
  </w:style>
  <w:style w:type="paragraph" w:customStyle="1" w:styleId="Esempi">
    <w:name w:val="Esempi"/>
    <w:basedOn w:val="Normale"/>
    <w:pPr>
      <w:jc w:val="both"/>
    </w:pPr>
    <w:rPr>
      <w:rFonts w:ascii="Arial" w:hAnsi="Arial"/>
      <w:i/>
      <w:sz w:val="20"/>
      <w:szCs w:val="20"/>
    </w:rPr>
  </w:style>
  <w:style w:type="paragraph" w:customStyle="1" w:styleId="Funzionealth">
    <w:name w:val="Funzione(alt+h)"/>
    <w:basedOn w:val="Normale"/>
    <w:link w:val="FunzionealthCarattere1"/>
    <w:pPr>
      <w:tabs>
        <w:tab w:val="right" w:pos="3260"/>
        <w:tab w:val="left" w:pos="3402"/>
      </w:tabs>
      <w:spacing w:before="60"/>
      <w:ind w:left="3402" w:hanging="3402"/>
      <w:jc w:val="both"/>
    </w:pPr>
    <w:rPr>
      <w:rFonts w:ascii="Arial" w:hAnsi="Arial"/>
      <w:i/>
      <w:sz w:val="20"/>
      <w:szCs w:val="20"/>
    </w:rPr>
  </w:style>
  <w:style w:type="paragraph" w:styleId="Testonormale">
    <w:name w:val="Plain Text"/>
    <w:basedOn w:val="Normale"/>
    <w:rPr>
      <w:rFonts w:ascii="Courier New" w:hAnsi="Courier New"/>
      <w:sz w:val="20"/>
      <w:szCs w:val="20"/>
    </w:rPr>
  </w:style>
  <w:style w:type="paragraph" w:styleId="Soggettocommento">
    <w:name w:val="annotation subject"/>
    <w:basedOn w:val="Testocommento"/>
    <w:next w:val="Testocommento"/>
    <w:semiHidden/>
    <w:rPr>
      <w:b/>
      <w:bCs/>
    </w:rPr>
  </w:style>
  <w:style w:type="paragraph" w:styleId="Testocommento">
    <w:name w:val="annotation text"/>
    <w:basedOn w:val="Normale"/>
    <w:semiHidden/>
    <w:rPr>
      <w:sz w:val="20"/>
      <w:szCs w:val="20"/>
    </w:rPr>
  </w:style>
  <w:style w:type="paragraph" w:styleId="Corpodeltesto2">
    <w:name w:val="Body Text 2"/>
    <w:basedOn w:val="Normale"/>
    <w:pPr>
      <w:tabs>
        <w:tab w:val="left" w:pos="567"/>
        <w:tab w:val="left" w:pos="1134"/>
        <w:tab w:val="left" w:pos="2552"/>
      </w:tabs>
    </w:pPr>
    <w:rPr>
      <w:i/>
      <w:sz w:val="18"/>
      <w:szCs w:val="20"/>
    </w:rPr>
  </w:style>
  <w:style w:type="paragraph" w:customStyle="1" w:styleId="corpo">
    <w:name w:val="corpo"/>
    <w:basedOn w:val="Normale"/>
    <w:link w:val="corpoCarattere"/>
    <w:pPr>
      <w:jc w:val="both"/>
    </w:pPr>
    <w:rPr>
      <w:rFonts w:ascii="Arial" w:hAnsi="Arial" w:cs="Arial"/>
      <w:sz w:val="20"/>
      <w:szCs w:val="20"/>
    </w:rPr>
  </w:style>
  <w:style w:type="character" w:styleId="Numeropagina">
    <w:name w:val="page number"/>
    <w:basedOn w:val="Carpredefinitoparagrafo"/>
  </w:style>
  <w:style w:type="paragraph" w:styleId="Pidipagina">
    <w:name w:val="footer"/>
    <w:basedOn w:val="Normale"/>
    <w:pPr>
      <w:tabs>
        <w:tab w:val="center" w:pos="4819"/>
        <w:tab w:val="right" w:pos="9638"/>
      </w:tabs>
    </w:pPr>
    <w:rPr>
      <w:sz w:val="20"/>
      <w:szCs w:val="20"/>
    </w:rPr>
  </w:style>
  <w:style w:type="paragraph" w:customStyle="1" w:styleId="TS-testata-01">
    <w:name w:val="TS-testata-01"/>
    <w:basedOn w:val="Intestazione"/>
    <w:rPr>
      <w:rFonts w:ascii="Arial" w:hAnsi="Arial" w:cs="Arial"/>
      <w:b/>
      <w:i/>
      <w:sz w:val="28"/>
    </w:rPr>
  </w:style>
  <w:style w:type="paragraph" w:styleId="NormaleWeb">
    <w:name w:val="Normal (Web)"/>
    <w:basedOn w:val="Normale"/>
    <w:uiPriority w:val="99"/>
    <w:pPr>
      <w:spacing w:before="100" w:beforeAutospacing="1" w:after="100" w:afterAutospacing="1"/>
    </w:pPr>
  </w:style>
  <w:style w:type="paragraph" w:styleId="Rientrocorpodeltesto2">
    <w:name w:val="Body Text Indent 2"/>
    <w:basedOn w:val="Normale"/>
    <w:pPr>
      <w:ind w:left="180"/>
      <w:jc w:val="both"/>
    </w:pPr>
    <w:rPr>
      <w:rFonts w:ascii="Verdana" w:hAnsi="Verdana" w:cs="Arial"/>
      <w:sz w:val="20"/>
    </w:rPr>
  </w:style>
  <w:style w:type="paragraph" w:styleId="Corpotesto">
    <w:name w:val="Body Text"/>
    <w:basedOn w:val="Normale"/>
    <w:pPr>
      <w:jc w:val="both"/>
    </w:pPr>
    <w:rPr>
      <w:rFonts w:ascii="Verdana" w:hAnsi="Verdana" w:cs="Arial"/>
      <w:sz w:val="20"/>
    </w:rPr>
  </w:style>
  <w:style w:type="paragraph" w:styleId="Sommario8">
    <w:name w:val="toc 8"/>
    <w:basedOn w:val="Normale"/>
    <w:next w:val="Normale"/>
    <w:autoRedefine/>
    <w:semiHidden/>
    <w:pPr>
      <w:ind w:left="1680"/>
    </w:pPr>
  </w:style>
  <w:style w:type="paragraph" w:styleId="Sommario2">
    <w:name w:val="toc 2"/>
    <w:basedOn w:val="Sommario1"/>
    <w:next w:val="Normale"/>
    <w:autoRedefine/>
    <w:uiPriority w:val="39"/>
    <w:pPr>
      <w:pBdr>
        <w:top w:val="single" w:sz="4" w:space="1" w:color="365F91"/>
        <w:bottom w:val="single" w:sz="4" w:space="0" w:color="365F91"/>
      </w:pBdr>
      <w:shd w:val="clear" w:color="auto" w:fill="auto"/>
      <w:spacing w:before="120"/>
      <w:ind w:left="113"/>
    </w:pPr>
    <w:rPr>
      <w:color w:val="auto"/>
    </w:rPr>
  </w:style>
  <w:style w:type="paragraph" w:styleId="Sommario9">
    <w:name w:val="toc 9"/>
    <w:basedOn w:val="Normale"/>
    <w:next w:val="Normale"/>
    <w:autoRedefine/>
    <w:semiHidden/>
    <w:pPr>
      <w:ind w:left="1920"/>
    </w:pPr>
  </w:style>
  <w:style w:type="paragraph" w:styleId="Sommario3">
    <w:name w:val="toc 3"/>
    <w:basedOn w:val="Sommario2"/>
    <w:next w:val="CorpoAltF0"/>
    <w:autoRedefine/>
    <w:uiPriority w:val="39"/>
    <w:pPr>
      <w:pBdr>
        <w:top w:val="none" w:sz="0" w:space="0" w:color="auto"/>
        <w:bottom w:val="none" w:sz="0" w:space="0" w:color="auto"/>
      </w:pBdr>
      <w:shd w:val="clear" w:color="auto" w:fill="D9D9D9"/>
    </w:pPr>
  </w:style>
  <w:style w:type="paragraph" w:styleId="Sommario5">
    <w:name w:val="toc 5"/>
    <w:basedOn w:val="Normale"/>
    <w:next w:val="Normale"/>
    <w:autoRedefine/>
    <w:uiPriority w:val="39"/>
    <w:pPr>
      <w:ind w:left="1134"/>
    </w:pPr>
    <w:rPr>
      <w:rFonts w:ascii="Arial" w:hAnsi="Arial"/>
      <w:i/>
      <w:sz w:val="18"/>
    </w:rPr>
  </w:style>
  <w:style w:type="paragraph" w:customStyle="1" w:styleId="Default">
    <w:name w:val="Default"/>
    <w:pPr>
      <w:autoSpaceDE w:val="0"/>
      <w:autoSpaceDN w:val="0"/>
      <w:adjustRightInd w:val="0"/>
    </w:pPr>
    <w:rPr>
      <w:rFonts w:ascii="Verdana" w:hAnsi="Verdana"/>
    </w:rPr>
  </w:style>
  <w:style w:type="paragraph" w:styleId="Sommario6">
    <w:name w:val="toc 6"/>
    <w:basedOn w:val="Normale"/>
    <w:next w:val="Normale"/>
    <w:autoRedefine/>
    <w:semiHidden/>
    <w:pPr>
      <w:ind w:left="1200"/>
    </w:pPr>
  </w:style>
  <w:style w:type="paragraph" w:styleId="Sommario7">
    <w:name w:val="toc 7"/>
    <w:basedOn w:val="Normale"/>
    <w:next w:val="Normale"/>
    <w:autoRedefine/>
    <w:semiHidden/>
    <w:pPr>
      <w:ind w:left="1440"/>
    </w:pPr>
  </w:style>
  <w:style w:type="character" w:styleId="Enfasigrassetto">
    <w:name w:val="Strong"/>
    <w:uiPriority w:val="22"/>
    <w:qFormat/>
    <w:rPr>
      <w:b/>
      <w:bCs/>
    </w:rPr>
  </w:style>
  <w:style w:type="character" w:styleId="Collegamentovisitato">
    <w:name w:val="FollowedHyperlink"/>
    <w:rPr>
      <w:color w:val="800080"/>
      <w:u w:val="single"/>
    </w:rPr>
  </w:style>
  <w:style w:type="paragraph" w:customStyle="1" w:styleId="TS-titolo-Comando">
    <w:name w:val="TS-titolo-Comando"/>
    <w:basedOn w:val="TS-titolo-01"/>
    <w:qFormat/>
    <w:pPr>
      <w:jc w:val="center"/>
    </w:pPr>
    <w:rPr>
      <w:rFonts w:cs="Times New Roman"/>
      <w:bCs/>
      <w:i w:val="0"/>
      <w:sz w:val="32"/>
    </w:rPr>
  </w:style>
  <w:style w:type="character" w:customStyle="1" w:styleId="corpoAltFCarattere">
    <w:name w:val="corpo (Alt+F) Carattere"/>
    <w:link w:val="corpoAltF"/>
    <w:rPr>
      <w:rFonts w:ascii="Arial" w:hAnsi="Arial" w:cs="Arial"/>
      <w:lang w:val="it-IT" w:eastAsia="it-IT" w:bidi="ar-SA"/>
    </w:rPr>
  </w:style>
  <w:style w:type="paragraph" w:styleId="Indice7">
    <w:name w:val="index 7"/>
    <w:basedOn w:val="Normale"/>
    <w:next w:val="Normale"/>
    <w:autoRedefine/>
    <w:semiHidden/>
    <w:pPr>
      <w:ind w:left="1400" w:hanging="200"/>
    </w:pPr>
    <w:rPr>
      <w:sz w:val="20"/>
      <w:szCs w:val="20"/>
    </w:rPr>
  </w:style>
  <w:style w:type="paragraph" w:customStyle="1" w:styleId="Paragrafoconcampialtp">
    <w:name w:val="Paragrafo con campi (alt+p)"/>
    <w:basedOn w:val="Normale"/>
    <w:pPr>
      <w:spacing w:after="120"/>
      <w:ind w:left="3402" w:hanging="3402"/>
      <w:jc w:val="both"/>
    </w:pPr>
    <w:rPr>
      <w:rFonts w:ascii="Arial" w:hAnsi="Arial"/>
      <w:i/>
      <w:sz w:val="20"/>
      <w:szCs w:val="20"/>
    </w:rPr>
  </w:style>
  <w:style w:type="paragraph" w:customStyle="1" w:styleId="Interlinafra2righeALTA">
    <w:name w:val="Interlina fra 2 righe (ALT+A)"/>
    <w:next w:val="Funzionealth"/>
    <w:pPr>
      <w:spacing w:line="120" w:lineRule="exact"/>
    </w:pPr>
    <w:rPr>
      <w:b/>
      <w:i/>
    </w:rPr>
  </w:style>
  <w:style w:type="paragraph" w:customStyle="1" w:styleId="CorpoCentrato">
    <w:name w:val="Corpo Centrato"/>
    <w:basedOn w:val="corpoAltF"/>
    <w:next w:val="corpoAltF"/>
    <w:pPr>
      <w:jc w:val="center"/>
    </w:pPr>
  </w:style>
  <w:style w:type="paragraph" w:customStyle="1" w:styleId="CorpoSpazioPrima">
    <w:name w:val="Corpo SpazioPrima"/>
    <w:basedOn w:val="corpoAltF"/>
    <w:next w:val="corpoAltF"/>
    <w:link w:val="CorpoSpazioPrimaCarattere"/>
    <w:pPr>
      <w:spacing w:before="120"/>
    </w:pPr>
  </w:style>
  <w:style w:type="paragraph" w:customStyle="1" w:styleId="TS-titolo-05">
    <w:name w:val="TS-titolo-05"/>
    <w:basedOn w:val="Normale"/>
    <w:next w:val="CorpoAltF0"/>
    <w:link w:val="TS-titolo-05Carattere"/>
    <w:qFormat/>
    <w:pPr>
      <w:pBdr>
        <w:top w:val="single" w:sz="4" w:space="1" w:color="auto"/>
        <w:bottom w:val="single" w:sz="4" w:space="1" w:color="auto"/>
      </w:pBdr>
      <w:spacing w:before="240" w:after="60"/>
    </w:pPr>
    <w:rPr>
      <w:rFonts w:ascii="Arial" w:hAnsi="Arial"/>
      <w:sz w:val="20"/>
    </w:rPr>
  </w:style>
  <w:style w:type="table" w:styleId="Grigliatabella">
    <w:name w:val="Table Grid"/>
    <w:basedOn w:val="Tabellanorma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semiHidden/>
    <w:rPr>
      <w:rFonts w:ascii="Tahoma" w:hAnsi="Tahoma" w:cs="Tahoma"/>
      <w:sz w:val="16"/>
      <w:szCs w:val="16"/>
    </w:rPr>
  </w:style>
  <w:style w:type="paragraph" w:customStyle="1" w:styleId="SpazioPrimaAltS">
    <w:name w:val="SpazioPrima (Alt+S)"/>
    <w:basedOn w:val="corpoAltF"/>
    <w:next w:val="corpoAltF"/>
    <w:pPr>
      <w:spacing w:before="120"/>
    </w:pPr>
  </w:style>
  <w:style w:type="character" w:customStyle="1" w:styleId="TS-titolo-05Carattere">
    <w:name w:val="TS-titolo-05 Carattere"/>
    <w:link w:val="TS-titolo-05"/>
    <w:rPr>
      <w:rFonts w:ascii="Arial" w:hAnsi="Arial"/>
      <w:szCs w:val="24"/>
    </w:rPr>
  </w:style>
  <w:style w:type="character" w:customStyle="1" w:styleId="TS-titolo-04Carattere">
    <w:name w:val="TS-titolo-04 Carattere"/>
    <w:link w:val="TS-titolo-04"/>
    <w:rPr>
      <w:rFonts w:ascii="Arial" w:hAnsi="Arial"/>
      <w:b/>
      <w:kern w:val="28"/>
      <w:sz w:val="24"/>
      <w:szCs w:val="24"/>
    </w:rPr>
  </w:style>
  <w:style w:type="character" w:customStyle="1" w:styleId="CorpoSpazioPrimaCarattere">
    <w:name w:val="Corpo SpazioPrima Carattere"/>
    <w:basedOn w:val="corpoAltFCarattere"/>
    <w:link w:val="CorpoSpazioPrima"/>
    <w:rPr>
      <w:rFonts w:ascii="Arial" w:hAnsi="Arial" w:cs="Arial"/>
      <w:lang w:val="it-IT" w:eastAsia="it-IT" w:bidi="ar-SA"/>
    </w:rPr>
  </w:style>
  <w:style w:type="paragraph" w:customStyle="1" w:styleId="testo">
    <w:name w:val="testo"/>
    <w:basedOn w:val="Normale"/>
  </w:style>
  <w:style w:type="character" w:customStyle="1" w:styleId="corpoAltFCarattere1">
    <w:name w:val="corpo (Alt+F) Carattere1"/>
    <w:rPr>
      <w:rFonts w:ascii="Arial" w:hAnsi="Arial" w:cs="Arial"/>
      <w:lang w:val="it-IT" w:eastAsia="it-IT" w:bidi="ar-SA"/>
    </w:rPr>
  </w:style>
  <w:style w:type="character" w:customStyle="1" w:styleId="corpoCarattere">
    <w:name w:val="corpo Carattere"/>
    <w:link w:val="corpo"/>
    <w:rPr>
      <w:rFonts w:ascii="Arial" w:hAnsi="Arial" w:cs="Arial"/>
      <w:lang w:val="it-IT" w:eastAsia="it-IT" w:bidi="ar-SA"/>
    </w:rPr>
  </w:style>
  <w:style w:type="character" w:customStyle="1" w:styleId="StileArial10pt">
    <w:name w:val="Stile Arial 10 pt"/>
    <w:rPr>
      <w:rFonts w:ascii="Arial" w:hAnsi="Arial"/>
      <w:sz w:val="20"/>
    </w:rPr>
  </w:style>
  <w:style w:type="paragraph" w:customStyle="1" w:styleId="CorpoAltF0">
    <w:name w:val="Corpo (Alt+F)"/>
    <w:basedOn w:val="Normale"/>
    <w:link w:val="CorpoAltFCarattere0"/>
    <w:qFormat/>
    <w:pPr>
      <w:jc w:val="both"/>
    </w:pPr>
    <w:rPr>
      <w:rFonts w:ascii="Arial" w:hAnsi="Arial"/>
      <w:sz w:val="20"/>
      <w:szCs w:val="20"/>
    </w:rPr>
  </w:style>
  <w:style w:type="character" w:customStyle="1" w:styleId="IntestazioneCarattere">
    <w:name w:val="Intestazione Carattere"/>
    <w:link w:val="Intestazione"/>
    <w:rPr>
      <w:lang w:val="it-IT" w:eastAsia="it-IT" w:bidi="ar-SA"/>
    </w:rPr>
  </w:style>
  <w:style w:type="character" w:customStyle="1" w:styleId="CarattereCarattere">
    <w:name w:val="Carattere Carattere"/>
    <w:rPr>
      <w:rFonts w:ascii="Times New Roman" w:eastAsia="Times New Roman" w:hAnsi="Times New Roman" w:cs="Times New Roman"/>
      <w:sz w:val="20"/>
      <w:szCs w:val="20"/>
      <w:lang w:eastAsia="it-IT"/>
    </w:rPr>
  </w:style>
  <w:style w:type="character" w:customStyle="1" w:styleId="FunzionealthCarattere1">
    <w:name w:val="Funzione(alt+h) Carattere1"/>
    <w:link w:val="Funzionealth"/>
    <w:rPr>
      <w:rFonts w:ascii="Arial" w:hAnsi="Arial"/>
      <w:i/>
      <w:lang w:val="it-IT" w:eastAsia="it-IT" w:bidi="ar-SA"/>
    </w:rPr>
  </w:style>
  <w:style w:type="character" w:customStyle="1" w:styleId="Titolo2Carattere">
    <w:name w:val="Titolo 2 Carattere"/>
    <w:link w:val="Titolo2"/>
    <w:rPr>
      <w:rFonts w:ascii="Verdana" w:hAnsi="Verdana"/>
      <w:b/>
      <w:bCs/>
      <w:szCs w:val="24"/>
      <w:lang w:val="it-IT" w:eastAsia="it-IT" w:bidi="ar-SA"/>
    </w:rPr>
  </w:style>
  <w:style w:type="paragraph" w:customStyle="1" w:styleId="WWNewPage">
    <w:name w:val="WW_NewPage"/>
    <w:basedOn w:val="Normale"/>
    <w:qFormat/>
    <w:pPr>
      <w:jc w:val="both"/>
    </w:pPr>
    <w:rPr>
      <w:rFonts w:ascii="Arial" w:hAnsi="Arial"/>
      <w:b/>
      <w:bCs/>
      <w:color w:val="FFFFFF"/>
      <w:sz w:val="4"/>
      <w:szCs w:val="4"/>
    </w:rPr>
  </w:style>
  <w:style w:type="paragraph" w:customStyle="1" w:styleId="WWRelease">
    <w:name w:val="WW_Release"/>
    <w:basedOn w:val="Intestazione"/>
    <w:pPr>
      <w:tabs>
        <w:tab w:val="clear" w:pos="4819"/>
        <w:tab w:val="clear" w:pos="9638"/>
      </w:tabs>
    </w:pPr>
    <w:rPr>
      <w:rFonts w:ascii="Arial" w:hAnsi="Arial" w:cs="Arial"/>
      <w:b/>
      <w:bCs/>
    </w:rPr>
  </w:style>
  <w:style w:type="character" w:customStyle="1" w:styleId="CorpoAltFCarattere0">
    <w:name w:val="Corpo (Alt+F) Carattere"/>
    <w:link w:val="CorpoAltF0"/>
    <w:rPr>
      <w:rFonts w:ascii="Arial" w:hAnsi="Arial" w:cs="Arial"/>
    </w:rPr>
  </w:style>
  <w:style w:type="paragraph" w:customStyle="1" w:styleId="WWReleaseTipo">
    <w:name w:val="WW_Release_Tipo"/>
    <w:basedOn w:val="Intestazione"/>
    <w:pPr>
      <w:tabs>
        <w:tab w:val="clear" w:pos="4819"/>
        <w:tab w:val="clear" w:pos="9638"/>
      </w:tabs>
    </w:pPr>
    <w:rPr>
      <w:rFonts w:ascii="Arial" w:hAnsi="Arial" w:cs="Arial"/>
      <w:b/>
    </w:rPr>
  </w:style>
  <w:style w:type="paragraph" w:customStyle="1" w:styleId="WWNormativaSoftware">
    <w:name w:val="WW_NormativaSoftware"/>
    <w:basedOn w:val="TS-titolo-Comando"/>
    <w:next w:val="CorpoAltF0"/>
    <w:qFormat/>
    <w:pPr>
      <w:spacing w:before="60"/>
      <w:ind w:left="176"/>
      <w:jc w:val="left"/>
    </w:pPr>
    <w:rPr>
      <w:color w:val="17365D"/>
      <w:sz w:val="28"/>
    </w:rPr>
  </w:style>
  <w:style w:type="paragraph" w:customStyle="1" w:styleId="WWTipoDocumento">
    <w:name w:val="WW_TipoDocumento"/>
    <w:basedOn w:val="CorpoAltF0"/>
    <w:next w:val="CorpoAltF0"/>
    <w:link w:val="WWTipoDocumentoCarattere"/>
    <w:qFormat/>
    <w:pPr>
      <w:ind w:left="142"/>
    </w:pPr>
    <w:rPr>
      <w:b/>
      <w:color w:val="FFFFFF" w:themeColor="background1"/>
      <w:sz w:val="10"/>
      <w:szCs w:val="22"/>
    </w:rPr>
  </w:style>
  <w:style w:type="character" w:customStyle="1" w:styleId="WWTipoDocumentoCarattere">
    <w:name w:val="WW_TipoDocumento Carattere"/>
    <w:link w:val="WWTipoDocumento"/>
    <w:rPr>
      <w:rFonts w:ascii="Arial" w:hAnsi="Arial"/>
      <w:b/>
      <w:color w:val="FFFFFF" w:themeColor="background1"/>
      <w:sz w:val="10"/>
      <w:szCs w:val="22"/>
    </w:rPr>
  </w:style>
  <w:style w:type="paragraph" w:styleId="Paragrafoelenco">
    <w:name w:val="List Paragraph"/>
    <w:basedOn w:val="Normale"/>
    <w:uiPriority w:val="34"/>
    <w:qFormat/>
    <w:pPr>
      <w:ind w:left="720"/>
      <w:contextualSpacing/>
    </w:pPr>
  </w:style>
  <w:style w:type="paragraph" w:styleId="Didascalia">
    <w:name w:val="caption"/>
    <w:basedOn w:val="CorpoAltF0"/>
    <w:next w:val="CorpoAltF0"/>
    <w:pPr>
      <w:spacing w:before="40"/>
      <w:jc w:val="center"/>
      <w:outlineLvl w:val="5"/>
    </w:pPr>
    <w:rPr>
      <w:rFonts w:cs="Arial"/>
      <w:bCs/>
    </w:rPr>
  </w:style>
  <w:style w:type="paragraph" w:customStyle="1" w:styleId="StileFigura">
    <w:name w:val="Stile Figura"/>
    <w:basedOn w:val="CorpoAltF0"/>
    <w:next w:val="CorpoAltF0"/>
    <w:pPr>
      <w:jc w:val="center"/>
      <w:outlineLvl w:val="6"/>
    </w:pPr>
    <w:rPr>
      <w:rFonts w:cs="Arial"/>
    </w:rPr>
  </w:style>
  <w:style w:type="character" w:customStyle="1" w:styleId="TS-titolo-01Carattere">
    <w:name w:val="TS-titolo-01 Carattere"/>
    <w:link w:val="TS-titolo-01"/>
    <w:rPr>
      <w:rFonts w:ascii="Arial" w:hAnsi="Arial" w:cs="Arial"/>
      <w:b/>
      <w:i/>
      <w:sz w:val="28"/>
    </w:rPr>
  </w:style>
  <w:style w:type="paragraph" w:customStyle="1" w:styleId="CorpoCentrato0">
    <w:name w:val="CorpoCentrato"/>
    <w:basedOn w:val="Normale"/>
    <w:next w:val="CorpoAltF0"/>
    <w:link w:val="CorpoCentratoCarattere"/>
    <w:pPr>
      <w:spacing w:before="120"/>
      <w:jc w:val="center"/>
    </w:pPr>
    <w:rPr>
      <w:rFonts w:ascii="Arial" w:hAnsi="Arial" w:cs="Arial"/>
      <w:sz w:val="20"/>
      <w:szCs w:val="20"/>
    </w:rPr>
  </w:style>
  <w:style w:type="character" w:customStyle="1" w:styleId="CorpoCentratoCarattere">
    <w:name w:val="CorpoCentrato Carattere"/>
    <w:basedOn w:val="Carpredefinitoparagrafo"/>
    <w:link w:val="CorpoCentrato0"/>
    <w:rPr>
      <w:rFonts w:ascii="Arial" w:hAnsi="Arial" w:cs="Arial"/>
    </w:rPr>
  </w:style>
  <w:style w:type="character" w:styleId="Enfasicorsivo">
    <w:name w:val="Emphasis"/>
    <w:uiPriority w:val="20"/>
    <w:qFormat/>
    <w:rPr>
      <w:b/>
      <w:bCs/>
      <w:i w:val="0"/>
      <w:iCs w:val="0"/>
    </w:rPr>
  </w:style>
  <w:style w:type="paragraph" w:customStyle="1" w:styleId="Ignora">
    <w:name w:val="Ignora"/>
    <w:basedOn w:val="CorpoAltF0"/>
    <w:qFormat/>
  </w:style>
  <w:style w:type="character" w:customStyle="1" w:styleId="Corpodeltesto3Carattere">
    <w:name w:val="Corpo del testo 3 Carattere"/>
    <w:basedOn w:val="Carpredefinitoparagrafo"/>
    <w:link w:val="Corpodeltesto3"/>
    <w:rPr>
      <w:rFonts w:ascii="Arial" w:hAnsi="Arial"/>
      <w:b/>
    </w:rPr>
  </w:style>
  <w:style w:type="paragraph" w:customStyle="1" w:styleId="TitSOTTOPAR1">
    <w:name w:val="Tit. SOTTOPAR 1"/>
    <w:basedOn w:val="Normale"/>
    <w:pPr>
      <w:pBdr>
        <w:bottom w:val="single" w:sz="8" w:space="5" w:color="auto"/>
      </w:pBdr>
      <w:spacing w:before="120"/>
      <w:outlineLvl w:val="3"/>
    </w:pPr>
    <w:rPr>
      <w:rFonts w:ascii="Arial" w:hAnsi="Arial"/>
      <w:b/>
      <w:i/>
      <w:sz w:val="20"/>
      <w:szCs w:val="20"/>
    </w:rPr>
  </w:style>
  <w:style w:type="paragraph" w:customStyle="1" w:styleId="TitPARAGRAFO">
    <w:name w:val="Tit. PARAGRAFO"/>
    <w:basedOn w:val="Normale"/>
    <w:pPr>
      <w:pBdr>
        <w:bottom w:val="single" w:sz="8" w:space="5" w:color="auto"/>
      </w:pBdr>
      <w:spacing w:before="120"/>
      <w:outlineLvl w:val="2"/>
    </w:pPr>
    <w:rPr>
      <w:rFonts w:ascii="Arial" w:hAnsi="Arial"/>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25292">
      <w:bodyDiv w:val="1"/>
      <w:marLeft w:val="0"/>
      <w:marRight w:val="0"/>
      <w:marTop w:val="0"/>
      <w:marBottom w:val="0"/>
      <w:divBdr>
        <w:top w:val="none" w:sz="0" w:space="0" w:color="auto"/>
        <w:left w:val="none" w:sz="0" w:space="0" w:color="auto"/>
        <w:bottom w:val="none" w:sz="0" w:space="0" w:color="auto"/>
        <w:right w:val="none" w:sz="0" w:space="0" w:color="auto"/>
      </w:divBdr>
      <w:divsChild>
        <w:div w:id="1887911113">
          <w:marLeft w:val="0"/>
          <w:marRight w:val="0"/>
          <w:marTop w:val="0"/>
          <w:marBottom w:val="0"/>
          <w:divBdr>
            <w:top w:val="none" w:sz="0" w:space="0" w:color="auto"/>
            <w:left w:val="none" w:sz="0" w:space="0" w:color="auto"/>
            <w:bottom w:val="none" w:sz="0" w:space="0" w:color="auto"/>
            <w:right w:val="none" w:sz="0" w:space="0" w:color="auto"/>
          </w:divBdr>
          <w:divsChild>
            <w:div w:id="998192128">
              <w:marLeft w:val="0"/>
              <w:marRight w:val="0"/>
              <w:marTop w:val="0"/>
              <w:marBottom w:val="0"/>
              <w:divBdr>
                <w:top w:val="none" w:sz="0" w:space="0" w:color="auto"/>
                <w:left w:val="none" w:sz="0" w:space="0" w:color="auto"/>
                <w:bottom w:val="none" w:sz="0" w:space="0" w:color="auto"/>
                <w:right w:val="none" w:sz="0" w:space="0" w:color="auto"/>
              </w:divBdr>
              <w:divsChild>
                <w:div w:id="560024906">
                  <w:marLeft w:val="0"/>
                  <w:marRight w:val="0"/>
                  <w:marTop w:val="0"/>
                  <w:marBottom w:val="0"/>
                  <w:divBdr>
                    <w:top w:val="none" w:sz="0" w:space="0" w:color="auto"/>
                    <w:left w:val="none" w:sz="0" w:space="0" w:color="auto"/>
                    <w:bottom w:val="none" w:sz="0" w:space="0" w:color="auto"/>
                    <w:right w:val="none" w:sz="0" w:space="0" w:color="auto"/>
                  </w:divBdr>
                  <w:divsChild>
                    <w:div w:id="643313024">
                      <w:marLeft w:val="150"/>
                      <w:marRight w:val="150"/>
                      <w:marTop w:val="120"/>
                      <w:marBottom w:val="0"/>
                      <w:divBdr>
                        <w:top w:val="none" w:sz="0" w:space="0" w:color="auto"/>
                        <w:left w:val="none" w:sz="0" w:space="0" w:color="auto"/>
                        <w:bottom w:val="none" w:sz="0" w:space="0" w:color="auto"/>
                        <w:right w:val="none" w:sz="0" w:space="0" w:color="auto"/>
                      </w:divBdr>
                      <w:divsChild>
                        <w:div w:id="702828083">
                          <w:marLeft w:val="0"/>
                          <w:marRight w:val="0"/>
                          <w:marTop w:val="0"/>
                          <w:marBottom w:val="0"/>
                          <w:divBdr>
                            <w:top w:val="none" w:sz="0" w:space="0" w:color="auto"/>
                            <w:left w:val="none" w:sz="0" w:space="0" w:color="auto"/>
                            <w:bottom w:val="none" w:sz="0" w:space="0" w:color="auto"/>
                            <w:right w:val="single" w:sz="6" w:space="8" w:color="DDDDDD"/>
                          </w:divBdr>
                          <w:divsChild>
                            <w:div w:id="1828789027">
                              <w:marLeft w:val="0"/>
                              <w:marRight w:val="0"/>
                              <w:marTop w:val="0"/>
                              <w:marBottom w:val="0"/>
                              <w:divBdr>
                                <w:top w:val="none" w:sz="0" w:space="0" w:color="auto"/>
                                <w:left w:val="none" w:sz="0" w:space="0" w:color="auto"/>
                                <w:bottom w:val="none" w:sz="0" w:space="0" w:color="auto"/>
                                <w:right w:val="none" w:sz="0" w:space="0" w:color="auto"/>
                              </w:divBdr>
                              <w:divsChild>
                                <w:div w:id="677121778">
                                  <w:marLeft w:val="0"/>
                                  <w:marRight w:val="0"/>
                                  <w:marTop w:val="0"/>
                                  <w:marBottom w:val="0"/>
                                  <w:divBdr>
                                    <w:top w:val="none" w:sz="0" w:space="0" w:color="auto"/>
                                    <w:left w:val="none" w:sz="0" w:space="0" w:color="auto"/>
                                    <w:bottom w:val="none" w:sz="0" w:space="0" w:color="auto"/>
                                    <w:right w:val="none" w:sz="0" w:space="0" w:color="auto"/>
                                  </w:divBdr>
                                  <w:divsChild>
                                    <w:div w:id="1627733351">
                                      <w:marLeft w:val="0"/>
                                      <w:marRight w:val="0"/>
                                      <w:marTop w:val="0"/>
                                      <w:marBottom w:val="0"/>
                                      <w:divBdr>
                                        <w:top w:val="none" w:sz="0" w:space="0" w:color="auto"/>
                                        <w:left w:val="none" w:sz="0" w:space="0" w:color="auto"/>
                                        <w:bottom w:val="none" w:sz="0" w:space="0" w:color="auto"/>
                                        <w:right w:val="none" w:sz="0" w:space="0" w:color="auto"/>
                                      </w:divBdr>
                                      <w:divsChild>
                                        <w:div w:id="127771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152628">
      <w:bodyDiv w:val="1"/>
      <w:marLeft w:val="0"/>
      <w:marRight w:val="0"/>
      <w:marTop w:val="0"/>
      <w:marBottom w:val="0"/>
      <w:divBdr>
        <w:top w:val="none" w:sz="0" w:space="0" w:color="auto"/>
        <w:left w:val="none" w:sz="0" w:space="0" w:color="auto"/>
        <w:bottom w:val="none" w:sz="0" w:space="0" w:color="auto"/>
        <w:right w:val="none" w:sz="0" w:space="0" w:color="auto"/>
      </w:divBdr>
    </w:div>
    <w:div w:id="61951878">
      <w:bodyDiv w:val="1"/>
      <w:marLeft w:val="0"/>
      <w:marRight w:val="0"/>
      <w:marTop w:val="0"/>
      <w:marBottom w:val="0"/>
      <w:divBdr>
        <w:top w:val="none" w:sz="0" w:space="0" w:color="auto"/>
        <w:left w:val="none" w:sz="0" w:space="0" w:color="auto"/>
        <w:bottom w:val="none" w:sz="0" w:space="0" w:color="auto"/>
        <w:right w:val="none" w:sz="0" w:space="0" w:color="auto"/>
      </w:divBdr>
    </w:div>
    <w:div w:id="192882101">
      <w:bodyDiv w:val="1"/>
      <w:marLeft w:val="0"/>
      <w:marRight w:val="0"/>
      <w:marTop w:val="0"/>
      <w:marBottom w:val="0"/>
      <w:divBdr>
        <w:top w:val="none" w:sz="0" w:space="0" w:color="auto"/>
        <w:left w:val="none" w:sz="0" w:space="0" w:color="auto"/>
        <w:bottom w:val="none" w:sz="0" w:space="0" w:color="auto"/>
        <w:right w:val="none" w:sz="0" w:space="0" w:color="auto"/>
      </w:divBdr>
    </w:div>
    <w:div w:id="332991996">
      <w:bodyDiv w:val="1"/>
      <w:marLeft w:val="0"/>
      <w:marRight w:val="0"/>
      <w:marTop w:val="0"/>
      <w:marBottom w:val="0"/>
      <w:divBdr>
        <w:top w:val="none" w:sz="0" w:space="0" w:color="auto"/>
        <w:left w:val="none" w:sz="0" w:space="0" w:color="auto"/>
        <w:bottom w:val="none" w:sz="0" w:space="0" w:color="auto"/>
        <w:right w:val="none" w:sz="0" w:space="0" w:color="auto"/>
      </w:divBdr>
      <w:divsChild>
        <w:div w:id="114060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671739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343284787">
      <w:bodyDiv w:val="1"/>
      <w:marLeft w:val="0"/>
      <w:marRight w:val="0"/>
      <w:marTop w:val="0"/>
      <w:marBottom w:val="0"/>
      <w:divBdr>
        <w:top w:val="none" w:sz="0" w:space="0" w:color="auto"/>
        <w:left w:val="none" w:sz="0" w:space="0" w:color="auto"/>
        <w:bottom w:val="none" w:sz="0" w:space="0" w:color="auto"/>
        <w:right w:val="none" w:sz="0" w:space="0" w:color="auto"/>
      </w:divBdr>
      <w:divsChild>
        <w:div w:id="671222115">
          <w:marLeft w:val="0"/>
          <w:marRight w:val="0"/>
          <w:marTop w:val="0"/>
          <w:marBottom w:val="0"/>
          <w:divBdr>
            <w:top w:val="none" w:sz="0" w:space="0" w:color="auto"/>
            <w:left w:val="none" w:sz="0" w:space="0" w:color="auto"/>
            <w:bottom w:val="none" w:sz="0" w:space="0" w:color="auto"/>
            <w:right w:val="none" w:sz="0" w:space="0" w:color="auto"/>
          </w:divBdr>
          <w:divsChild>
            <w:div w:id="2141990863">
              <w:marLeft w:val="0"/>
              <w:marRight w:val="0"/>
              <w:marTop w:val="0"/>
              <w:marBottom w:val="0"/>
              <w:divBdr>
                <w:top w:val="none" w:sz="0" w:space="0" w:color="auto"/>
                <w:left w:val="none" w:sz="0" w:space="0" w:color="auto"/>
                <w:bottom w:val="none" w:sz="0" w:space="0" w:color="auto"/>
                <w:right w:val="none" w:sz="0" w:space="0" w:color="auto"/>
              </w:divBdr>
              <w:divsChild>
                <w:div w:id="571817721">
                  <w:marLeft w:val="0"/>
                  <w:marRight w:val="0"/>
                  <w:marTop w:val="0"/>
                  <w:marBottom w:val="0"/>
                  <w:divBdr>
                    <w:top w:val="none" w:sz="0" w:space="0" w:color="auto"/>
                    <w:left w:val="none" w:sz="0" w:space="0" w:color="auto"/>
                    <w:bottom w:val="none" w:sz="0" w:space="0" w:color="auto"/>
                    <w:right w:val="none" w:sz="0" w:space="0" w:color="auto"/>
                  </w:divBdr>
                  <w:divsChild>
                    <w:div w:id="1829981437">
                      <w:marLeft w:val="150"/>
                      <w:marRight w:val="150"/>
                      <w:marTop w:val="120"/>
                      <w:marBottom w:val="0"/>
                      <w:divBdr>
                        <w:top w:val="none" w:sz="0" w:space="0" w:color="auto"/>
                        <w:left w:val="none" w:sz="0" w:space="0" w:color="auto"/>
                        <w:bottom w:val="none" w:sz="0" w:space="0" w:color="auto"/>
                        <w:right w:val="none" w:sz="0" w:space="0" w:color="auto"/>
                      </w:divBdr>
                      <w:divsChild>
                        <w:div w:id="1751537669">
                          <w:marLeft w:val="0"/>
                          <w:marRight w:val="0"/>
                          <w:marTop w:val="0"/>
                          <w:marBottom w:val="0"/>
                          <w:divBdr>
                            <w:top w:val="none" w:sz="0" w:space="0" w:color="auto"/>
                            <w:left w:val="none" w:sz="0" w:space="0" w:color="auto"/>
                            <w:bottom w:val="none" w:sz="0" w:space="0" w:color="auto"/>
                            <w:right w:val="single" w:sz="6" w:space="8" w:color="DDDDDD"/>
                          </w:divBdr>
                          <w:divsChild>
                            <w:div w:id="1137336970">
                              <w:marLeft w:val="0"/>
                              <w:marRight w:val="0"/>
                              <w:marTop w:val="0"/>
                              <w:marBottom w:val="90"/>
                              <w:divBdr>
                                <w:top w:val="single" w:sz="6" w:space="5" w:color="D7D7D7"/>
                                <w:left w:val="single" w:sz="6" w:space="5" w:color="D7D7D7"/>
                                <w:bottom w:val="single" w:sz="6" w:space="5" w:color="D7D7D7"/>
                                <w:right w:val="single" w:sz="6" w:space="5" w:color="D7D7D7"/>
                              </w:divBdr>
                              <w:divsChild>
                                <w:div w:id="1255557263">
                                  <w:marLeft w:val="0"/>
                                  <w:marRight w:val="0"/>
                                  <w:marTop w:val="0"/>
                                  <w:marBottom w:val="0"/>
                                  <w:divBdr>
                                    <w:top w:val="none" w:sz="0" w:space="0" w:color="auto"/>
                                    <w:left w:val="none" w:sz="0" w:space="0" w:color="auto"/>
                                    <w:bottom w:val="none" w:sz="0" w:space="0" w:color="auto"/>
                                    <w:right w:val="none" w:sz="0" w:space="0" w:color="auto"/>
                                  </w:divBdr>
                                  <w:divsChild>
                                    <w:div w:id="162839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4357494">
      <w:bodyDiv w:val="1"/>
      <w:marLeft w:val="0"/>
      <w:marRight w:val="0"/>
      <w:marTop w:val="0"/>
      <w:marBottom w:val="0"/>
      <w:divBdr>
        <w:top w:val="none" w:sz="0" w:space="0" w:color="auto"/>
        <w:left w:val="none" w:sz="0" w:space="0" w:color="auto"/>
        <w:bottom w:val="none" w:sz="0" w:space="0" w:color="auto"/>
        <w:right w:val="none" w:sz="0" w:space="0" w:color="auto"/>
      </w:divBdr>
    </w:div>
    <w:div w:id="370032690">
      <w:bodyDiv w:val="1"/>
      <w:marLeft w:val="0"/>
      <w:marRight w:val="0"/>
      <w:marTop w:val="0"/>
      <w:marBottom w:val="0"/>
      <w:divBdr>
        <w:top w:val="none" w:sz="0" w:space="0" w:color="auto"/>
        <w:left w:val="none" w:sz="0" w:space="0" w:color="auto"/>
        <w:bottom w:val="none" w:sz="0" w:space="0" w:color="auto"/>
        <w:right w:val="none" w:sz="0" w:space="0" w:color="auto"/>
      </w:divBdr>
      <w:divsChild>
        <w:div w:id="1745299062">
          <w:marLeft w:val="0"/>
          <w:marRight w:val="0"/>
          <w:marTop w:val="0"/>
          <w:marBottom w:val="0"/>
          <w:divBdr>
            <w:top w:val="none" w:sz="0" w:space="0" w:color="auto"/>
            <w:left w:val="none" w:sz="0" w:space="0" w:color="auto"/>
            <w:bottom w:val="none" w:sz="0" w:space="0" w:color="auto"/>
            <w:right w:val="none" w:sz="0" w:space="0" w:color="auto"/>
          </w:divBdr>
          <w:divsChild>
            <w:div w:id="1547983991">
              <w:marLeft w:val="0"/>
              <w:marRight w:val="0"/>
              <w:marTop w:val="0"/>
              <w:marBottom w:val="0"/>
              <w:divBdr>
                <w:top w:val="none" w:sz="0" w:space="0" w:color="auto"/>
                <w:left w:val="none" w:sz="0" w:space="0" w:color="auto"/>
                <w:bottom w:val="none" w:sz="0" w:space="0" w:color="auto"/>
                <w:right w:val="none" w:sz="0" w:space="0" w:color="auto"/>
              </w:divBdr>
              <w:divsChild>
                <w:div w:id="1098871001">
                  <w:marLeft w:val="0"/>
                  <w:marRight w:val="0"/>
                  <w:marTop w:val="0"/>
                  <w:marBottom w:val="0"/>
                  <w:divBdr>
                    <w:top w:val="none" w:sz="0" w:space="0" w:color="auto"/>
                    <w:left w:val="none" w:sz="0" w:space="0" w:color="auto"/>
                    <w:bottom w:val="none" w:sz="0" w:space="0" w:color="auto"/>
                    <w:right w:val="none" w:sz="0" w:space="0" w:color="auto"/>
                  </w:divBdr>
                  <w:divsChild>
                    <w:div w:id="356346269">
                      <w:marLeft w:val="150"/>
                      <w:marRight w:val="150"/>
                      <w:marTop w:val="120"/>
                      <w:marBottom w:val="0"/>
                      <w:divBdr>
                        <w:top w:val="none" w:sz="0" w:space="0" w:color="auto"/>
                        <w:left w:val="none" w:sz="0" w:space="0" w:color="auto"/>
                        <w:bottom w:val="none" w:sz="0" w:space="0" w:color="auto"/>
                        <w:right w:val="none" w:sz="0" w:space="0" w:color="auto"/>
                      </w:divBdr>
                      <w:divsChild>
                        <w:div w:id="1157575527">
                          <w:marLeft w:val="0"/>
                          <w:marRight w:val="0"/>
                          <w:marTop w:val="0"/>
                          <w:marBottom w:val="0"/>
                          <w:divBdr>
                            <w:top w:val="none" w:sz="0" w:space="0" w:color="auto"/>
                            <w:left w:val="none" w:sz="0" w:space="0" w:color="auto"/>
                            <w:bottom w:val="none" w:sz="0" w:space="0" w:color="auto"/>
                            <w:right w:val="single" w:sz="6" w:space="8" w:color="DDDDDD"/>
                          </w:divBdr>
                          <w:divsChild>
                            <w:div w:id="1897088383">
                              <w:marLeft w:val="0"/>
                              <w:marRight w:val="0"/>
                              <w:marTop w:val="0"/>
                              <w:marBottom w:val="0"/>
                              <w:divBdr>
                                <w:top w:val="none" w:sz="0" w:space="0" w:color="auto"/>
                                <w:left w:val="none" w:sz="0" w:space="0" w:color="auto"/>
                                <w:bottom w:val="none" w:sz="0" w:space="0" w:color="auto"/>
                                <w:right w:val="none" w:sz="0" w:space="0" w:color="auto"/>
                              </w:divBdr>
                              <w:divsChild>
                                <w:div w:id="2032410379">
                                  <w:marLeft w:val="0"/>
                                  <w:marRight w:val="0"/>
                                  <w:marTop w:val="0"/>
                                  <w:marBottom w:val="0"/>
                                  <w:divBdr>
                                    <w:top w:val="none" w:sz="0" w:space="0" w:color="auto"/>
                                    <w:left w:val="none" w:sz="0" w:space="0" w:color="auto"/>
                                    <w:bottom w:val="none" w:sz="0" w:space="0" w:color="auto"/>
                                    <w:right w:val="none" w:sz="0" w:space="0" w:color="auto"/>
                                  </w:divBdr>
                                  <w:divsChild>
                                    <w:div w:id="1780103655">
                                      <w:marLeft w:val="0"/>
                                      <w:marRight w:val="0"/>
                                      <w:marTop w:val="0"/>
                                      <w:marBottom w:val="0"/>
                                      <w:divBdr>
                                        <w:top w:val="none" w:sz="0" w:space="0" w:color="auto"/>
                                        <w:left w:val="none" w:sz="0" w:space="0" w:color="auto"/>
                                        <w:bottom w:val="none" w:sz="0" w:space="0" w:color="auto"/>
                                        <w:right w:val="none" w:sz="0" w:space="0" w:color="auto"/>
                                      </w:divBdr>
                                      <w:divsChild>
                                        <w:div w:id="158521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095707">
      <w:bodyDiv w:val="1"/>
      <w:marLeft w:val="0"/>
      <w:marRight w:val="0"/>
      <w:marTop w:val="0"/>
      <w:marBottom w:val="0"/>
      <w:divBdr>
        <w:top w:val="none" w:sz="0" w:space="0" w:color="auto"/>
        <w:left w:val="none" w:sz="0" w:space="0" w:color="auto"/>
        <w:bottom w:val="none" w:sz="0" w:space="0" w:color="auto"/>
        <w:right w:val="none" w:sz="0" w:space="0" w:color="auto"/>
      </w:divBdr>
    </w:div>
    <w:div w:id="490633781">
      <w:bodyDiv w:val="1"/>
      <w:marLeft w:val="0"/>
      <w:marRight w:val="0"/>
      <w:marTop w:val="0"/>
      <w:marBottom w:val="0"/>
      <w:divBdr>
        <w:top w:val="none" w:sz="0" w:space="0" w:color="auto"/>
        <w:left w:val="none" w:sz="0" w:space="0" w:color="auto"/>
        <w:bottom w:val="none" w:sz="0" w:space="0" w:color="auto"/>
        <w:right w:val="none" w:sz="0" w:space="0" w:color="auto"/>
      </w:divBdr>
    </w:div>
    <w:div w:id="491066332">
      <w:bodyDiv w:val="1"/>
      <w:marLeft w:val="0"/>
      <w:marRight w:val="0"/>
      <w:marTop w:val="0"/>
      <w:marBottom w:val="0"/>
      <w:divBdr>
        <w:top w:val="none" w:sz="0" w:space="0" w:color="auto"/>
        <w:left w:val="none" w:sz="0" w:space="0" w:color="auto"/>
        <w:bottom w:val="none" w:sz="0" w:space="0" w:color="auto"/>
        <w:right w:val="none" w:sz="0" w:space="0" w:color="auto"/>
      </w:divBdr>
    </w:div>
    <w:div w:id="494882600">
      <w:bodyDiv w:val="1"/>
      <w:marLeft w:val="0"/>
      <w:marRight w:val="0"/>
      <w:marTop w:val="0"/>
      <w:marBottom w:val="0"/>
      <w:divBdr>
        <w:top w:val="none" w:sz="0" w:space="0" w:color="auto"/>
        <w:left w:val="none" w:sz="0" w:space="0" w:color="auto"/>
        <w:bottom w:val="none" w:sz="0" w:space="0" w:color="auto"/>
        <w:right w:val="none" w:sz="0" w:space="0" w:color="auto"/>
      </w:divBdr>
    </w:div>
    <w:div w:id="505025945">
      <w:bodyDiv w:val="1"/>
      <w:marLeft w:val="0"/>
      <w:marRight w:val="0"/>
      <w:marTop w:val="0"/>
      <w:marBottom w:val="0"/>
      <w:divBdr>
        <w:top w:val="none" w:sz="0" w:space="0" w:color="auto"/>
        <w:left w:val="none" w:sz="0" w:space="0" w:color="auto"/>
        <w:bottom w:val="none" w:sz="0" w:space="0" w:color="auto"/>
        <w:right w:val="none" w:sz="0" w:space="0" w:color="auto"/>
      </w:divBdr>
    </w:div>
    <w:div w:id="531961644">
      <w:bodyDiv w:val="1"/>
      <w:marLeft w:val="0"/>
      <w:marRight w:val="0"/>
      <w:marTop w:val="0"/>
      <w:marBottom w:val="0"/>
      <w:divBdr>
        <w:top w:val="none" w:sz="0" w:space="0" w:color="auto"/>
        <w:left w:val="none" w:sz="0" w:space="0" w:color="auto"/>
        <w:bottom w:val="none" w:sz="0" w:space="0" w:color="auto"/>
        <w:right w:val="none" w:sz="0" w:space="0" w:color="auto"/>
      </w:divBdr>
    </w:div>
    <w:div w:id="588932809">
      <w:bodyDiv w:val="1"/>
      <w:marLeft w:val="0"/>
      <w:marRight w:val="0"/>
      <w:marTop w:val="0"/>
      <w:marBottom w:val="0"/>
      <w:divBdr>
        <w:top w:val="none" w:sz="0" w:space="0" w:color="auto"/>
        <w:left w:val="none" w:sz="0" w:space="0" w:color="auto"/>
        <w:bottom w:val="none" w:sz="0" w:space="0" w:color="auto"/>
        <w:right w:val="none" w:sz="0" w:space="0" w:color="auto"/>
      </w:divBdr>
    </w:div>
    <w:div w:id="856772791">
      <w:bodyDiv w:val="1"/>
      <w:marLeft w:val="0"/>
      <w:marRight w:val="0"/>
      <w:marTop w:val="0"/>
      <w:marBottom w:val="0"/>
      <w:divBdr>
        <w:top w:val="none" w:sz="0" w:space="0" w:color="auto"/>
        <w:left w:val="none" w:sz="0" w:space="0" w:color="auto"/>
        <w:bottom w:val="none" w:sz="0" w:space="0" w:color="auto"/>
        <w:right w:val="none" w:sz="0" w:space="0" w:color="auto"/>
      </w:divBdr>
    </w:div>
    <w:div w:id="906262063">
      <w:bodyDiv w:val="1"/>
      <w:marLeft w:val="0"/>
      <w:marRight w:val="0"/>
      <w:marTop w:val="0"/>
      <w:marBottom w:val="0"/>
      <w:divBdr>
        <w:top w:val="none" w:sz="0" w:space="0" w:color="auto"/>
        <w:left w:val="none" w:sz="0" w:space="0" w:color="auto"/>
        <w:bottom w:val="none" w:sz="0" w:space="0" w:color="auto"/>
        <w:right w:val="none" w:sz="0" w:space="0" w:color="auto"/>
      </w:divBdr>
    </w:div>
    <w:div w:id="950629428">
      <w:bodyDiv w:val="1"/>
      <w:marLeft w:val="0"/>
      <w:marRight w:val="0"/>
      <w:marTop w:val="0"/>
      <w:marBottom w:val="0"/>
      <w:divBdr>
        <w:top w:val="none" w:sz="0" w:space="0" w:color="auto"/>
        <w:left w:val="none" w:sz="0" w:space="0" w:color="auto"/>
        <w:bottom w:val="none" w:sz="0" w:space="0" w:color="auto"/>
        <w:right w:val="none" w:sz="0" w:space="0" w:color="auto"/>
      </w:divBdr>
      <w:divsChild>
        <w:div w:id="274598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8649161">
              <w:marLeft w:val="284"/>
              <w:marRight w:val="0"/>
              <w:marTop w:val="60"/>
              <w:marBottom w:val="0"/>
              <w:divBdr>
                <w:top w:val="none" w:sz="0" w:space="0" w:color="auto"/>
                <w:left w:val="none" w:sz="0" w:space="0" w:color="auto"/>
                <w:bottom w:val="none" w:sz="0" w:space="0" w:color="auto"/>
                <w:right w:val="none" w:sz="0" w:space="0" w:color="auto"/>
              </w:divBdr>
            </w:div>
          </w:divsChild>
        </w:div>
      </w:divsChild>
    </w:div>
    <w:div w:id="1146437947">
      <w:bodyDiv w:val="1"/>
      <w:marLeft w:val="0"/>
      <w:marRight w:val="0"/>
      <w:marTop w:val="0"/>
      <w:marBottom w:val="0"/>
      <w:divBdr>
        <w:top w:val="none" w:sz="0" w:space="0" w:color="auto"/>
        <w:left w:val="none" w:sz="0" w:space="0" w:color="auto"/>
        <w:bottom w:val="none" w:sz="0" w:space="0" w:color="auto"/>
        <w:right w:val="none" w:sz="0" w:space="0" w:color="auto"/>
      </w:divBdr>
      <w:divsChild>
        <w:div w:id="573667508">
          <w:marLeft w:val="0"/>
          <w:marRight w:val="0"/>
          <w:marTop w:val="0"/>
          <w:marBottom w:val="0"/>
          <w:divBdr>
            <w:top w:val="none" w:sz="0" w:space="0" w:color="auto"/>
            <w:left w:val="none" w:sz="0" w:space="0" w:color="auto"/>
            <w:bottom w:val="none" w:sz="0" w:space="0" w:color="auto"/>
            <w:right w:val="none" w:sz="0" w:space="0" w:color="auto"/>
          </w:divBdr>
          <w:divsChild>
            <w:div w:id="2065255166">
              <w:marLeft w:val="0"/>
              <w:marRight w:val="0"/>
              <w:marTop w:val="0"/>
              <w:marBottom w:val="0"/>
              <w:divBdr>
                <w:top w:val="none" w:sz="0" w:space="0" w:color="auto"/>
                <w:left w:val="none" w:sz="0" w:space="0" w:color="auto"/>
                <w:bottom w:val="none" w:sz="0" w:space="0" w:color="auto"/>
                <w:right w:val="none" w:sz="0" w:space="0" w:color="auto"/>
              </w:divBdr>
              <w:divsChild>
                <w:div w:id="1597246051">
                  <w:marLeft w:val="0"/>
                  <w:marRight w:val="0"/>
                  <w:marTop w:val="0"/>
                  <w:marBottom w:val="0"/>
                  <w:divBdr>
                    <w:top w:val="none" w:sz="0" w:space="0" w:color="auto"/>
                    <w:left w:val="none" w:sz="0" w:space="0" w:color="auto"/>
                    <w:bottom w:val="none" w:sz="0" w:space="0" w:color="auto"/>
                    <w:right w:val="none" w:sz="0" w:space="0" w:color="auto"/>
                  </w:divBdr>
                  <w:divsChild>
                    <w:div w:id="77406696">
                      <w:marLeft w:val="150"/>
                      <w:marRight w:val="150"/>
                      <w:marTop w:val="120"/>
                      <w:marBottom w:val="0"/>
                      <w:divBdr>
                        <w:top w:val="none" w:sz="0" w:space="0" w:color="auto"/>
                        <w:left w:val="none" w:sz="0" w:space="0" w:color="auto"/>
                        <w:bottom w:val="none" w:sz="0" w:space="0" w:color="auto"/>
                        <w:right w:val="none" w:sz="0" w:space="0" w:color="auto"/>
                      </w:divBdr>
                      <w:divsChild>
                        <w:div w:id="1634746953">
                          <w:marLeft w:val="0"/>
                          <w:marRight w:val="0"/>
                          <w:marTop w:val="0"/>
                          <w:marBottom w:val="0"/>
                          <w:divBdr>
                            <w:top w:val="none" w:sz="0" w:space="0" w:color="auto"/>
                            <w:left w:val="none" w:sz="0" w:space="0" w:color="auto"/>
                            <w:bottom w:val="none" w:sz="0" w:space="0" w:color="auto"/>
                            <w:right w:val="single" w:sz="6" w:space="8" w:color="DDDDDD"/>
                          </w:divBdr>
                          <w:divsChild>
                            <w:div w:id="244657608">
                              <w:marLeft w:val="0"/>
                              <w:marRight w:val="0"/>
                              <w:marTop w:val="0"/>
                              <w:marBottom w:val="90"/>
                              <w:divBdr>
                                <w:top w:val="single" w:sz="6" w:space="5" w:color="D7D7D7"/>
                                <w:left w:val="single" w:sz="6" w:space="5" w:color="D7D7D7"/>
                                <w:bottom w:val="single" w:sz="6" w:space="5" w:color="D7D7D7"/>
                                <w:right w:val="single" w:sz="6" w:space="5" w:color="D7D7D7"/>
                              </w:divBdr>
                              <w:divsChild>
                                <w:div w:id="1287076918">
                                  <w:marLeft w:val="0"/>
                                  <w:marRight w:val="0"/>
                                  <w:marTop w:val="0"/>
                                  <w:marBottom w:val="0"/>
                                  <w:divBdr>
                                    <w:top w:val="none" w:sz="0" w:space="0" w:color="auto"/>
                                    <w:left w:val="none" w:sz="0" w:space="0" w:color="auto"/>
                                    <w:bottom w:val="none" w:sz="0" w:space="0" w:color="auto"/>
                                    <w:right w:val="none" w:sz="0" w:space="0" w:color="auto"/>
                                  </w:divBdr>
                                  <w:divsChild>
                                    <w:div w:id="145394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060839">
      <w:bodyDiv w:val="1"/>
      <w:marLeft w:val="0"/>
      <w:marRight w:val="0"/>
      <w:marTop w:val="0"/>
      <w:marBottom w:val="0"/>
      <w:divBdr>
        <w:top w:val="none" w:sz="0" w:space="0" w:color="auto"/>
        <w:left w:val="none" w:sz="0" w:space="0" w:color="auto"/>
        <w:bottom w:val="none" w:sz="0" w:space="0" w:color="auto"/>
        <w:right w:val="none" w:sz="0" w:space="0" w:color="auto"/>
      </w:divBdr>
      <w:divsChild>
        <w:div w:id="1048843444">
          <w:marLeft w:val="0"/>
          <w:marRight w:val="0"/>
          <w:marTop w:val="0"/>
          <w:marBottom w:val="0"/>
          <w:divBdr>
            <w:top w:val="none" w:sz="0" w:space="0" w:color="auto"/>
            <w:left w:val="none" w:sz="0" w:space="0" w:color="auto"/>
            <w:bottom w:val="none" w:sz="0" w:space="0" w:color="auto"/>
            <w:right w:val="none" w:sz="0" w:space="0" w:color="auto"/>
          </w:divBdr>
          <w:divsChild>
            <w:div w:id="1198200531">
              <w:marLeft w:val="0"/>
              <w:marRight w:val="0"/>
              <w:marTop w:val="0"/>
              <w:marBottom w:val="0"/>
              <w:divBdr>
                <w:top w:val="none" w:sz="0" w:space="0" w:color="auto"/>
                <w:left w:val="none" w:sz="0" w:space="0" w:color="auto"/>
                <w:bottom w:val="none" w:sz="0" w:space="0" w:color="auto"/>
                <w:right w:val="none" w:sz="0" w:space="0" w:color="auto"/>
              </w:divBdr>
              <w:divsChild>
                <w:div w:id="165898372">
                  <w:marLeft w:val="0"/>
                  <w:marRight w:val="0"/>
                  <w:marTop w:val="0"/>
                  <w:marBottom w:val="0"/>
                  <w:divBdr>
                    <w:top w:val="none" w:sz="0" w:space="0" w:color="auto"/>
                    <w:left w:val="none" w:sz="0" w:space="0" w:color="auto"/>
                    <w:bottom w:val="none" w:sz="0" w:space="0" w:color="auto"/>
                    <w:right w:val="none" w:sz="0" w:space="0" w:color="auto"/>
                  </w:divBdr>
                  <w:divsChild>
                    <w:div w:id="375089003">
                      <w:marLeft w:val="150"/>
                      <w:marRight w:val="150"/>
                      <w:marTop w:val="120"/>
                      <w:marBottom w:val="0"/>
                      <w:divBdr>
                        <w:top w:val="none" w:sz="0" w:space="0" w:color="auto"/>
                        <w:left w:val="none" w:sz="0" w:space="0" w:color="auto"/>
                        <w:bottom w:val="none" w:sz="0" w:space="0" w:color="auto"/>
                        <w:right w:val="none" w:sz="0" w:space="0" w:color="auto"/>
                      </w:divBdr>
                      <w:divsChild>
                        <w:div w:id="1265574334">
                          <w:marLeft w:val="0"/>
                          <w:marRight w:val="0"/>
                          <w:marTop w:val="0"/>
                          <w:marBottom w:val="0"/>
                          <w:divBdr>
                            <w:top w:val="none" w:sz="0" w:space="0" w:color="auto"/>
                            <w:left w:val="none" w:sz="0" w:space="0" w:color="auto"/>
                            <w:bottom w:val="none" w:sz="0" w:space="0" w:color="auto"/>
                            <w:right w:val="single" w:sz="6" w:space="8" w:color="DDDDDD"/>
                          </w:divBdr>
                          <w:divsChild>
                            <w:div w:id="209804777">
                              <w:marLeft w:val="0"/>
                              <w:marRight w:val="0"/>
                              <w:marTop w:val="0"/>
                              <w:marBottom w:val="90"/>
                              <w:divBdr>
                                <w:top w:val="single" w:sz="6" w:space="5" w:color="D7D7D7"/>
                                <w:left w:val="single" w:sz="6" w:space="5" w:color="D7D7D7"/>
                                <w:bottom w:val="single" w:sz="6" w:space="5" w:color="D7D7D7"/>
                                <w:right w:val="single" w:sz="6" w:space="5" w:color="D7D7D7"/>
                              </w:divBdr>
                              <w:divsChild>
                                <w:div w:id="1626157210">
                                  <w:marLeft w:val="0"/>
                                  <w:marRight w:val="0"/>
                                  <w:marTop w:val="0"/>
                                  <w:marBottom w:val="0"/>
                                  <w:divBdr>
                                    <w:top w:val="none" w:sz="0" w:space="0" w:color="auto"/>
                                    <w:left w:val="none" w:sz="0" w:space="0" w:color="auto"/>
                                    <w:bottom w:val="none" w:sz="0" w:space="0" w:color="auto"/>
                                    <w:right w:val="none" w:sz="0" w:space="0" w:color="auto"/>
                                  </w:divBdr>
                                  <w:divsChild>
                                    <w:div w:id="47710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2480017">
      <w:bodyDiv w:val="1"/>
      <w:marLeft w:val="0"/>
      <w:marRight w:val="0"/>
      <w:marTop w:val="0"/>
      <w:marBottom w:val="0"/>
      <w:divBdr>
        <w:top w:val="none" w:sz="0" w:space="0" w:color="auto"/>
        <w:left w:val="none" w:sz="0" w:space="0" w:color="auto"/>
        <w:bottom w:val="none" w:sz="0" w:space="0" w:color="auto"/>
        <w:right w:val="none" w:sz="0" w:space="0" w:color="auto"/>
      </w:divBdr>
    </w:div>
    <w:div w:id="1401176200">
      <w:bodyDiv w:val="1"/>
      <w:marLeft w:val="0"/>
      <w:marRight w:val="0"/>
      <w:marTop w:val="0"/>
      <w:marBottom w:val="0"/>
      <w:divBdr>
        <w:top w:val="none" w:sz="0" w:space="0" w:color="auto"/>
        <w:left w:val="none" w:sz="0" w:space="0" w:color="auto"/>
        <w:bottom w:val="none" w:sz="0" w:space="0" w:color="auto"/>
        <w:right w:val="none" w:sz="0" w:space="0" w:color="auto"/>
      </w:divBdr>
      <w:divsChild>
        <w:div w:id="605431396">
          <w:marLeft w:val="0"/>
          <w:marRight w:val="0"/>
          <w:marTop w:val="0"/>
          <w:marBottom w:val="0"/>
          <w:divBdr>
            <w:top w:val="none" w:sz="0" w:space="0" w:color="auto"/>
            <w:left w:val="none" w:sz="0" w:space="0" w:color="auto"/>
            <w:bottom w:val="none" w:sz="0" w:space="0" w:color="auto"/>
            <w:right w:val="none" w:sz="0" w:space="0" w:color="auto"/>
          </w:divBdr>
        </w:div>
      </w:divsChild>
    </w:div>
    <w:div w:id="1477407660">
      <w:bodyDiv w:val="1"/>
      <w:marLeft w:val="0"/>
      <w:marRight w:val="0"/>
      <w:marTop w:val="0"/>
      <w:marBottom w:val="0"/>
      <w:divBdr>
        <w:top w:val="none" w:sz="0" w:space="0" w:color="auto"/>
        <w:left w:val="none" w:sz="0" w:space="0" w:color="auto"/>
        <w:bottom w:val="none" w:sz="0" w:space="0" w:color="auto"/>
        <w:right w:val="none" w:sz="0" w:space="0" w:color="auto"/>
      </w:divBdr>
    </w:div>
    <w:div w:id="1553424732">
      <w:bodyDiv w:val="1"/>
      <w:marLeft w:val="0"/>
      <w:marRight w:val="0"/>
      <w:marTop w:val="0"/>
      <w:marBottom w:val="0"/>
      <w:divBdr>
        <w:top w:val="none" w:sz="0" w:space="0" w:color="auto"/>
        <w:left w:val="none" w:sz="0" w:space="0" w:color="auto"/>
        <w:bottom w:val="none" w:sz="0" w:space="0" w:color="auto"/>
        <w:right w:val="none" w:sz="0" w:space="0" w:color="auto"/>
      </w:divBdr>
      <w:divsChild>
        <w:div w:id="221452772">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4892944">
              <w:marLeft w:val="0"/>
              <w:marRight w:val="0"/>
              <w:marTop w:val="0"/>
              <w:marBottom w:val="0"/>
              <w:divBdr>
                <w:top w:val="none" w:sz="0" w:space="0" w:color="auto"/>
                <w:left w:val="none" w:sz="0" w:space="0" w:color="auto"/>
                <w:bottom w:val="none" w:sz="0" w:space="0" w:color="auto"/>
                <w:right w:val="none" w:sz="0" w:space="0" w:color="auto"/>
              </w:divBdr>
            </w:div>
            <w:div w:id="252396170">
              <w:marLeft w:val="0"/>
              <w:marRight w:val="0"/>
              <w:marTop w:val="0"/>
              <w:marBottom w:val="0"/>
              <w:divBdr>
                <w:top w:val="none" w:sz="0" w:space="0" w:color="auto"/>
                <w:left w:val="none" w:sz="0" w:space="0" w:color="auto"/>
                <w:bottom w:val="none" w:sz="0" w:space="0" w:color="auto"/>
                <w:right w:val="none" w:sz="0" w:space="0" w:color="auto"/>
              </w:divBdr>
            </w:div>
            <w:div w:id="673725923">
              <w:marLeft w:val="0"/>
              <w:marRight w:val="0"/>
              <w:marTop w:val="0"/>
              <w:marBottom w:val="0"/>
              <w:divBdr>
                <w:top w:val="none" w:sz="0" w:space="0" w:color="auto"/>
                <w:left w:val="none" w:sz="0" w:space="0" w:color="auto"/>
                <w:bottom w:val="none" w:sz="0" w:space="0" w:color="auto"/>
                <w:right w:val="none" w:sz="0" w:space="0" w:color="auto"/>
              </w:divBdr>
            </w:div>
            <w:div w:id="728766397">
              <w:marLeft w:val="0"/>
              <w:marRight w:val="0"/>
              <w:marTop w:val="0"/>
              <w:marBottom w:val="0"/>
              <w:divBdr>
                <w:top w:val="none" w:sz="0" w:space="0" w:color="auto"/>
                <w:left w:val="none" w:sz="0" w:space="0" w:color="auto"/>
                <w:bottom w:val="none" w:sz="0" w:space="0" w:color="auto"/>
                <w:right w:val="none" w:sz="0" w:space="0" w:color="auto"/>
              </w:divBdr>
            </w:div>
            <w:div w:id="837305700">
              <w:marLeft w:val="0"/>
              <w:marRight w:val="0"/>
              <w:marTop w:val="0"/>
              <w:marBottom w:val="0"/>
              <w:divBdr>
                <w:top w:val="none" w:sz="0" w:space="0" w:color="auto"/>
                <w:left w:val="none" w:sz="0" w:space="0" w:color="auto"/>
                <w:bottom w:val="none" w:sz="0" w:space="0" w:color="auto"/>
                <w:right w:val="none" w:sz="0" w:space="0" w:color="auto"/>
              </w:divBdr>
            </w:div>
            <w:div w:id="1328362234">
              <w:marLeft w:val="0"/>
              <w:marRight w:val="0"/>
              <w:marTop w:val="0"/>
              <w:marBottom w:val="0"/>
              <w:divBdr>
                <w:top w:val="none" w:sz="0" w:space="0" w:color="auto"/>
                <w:left w:val="none" w:sz="0" w:space="0" w:color="auto"/>
                <w:bottom w:val="none" w:sz="0" w:space="0" w:color="auto"/>
                <w:right w:val="none" w:sz="0" w:space="0" w:color="auto"/>
              </w:divBdr>
            </w:div>
            <w:div w:id="1335916339">
              <w:marLeft w:val="0"/>
              <w:marRight w:val="0"/>
              <w:marTop w:val="0"/>
              <w:marBottom w:val="0"/>
              <w:divBdr>
                <w:top w:val="none" w:sz="0" w:space="0" w:color="auto"/>
                <w:left w:val="none" w:sz="0" w:space="0" w:color="auto"/>
                <w:bottom w:val="none" w:sz="0" w:space="0" w:color="auto"/>
                <w:right w:val="none" w:sz="0" w:space="0" w:color="auto"/>
              </w:divBdr>
            </w:div>
            <w:div w:id="135888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264188">
      <w:bodyDiv w:val="1"/>
      <w:marLeft w:val="0"/>
      <w:marRight w:val="0"/>
      <w:marTop w:val="0"/>
      <w:marBottom w:val="0"/>
      <w:divBdr>
        <w:top w:val="none" w:sz="0" w:space="0" w:color="auto"/>
        <w:left w:val="none" w:sz="0" w:space="0" w:color="auto"/>
        <w:bottom w:val="none" w:sz="0" w:space="0" w:color="auto"/>
        <w:right w:val="none" w:sz="0" w:space="0" w:color="auto"/>
      </w:divBdr>
    </w:div>
    <w:div w:id="1756052993">
      <w:bodyDiv w:val="1"/>
      <w:marLeft w:val="0"/>
      <w:marRight w:val="0"/>
      <w:marTop w:val="0"/>
      <w:marBottom w:val="0"/>
      <w:divBdr>
        <w:top w:val="none" w:sz="0" w:space="0" w:color="auto"/>
        <w:left w:val="none" w:sz="0" w:space="0" w:color="auto"/>
        <w:bottom w:val="none" w:sz="0" w:space="0" w:color="auto"/>
        <w:right w:val="none" w:sz="0" w:space="0" w:color="auto"/>
      </w:divBdr>
    </w:div>
    <w:div w:id="2056005071">
      <w:bodyDiv w:val="1"/>
      <w:marLeft w:val="0"/>
      <w:marRight w:val="0"/>
      <w:marTop w:val="0"/>
      <w:marBottom w:val="0"/>
      <w:divBdr>
        <w:top w:val="none" w:sz="0" w:space="0" w:color="auto"/>
        <w:left w:val="none" w:sz="0" w:space="0" w:color="auto"/>
        <w:bottom w:val="none" w:sz="0" w:space="0" w:color="auto"/>
        <w:right w:val="none" w:sz="0" w:space="0" w:color="auto"/>
      </w:divBdr>
      <w:divsChild>
        <w:div w:id="45033568">
          <w:marLeft w:val="0"/>
          <w:marRight w:val="0"/>
          <w:marTop w:val="0"/>
          <w:marBottom w:val="0"/>
          <w:divBdr>
            <w:top w:val="none" w:sz="0" w:space="0" w:color="auto"/>
            <w:left w:val="none" w:sz="0" w:space="0" w:color="auto"/>
            <w:bottom w:val="none" w:sz="0" w:space="0" w:color="auto"/>
            <w:right w:val="none" w:sz="0" w:space="0" w:color="auto"/>
          </w:divBdr>
          <w:divsChild>
            <w:div w:id="1721397766">
              <w:marLeft w:val="0"/>
              <w:marRight w:val="0"/>
              <w:marTop w:val="0"/>
              <w:marBottom w:val="0"/>
              <w:divBdr>
                <w:top w:val="none" w:sz="0" w:space="0" w:color="auto"/>
                <w:left w:val="none" w:sz="0" w:space="0" w:color="auto"/>
                <w:bottom w:val="none" w:sz="0" w:space="0" w:color="auto"/>
                <w:right w:val="none" w:sz="0" w:space="0" w:color="auto"/>
              </w:divBdr>
              <w:divsChild>
                <w:div w:id="1139958029">
                  <w:marLeft w:val="0"/>
                  <w:marRight w:val="0"/>
                  <w:marTop w:val="0"/>
                  <w:marBottom w:val="0"/>
                  <w:divBdr>
                    <w:top w:val="none" w:sz="0" w:space="0" w:color="auto"/>
                    <w:left w:val="none" w:sz="0" w:space="0" w:color="auto"/>
                    <w:bottom w:val="none" w:sz="0" w:space="0" w:color="auto"/>
                    <w:right w:val="none" w:sz="0" w:space="0" w:color="auto"/>
                  </w:divBdr>
                  <w:divsChild>
                    <w:div w:id="566303501">
                      <w:marLeft w:val="150"/>
                      <w:marRight w:val="150"/>
                      <w:marTop w:val="120"/>
                      <w:marBottom w:val="0"/>
                      <w:divBdr>
                        <w:top w:val="none" w:sz="0" w:space="0" w:color="auto"/>
                        <w:left w:val="none" w:sz="0" w:space="0" w:color="auto"/>
                        <w:bottom w:val="none" w:sz="0" w:space="0" w:color="auto"/>
                        <w:right w:val="none" w:sz="0" w:space="0" w:color="auto"/>
                      </w:divBdr>
                      <w:divsChild>
                        <w:div w:id="1214734554">
                          <w:marLeft w:val="0"/>
                          <w:marRight w:val="0"/>
                          <w:marTop w:val="0"/>
                          <w:marBottom w:val="0"/>
                          <w:divBdr>
                            <w:top w:val="none" w:sz="0" w:space="0" w:color="auto"/>
                            <w:left w:val="none" w:sz="0" w:space="0" w:color="auto"/>
                            <w:bottom w:val="none" w:sz="0" w:space="0" w:color="auto"/>
                            <w:right w:val="single" w:sz="6" w:space="8" w:color="DDDDDD"/>
                          </w:divBdr>
                          <w:divsChild>
                            <w:div w:id="877398489">
                              <w:marLeft w:val="0"/>
                              <w:marRight w:val="0"/>
                              <w:marTop w:val="0"/>
                              <w:marBottom w:val="0"/>
                              <w:divBdr>
                                <w:top w:val="none" w:sz="0" w:space="0" w:color="auto"/>
                                <w:left w:val="none" w:sz="0" w:space="0" w:color="auto"/>
                                <w:bottom w:val="none" w:sz="0" w:space="0" w:color="auto"/>
                                <w:right w:val="none" w:sz="0" w:space="0" w:color="auto"/>
                              </w:divBdr>
                              <w:divsChild>
                                <w:div w:id="690109582">
                                  <w:marLeft w:val="0"/>
                                  <w:marRight w:val="0"/>
                                  <w:marTop w:val="0"/>
                                  <w:marBottom w:val="0"/>
                                  <w:divBdr>
                                    <w:top w:val="none" w:sz="0" w:space="0" w:color="auto"/>
                                    <w:left w:val="none" w:sz="0" w:space="0" w:color="auto"/>
                                    <w:bottom w:val="none" w:sz="0" w:space="0" w:color="auto"/>
                                    <w:right w:val="none" w:sz="0" w:space="0" w:color="auto"/>
                                  </w:divBdr>
                                  <w:divsChild>
                                    <w:div w:id="951546195">
                                      <w:marLeft w:val="0"/>
                                      <w:marRight w:val="0"/>
                                      <w:marTop w:val="0"/>
                                      <w:marBottom w:val="0"/>
                                      <w:divBdr>
                                        <w:top w:val="none" w:sz="0" w:space="0" w:color="auto"/>
                                        <w:left w:val="none" w:sz="0" w:space="0" w:color="auto"/>
                                        <w:bottom w:val="none" w:sz="0" w:space="0" w:color="auto"/>
                                        <w:right w:val="none" w:sz="0" w:space="0" w:color="auto"/>
                                      </w:divBdr>
                                      <w:divsChild>
                                        <w:div w:id="27761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2634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tmp"/><Relationship Id="rId34" Type="http://schemas.openxmlformats.org/officeDocument/2006/relationships/image" Target="media/image27.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png"/><Relationship Id="rId33" Type="http://schemas.openxmlformats.org/officeDocument/2006/relationships/image" Target="media/image26.tm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image" Target="media/image2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tmp"/><Relationship Id="rId32" Type="http://schemas.openxmlformats.org/officeDocument/2006/relationships/image" Target="media/image25.tmp"/><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12.tmp"/><Relationship Id="rId31" Type="http://schemas.openxmlformats.org/officeDocument/2006/relationships/image" Target="media/image24.tm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tmp"/><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tmp"/></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teamadsen\Winny\Paghe\Documentale\MODELLI%20NOTE\PAGHE_AAAAXXYY_IMP.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C2BDF-2F0E-46D7-922A-152B2F578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PAGHE_AAAAXXYY_IMP.dotx</Template>
  <TotalTime>10845</TotalTime>
  <Pages>25</Pages>
  <Words>7230</Words>
  <Characters>41217</Characters>
  <Application>Microsoft Office Word</Application>
  <DocSecurity>0</DocSecurity>
  <Lines>343</Lines>
  <Paragraphs>96</Paragraphs>
  <ScaleCrop>false</ScaleCrop>
  <HeadingPairs>
    <vt:vector size="2" baseType="variant">
      <vt:variant>
        <vt:lpstr>Titolo</vt:lpstr>
      </vt:variant>
      <vt:variant>
        <vt:i4>1</vt:i4>
      </vt:variant>
    </vt:vector>
  </HeadingPairs>
  <TitlesOfParts>
    <vt:vector size="1" baseType="lpstr">
      <vt:lpstr>SPEDIZIONE</vt:lpstr>
    </vt:vector>
  </TitlesOfParts>
  <Company>Teamsystem S.p.A</Company>
  <LinksUpToDate>false</LinksUpToDate>
  <CharactersWithSpaces>48351</CharactersWithSpaces>
  <SharedDoc>false</SharedDoc>
  <HLinks>
    <vt:vector size="84" baseType="variant">
      <vt:variant>
        <vt:i4>1441843</vt:i4>
      </vt:variant>
      <vt:variant>
        <vt:i4>74</vt:i4>
      </vt:variant>
      <vt:variant>
        <vt:i4>0</vt:i4>
      </vt:variant>
      <vt:variant>
        <vt:i4>5</vt:i4>
      </vt:variant>
      <vt:variant>
        <vt:lpwstr/>
      </vt:variant>
      <vt:variant>
        <vt:lpwstr>_Toc425959737</vt:lpwstr>
      </vt:variant>
      <vt:variant>
        <vt:i4>1441843</vt:i4>
      </vt:variant>
      <vt:variant>
        <vt:i4>68</vt:i4>
      </vt:variant>
      <vt:variant>
        <vt:i4>0</vt:i4>
      </vt:variant>
      <vt:variant>
        <vt:i4>5</vt:i4>
      </vt:variant>
      <vt:variant>
        <vt:lpwstr/>
      </vt:variant>
      <vt:variant>
        <vt:lpwstr>_Toc425959736</vt:lpwstr>
      </vt:variant>
      <vt:variant>
        <vt:i4>1441843</vt:i4>
      </vt:variant>
      <vt:variant>
        <vt:i4>62</vt:i4>
      </vt:variant>
      <vt:variant>
        <vt:i4>0</vt:i4>
      </vt:variant>
      <vt:variant>
        <vt:i4>5</vt:i4>
      </vt:variant>
      <vt:variant>
        <vt:lpwstr/>
      </vt:variant>
      <vt:variant>
        <vt:lpwstr>_Toc425959735</vt:lpwstr>
      </vt:variant>
      <vt:variant>
        <vt:i4>1441843</vt:i4>
      </vt:variant>
      <vt:variant>
        <vt:i4>56</vt:i4>
      </vt:variant>
      <vt:variant>
        <vt:i4>0</vt:i4>
      </vt:variant>
      <vt:variant>
        <vt:i4>5</vt:i4>
      </vt:variant>
      <vt:variant>
        <vt:lpwstr/>
      </vt:variant>
      <vt:variant>
        <vt:lpwstr>_Toc425959734</vt:lpwstr>
      </vt:variant>
      <vt:variant>
        <vt:i4>1441843</vt:i4>
      </vt:variant>
      <vt:variant>
        <vt:i4>50</vt:i4>
      </vt:variant>
      <vt:variant>
        <vt:i4>0</vt:i4>
      </vt:variant>
      <vt:variant>
        <vt:i4>5</vt:i4>
      </vt:variant>
      <vt:variant>
        <vt:lpwstr/>
      </vt:variant>
      <vt:variant>
        <vt:lpwstr>_Toc425959733</vt:lpwstr>
      </vt:variant>
      <vt:variant>
        <vt:i4>1441843</vt:i4>
      </vt:variant>
      <vt:variant>
        <vt:i4>44</vt:i4>
      </vt:variant>
      <vt:variant>
        <vt:i4>0</vt:i4>
      </vt:variant>
      <vt:variant>
        <vt:i4>5</vt:i4>
      </vt:variant>
      <vt:variant>
        <vt:lpwstr/>
      </vt:variant>
      <vt:variant>
        <vt:lpwstr>_Toc425959732</vt:lpwstr>
      </vt:variant>
      <vt:variant>
        <vt:i4>1441843</vt:i4>
      </vt:variant>
      <vt:variant>
        <vt:i4>38</vt:i4>
      </vt:variant>
      <vt:variant>
        <vt:i4>0</vt:i4>
      </vt:variant>
      <vt:variant>
        <vt:i4>5</vt:i4>
      </vt:variant>
      <vt:variant>
        <vt:lpwstr/>
      </vt:variant>
      <vt:variant>
        <vt:lpwstr>_Toc425959731</vt:lpwstr>
      </vt:variant>
      <vt:variant>
        <vt:i4>1441843</vt:i4>
      </vt:variant>
      <vt:variant>
        <vt:i4>32</vt:i4>
      </vt:variant>
      <vt:variant>
        <vt:i4>0</vt:i4>
      </vt:variant>
      <vt:variant>
        <vt:i4>5</vt:i4>
      </vt:variant>
      <vt:variant>
        <vt:lpwstr/>
      </vt:variant>
      <vt:variant>
        <vt:lpwstr>_Toc425959730</vt:lpwstr>
      </vt:variant>
      <vt:variant>
        <vt:i4>1507379</vt:i4>
      </vt:variant>
      <vt:variant>
        <vt:i4>26</vt:i4>
      </vt:variant>
      <vt:variant>
        <vt:i4>0</vt:i4>
      </vt:variant>
      <vt:variant>
        <vt:i4>5</vt:i4>
      </vt:variant>
      <vt:variant>
        <vt:lpwstr/>
      </vt:variant>
      <vt:variant>
        <vt:lpwstr>_Toc425959729</vt:lpwstr>
      </vt:variant>
      <vt:variant>
        <vt:i4>1507379</vt:i4>
      </vt:variant>
      <vt:variant>
        <vt:i4>20</vt:i4>
      </vt:variant>
      <vt:variant>
        <vt:i4>0</vt:i4>
      </vt:variant>
      <vt:variant>
        <vt:i4>5</vt:i4>
      </vt:variant>
      <vt:variant>
        <vt:lpwstr/>
      </vt:variant>
      <vt:variant>
        <vt:lpwstr>_Toc425959728</vt:lpwstr>
      </vt:variant>
      <vt:variant>
        <vt:i4>1507379</vt:i4>
      </vt:variant>
      <vt:variant>
        <vt:i4>14</vt:i4>
      </vt:variant>
      <vt:variant>
        <vt:i4>0</vt:i4>
      </vt:variant>
      <vt:variant>
        <vt:i4>5</vt:i4>
      </vt:variant>
      <vt:variant>
        <vt:lpwstr/>
      </vt:variant>
      <vt:variant>
        <vt:lpwstr>_Toc425959727</vt:lpwstr>
      </vt:variant>
      <vt:variant>
        <vt:i4>1507379</vt:i4>
      </vt:variant>
      <vt:variant>
        <vt:i4>8</vt:i4>
      </vt:variant>
      <vt:variant>
        <vt:i4>0</vt:i4>
      </vt:variant>
      <vt:variant>
        <vt:i4>5</vt:i4>
      </vt:variant>
      <vt:variant>
        <vt:lpwstr/>
      </vt:variant>
      <vt:variant>
        <vt:lpwstr>_Toc425959726</vt:lpwstr>
      </vt:variant>
      <vt:variant>
        <vt:i4>1507379</vt:i4>
      </vt:variant>
      <vt:variant>
        <vt:i4>2</vt:i4>
      </vt:variant>
      <vt:variant>
        <vt:i4>0</vt:i4>
      </vt:variant>
      <vt:variant>
        <vt:i4>5</vt:i4>
      </vt:variant>
      <vt:variant>
        <vt:lpwstr/>
      </vt:variant>
      <vt:variant>
        <vt:lpwstr>_Toc425959725</vt:lpwstr>
      </vt:variant>
      <vt:variant>
        <vt:i4>6422638</vt:i4>
      </vt:variant>
      <vt:variant>
        <vt:i4>0</vt:i4>
      </vt:variant>
      <vt:variant>
        <vt:i4>0</vt:i4>
      </vt:variant>
      <vt:variant>
        <vt:i4>5</vt:i4>
      </vt:variant>
      <vt:variant>
        <vt:lpwstr/>
      </vt:variant>
      <vt:variant>
        <vt:lpwstr>INDICE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SPEDIZIONE</dc:title>
  <dc:creator>Luca Moricoli</dc:creator>
  <cp:lastModifiedBy>Luca Moricoli</cp:lastModifiedBy>
  <cp:revision>571</cp:revision>
  <cp:lastPrinted>2017-10-31T11:28:00Z</cp:lastPrinted>
  <dcterms:created xsi:type="dcterms:W3CDTF">2017-07-25T07:42:00Z</dcterms:created>
  <dcterms:modified xsi:type="dcterms:W3CDTF">2017-10-31T11:28:00Z</dcterms:modified>
</cp:coreProperties>
</file>