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5239" w:rsidRPr="00A937B9" w:rsidRDefault="00D53339">
      <w:pPr>
        <w:pStyle w:val="WWTipoDocumento"/>
        <w:ind w:left="0"/>
      </w:pPr>
      <w:bookmarkStart w:id="0" w:name="_Toc33011301"/>
      <w:r w:rsidRPr="00A937B9">
        <w:t>IMPLEMENTAZIONI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3"/>
        <w:gridCol w:w="3544"/>
        <w:gridCol w:w="3831"/>
      </w:tblGrid>
      <w:tr w:rsidR="00FB5239" w:rsidRPr="00A937B9">
        <w:trPr>
          <w:cantSplit/>
          <w:trHeight w:val="221"/>
          <w:jc w:val="center"/>
        </w:trPr>
        <w:tc>
          <w:tcPr>
            <w:tcW w:w="2273" w:type="dxa"/>
            <w:vMerge w:val="restart"/>
            <w:tcBorders>
              <w:top w:val="nil"/>
              <w:left w:val="nil"/>
              <w:bottom w:val="nil"/>
              <w:right w:val="single" w:sz="4" w:space="0" w:color="365F91"/>
            </w:tcBorders>
            <w:tcMar>
              <w:left w:w="28" w:type="dxa"/>
              <w:right w:w="28" w:type="dxa"/>
            </w:tcMar>
          </w:tcPr>
          <w:p w:rsidR="00FB5239" w:rsidRPr="00A937B9" w:rsidRDefault="00D53339">
            <w:pPr>
              <w:pStyle w:val="CorpoAltF0"/>
              <w:jc w:val="center"/>
              <w:rPr>
                <w:rFonts w:cs="Arial"/>
              </w:rPr>
            </w:pPr>
            <w:bookmarkStart w:id="1" w:name="INDICE"/>
            <w:bookmarkEnd w:id="1"/>
            <w:r w:rsidRPr="00A937B9">
              <w:rPr>
                <w:rFonts w:cs="Arial"/>
                <w:noProof/>
              </w:rPr>
              <w:drawing>
                <wp:inline distT="0" distB="0" distL="0" distR="0">
                  <wp:extent cx="1158875" cy="1384300"/>
                  <wp:effectExtent l="0" t="0" r="3175" b="6350"/>
                  <wp:docPr id="8" name="Immagine 1" descr="PAGHE_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HE_splas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875" cy="1384300"/>
                          </a:xfrm>
                          <a:prstGeom prst="rect">
                            <a:avLst/>
                          </a:prstGeom>
                          <a:noFill/>
                          <a:ln>
                            <a:noFill/>
                          </a:ln>
                        </pic:spPr>
                      </pic:pic>
                    </a:graphicData>
                  </a:graphic>
                </wp:inline>
              </w:drawing>
            </w:r>
          </w:p>
        </w:tc>
        <w:tc>
          <w:tcPr>
            <w:tcW w:w="7375" w:type="dxa"/>
            <w:gridSpan w:val="2"/>
            <w:tcBorders>
              <w:top w:val="single" w:sz="4" w:space="0" w:color="365F91"/>
              <w:left w:val="single" w:sz="4" w:space="0" w:color="365F91"/>
              <w:bottom w:val="single" w:sz="4" w:space="0" w:color="365F91"/>
              <w:right w:val="single" w:sz="4" w:space="0" w:color="365F91"/>
            </w:tcBorders>
            <w:shd w:val="clear" w:color="auto" w:fill="CCCCCC"/>
            <w:vAlign w:val="center"/>
          </w:tcPr>
          <w:p w:rsidR="00FB5239" w:rsidRPr="00A937B9" w:rsidRDefault="00D53339">
            <w:pPr>
              <w:pStyle w:val="CorpoAltF0"/>
              <w:rPr>
                <w:rFonts w:cs="Arial"/>
                <w:b/>
              </w:rPr>
            </w:pPr>
            <w:r w:rsidRPr="00A937B9">
              <w:rPr>
                <w:rFonts w:cs="Arial"/>
                <w:b/>
              </w:rPr>
              <w:t>RELEASE Versione 2017.2.3</w:t>
            </w:r>
          </w:p>
        </w:tc>
      </w:tr>
      <w:tr w:rsidR="00FB5239" w:rsidRPr="00A937B9">
        <w:trPr>
          <w:cantSplit/>
          <w:trHeight w:val="268"/>
          <w:jc w:val="center"/>
        </w:trPr>
        <w:tc>
          <w:tcPr>
            <w:tcW w:w="2273" w:type="dxa"/>
            <w:vMerge/>
            <w:tcBorders>
              <w:left w:val="nil"/>
              <w:bottom w:val="nil"/>
              <w:right w:val="single" w:sz="4" w:space="0" w:color="365F91"/>
            </w:tcBorders>
            <w:tcMar>
              <w:left w:w="28" w:type="dxa"/>
              <w:right w:w="28" w:type="dxa"/>
            </w:tcMar>
          </w:tcPr>
          <w:p w:rsidR="00FB5239" w:rsidRPr="00A937B9" w:rsidRDefault="00FB5239">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rsidR="00FB5239" w:rsidRPr="00A937B9" w:rsidRDefault="00D53339">
            <w:pPr>
              <w:pStyle w:val="Intestazione"/>
              <w:tabs>
                <w:tab w:val="clear" w:pos="4819"/>
                <w:tab w:val="clear" w:pos="9638"/>
              </w:tabs>
              <w:ind w:right="227"/>
              <w:jc w:val="right"/>
              <w:rPr>
                <w:rFonts w:ascii="Arial" w:hAnsi="Arial" w:cs="Arial"/>
                <w:b/>
                <w:bCs/>
              </w:rPr>
            </w:pPr>
            <w:r w:rsidRPr="00A937B9">
              <w:rPr>
                <w:rFonts w:ascii="Arial" w:hAnsi="Arial" w:cs="Arial"/>
                <w:b/>
                <w:bCs/>
              </w:rPr>
              <w:t>Applicativo:</w:t>
            </w:r>
          </w:p>
        </w:tc>
        <w:tc>
          <w:tcPr>
            <w:tcW w:w="3831" w:type="dxa"/>
            <w:tcBorders>
              <w:top w:val="single" w:sz="4" w:space="0" w:color="365F91"/>
              <w:left w:val="single" w:sz="4" w:space="0" w:color="365F91"/>
              <w:bottom w:val="single" w:sz="4" w:space="0" w:color="365F91"/>
              <w:right w:val="single" w:sz="4" w:space="0" w:color="365F91"/>
            </w:tcBorders>
            <w:vAlign w:val="center"/>
          </w:tcPr>
          <w:p w:rsidR="00FB5239" w:rsidRPr="00A937B9" w:rsidRDefault="00D53339">
            <w:pPr>
              <w:pStyle w:val="Intestazione"/>
              <w:tabs>
                <w:tab w:val="clear" w:pos="4819"/>
                <w:tab w:val="clear" w:pos="9638"/>
              </w:tabs>
              <w:spacing w:before="120" w:after="120"/>
              <w:rPr>
                <w:rFonts w:ascii="Arial" w:hAnsi="Arial" w:cs="Arial"/>
                <w:sz w:val="28"/>
                <w:szCs w:val="28"/>
              </w:rPr>
            </w:pPr>
            <w:r w:rsidRPr="00A937B9">
              <w:rPr>
                <w:rFonts w:ascii="Arial" w:hAnsi="Arial" w:cs="Arial"/>
                <w:b/>
                <w:sz w:val="28"/>
                <w:szCs w:val="28"/>
              </w:rPr>
              <w:t>GECOM PAGHE</w:t>
            </w:r>
          </w:p>
        </w:tc>
      </w:tr>
      <w:tr w:rsidR="00FB5239" w:rsidRPr="00A937B9">
        <w:trPr>
          <w:cantSplit/>
          <w:trHeight w:val="266"/>
          <w:jc w:val="center"/>
        </w:trPr>
        <w:tc>
          <w:tcPr>
            <w:tcW w:w="2273" w:type="dxa"/>
            <w:vMerge/>
            <w:tcBorders>
              <w:left w:val="nil"/>
              <w:bottom w:val="nil"/>
              <w:right w:val="single" w:sz="4" w:space="0" w:color="365F91"/>
            </w:tcBorders>
            <w:tcMar>
              <w:left w:w="28" w:type="dxa"/>
              <w:right w:w="28" w:type="dxa"/>
            </w:tcMar>
          </w:tcPr>
          <w:p w:rsidR="00FB5239" w:rsidRPr="00A937B9" w:rsidRDefault="00FB5239">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rsidR="00FB5239" w:rsidRPr="00A937B9" w:rsidRDefault="00D53339">
            <w:pPr>
              <w:pStyle w:val="Intestazione"/>
              <w:tabs>
                <w:tab w:val="clear" w:pos="4819"/>
                <w:tab w:val="clear" w:pos="9638"/>
              </w:tabs>
              <w:ind w:right="227"/>
              <w:jc w:val="right"/>
              <w:rPr>
                <w:rFonts w:ascii="Arial" w:hAnsi="Arial" w:cs="Arial"/>
                <w:b/>
                <w:bCs/>
              </w:rPr>
            </w:pPr>
            <w:r w:rsidRPr="00A937B9">
              <w:rPr>
                <w:rFonts w:ascii="Arial" w:hAnsi="Arial" w:cs="Arial"/>
                <w:b/>
                <w:bCs/>
              </w:rPr>
              <w:t>Oggetto:</w:t>
            </w:r>
          </w:p>
        </w:tc>
        <w:tc>
          <w:tcPr>
            <w:tcW w:w="3831" w:type="dxa"/>
            <w:tcBorders>
              <w:top w:val="single" w:sz="4" w:space="0" w:color="365F91"/>
              <w:left w:val="single" w:sz="4" w:space="0" w:color="365F91"/>
              <w:bottom w:val="single" w:sz="4" w:space="0" w:color="365F91"/>
              <w:right w:val="single" w:sz="4" w:space="0" w:color="365F91"/>
            </w:tcBorders>
            <w:vAlign w:val="center"/>
          </w:tcPr>
          <w:p w:rsidR="00FB5239" w:rsidRPr="00A937B9" w:rsidRDefault="00D53339">
            <w:pPr>
              <w:pStyle w:val="Intestazione"/>
              <w:tabs>
                <w:tab w:val="clear" w:pos="4819"/>
                <w:tab w:val="clear" w:pos="9638"/>
              </w:tabs>
              <w:rPr>
                <w:rFonts w:ascii="Arial" w:hAnsi="Arial" w:cs="Arial"/>
                <w:b/>
              </w:rPr>
            </w:pPr>
            <w:r w:rsidRPr="00A937B9">
              <w:rPr>
                <w:rFonts w:ascii="Arial" w:hAnsi="Arial" w:cs="Arial"/>
              </w:rPr>
              <w:t>Aggiornamento procedura</w:t>
            </w:r>
          </w:p>
        </w:tc>
      </w:tr>
      <w:tr w:rsidR="00FB5239" w:rsidRPr="00A937B9">
        <w:trPr>
          <w:cantSplit/>
          <w:trHeight w:val="266"/>
          <w:jc w:val="center"/>
        </w:trPr>
        <w:tc>
          <w:tcPr>
            <w:tcW w:w="2273" w:type="dxa"/>
            <w:vMerge/>
            <w:tcBorders>
              <w:left w:val="nil"/>
              <w:bottom w:val="nil"/>
              <w:right w:val="single" w:sz="4" w:space="0" w:color="365F91"/>
            </w:tcBorders>
            <w:tcMar>
              <w:left w:w="28" w:type="dxa"/>
              <w:right w:w="28" w:type="dxa"/>
            </w:tcMar>
          </w:tcPr>
          <w:p w:rsidR="00FB5239" w:rsidRPr="00A937B9" w:rsidRDefault="00FB5239">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rsidR="00FB5239" w:rsidRPr="00A937B9" w:rsidRDefault="00D53339">
            <w:pPr>
              <w:pStyle w:val="Intestazione"/>
              <w:tabs>
                <w:tab w:val="clear" w:pos="4819"/>
                <w:tab w:val="clear" w:pos="9638"/>
              </w:tabs>
              <w:ind w:right="227"/>
              <w:jc w:val="right"/>
              <w:rPr>
                <w:rFonts w:ascii="Arial" w:hAnsi="Arial" w:cs="Arial"/>
                <w:b/>
                <w:bCs/>
              </w:rPr>
            </w:pPr>
            <w:r w:rsidRPr="00A937B9">
              <w:rPr>
                <w:rFonts w:ascii="Arial" w:hAnsi="Arial" w:cs="Arial"/>
                <w:b/>
                <w:bCs/>
              </w:rPr>
              <w:t>Versione:</w:t>
            </w:r>
          </w:p>
        </w:tc>
        <w:tc>
          <w:tcPr>
            <w:tcW w:w="3831" w:type="dxa"/>
            <w:tcBorders>
              <w:top w:val="single" w:sz="4" w:space="0" w:color="365F91"/>
              <w:left w:val="single" w:sz="4" w:space="0" w:color="365F91"/>
              <w:bottom w:val="single" w:sz="4" w:space="0" w:color="365F91"/>
              <w:right w:val="single" w:sz="4" w:space="0" w:color="365F91"/>
            </w:tcBorders>
            <w:vAlign w:val="center"/>
          </w:tcPr>
          <w:p w:rsidR="00FB5239" w:rsidRPr="00A937B9" w:rsidRDefault="00D53339">
            <w:pPr>
              <w:pStyle w:val="Intestazione"/>
              <w:tabs>
                <w:tab w:val="clear" w:pos="4819"/>
                <w:tab w:val="clear" w:pos="9638"/>
              </w:tabs>
              <w:rPr>
                <w:rFonts w:ascii="Arial" w:hAnsi="Arial" w:cs="Arial"/>
                <w:b/>
              </w:rPr>
            </w:pPr>
            <w:r w:rsidRPr="00A937B9">
              <w:rPr>
                <w:rFonts w:ascii="Arial" w:hAnsi="Arial" w:cs="Arial"/>
                <w:b/>
              </w:rPr>
              <w:t>2017.2.3 (Update)</w:t>
            </w:r>
          </w:p>
        </w:tc>
      </w:tr>
      <w:tr w:rsidR="00FB5239" w:rsidRPr="00A937B9">
        <w:trPr>
          <w:cantSplit/>
          <w:trHeight w:val="266"/>
          <w:jc w:val="center"/>
        </w:trPr>
        <w:tc>
          <w:tcPr>
            <w:tcW w:w="2273" w:type="dxa"/>
            <w:vMerge/>
            <w:tcBorders>
              <w:left w:val="nil"/>
              <w:bottom w:val="nil"/>
              <w:right w:val="single" w:sz="4" w:space="0" w:color="365F91"/>
            </w:tcBorders>
            <w:tcMar>
              <w:left w:w="28" w:type="dxa"/>
              <w:right w:w="28" w:type="dxa"/>
            </w:tcMar>
          </w:tcPr>
          <w:p w:rsidR="00FB5239" w:rsidRPr="00A937B9" w:rsidRDefault="00FB5239">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rsidR="00FB5239" w:rsidRPr="00A937B9" w:rsidRDefault="00D53339">
            <w:pPr>
              <w:pStyle w:val="Intestazione"/>
              <w:tabs>
                <w:tab w:val="clear" w:pos="4819"/>
                <w:tab w:val="clear" w:pos="9638"/>
              </w:tabs>
              <w:ind w:right="227"/>
              <w:jc w:val="right"/>
              <w:rPr>
                <w:rFonts w:ascii="Arial" w:hAnsi="Arial" w:cs="Arial"/>
                <w:b/>
                <w:bCs/>
              </w:rPr>
            </w:pPr>
            <w:r w:rsidRPr="00A937B9">
              <w:rPr>
                <w:rFonts w:ascii="Arial" w:hAnsi="Arial" w:cs="Arial"/>
                <w:b/>
                <w:bCs/>
              </w:rPr>
              <w:t>Data di rilascio:</w:t>
            </w:r>
          </w:p>
        </w:tc>
        <w:tc>
          <w:tcPr>
            <w:tcW w:w="3831" w:type="dxa"/>
            <w:tcBorders>
              <w:top w:val="single" w:sz="4" w:space="0" w:color="365F91"/>
              <w:left w:val="single" w:sz="4" w:space="0" w:color="365F91"/>
              <w:bottom w:val="single" w:sz="4" w:space="0" w:color="365F91"/>
              <w:right w:val="single" w:sz="4" w:space="0" w:color="365F91"/>
            </w:tcBorders>
            <w:vAlign w:val="center"/>
          </w:tcPr>
          <w:p w:rsidR="00FB5239" w:rsidRPr="00A937B9" w:rsidRDefault="00353A57">
            <w:pPr>
              <w:pStyle w:val="Intestazione"/>
              <w:tabs>
                <w:tab w:val="clear" w:pos="4819"/>
                <w:tab w:val="clear" w:pos="9638"/>
              </w:tabs>
              <w:rPr>
                <w:rFonts w:ascii="Arial" w:hAnsi="Arial" w:cs="Arial"/>
                <w:b/>
              </w:rPr>
            </w:pPr>
            <w:r w:rsidRPr="00A937B9">
              <w:rPr>
                <w:rFonts w:ascii="Arial" w:hAnsi="Arial" w:cs="Arial"/>
                <w:b/>
              </w:rPr>
              <w:t>22</w:t>
            </w:r>
            <w:r w:rsidR="00D53339" w:rsidRPr="00A937B9">
              <w:rPr>
                <w:rFonts w:ascii="Arial" w:hAnsi="Arial" w:cs="Arial"/>
                <w:b/>
              </w:rPr>
              <w:t>.11.2017</w:t>
            </w:r>
          </w:p>
        </w:tc>
      </w:tr>
      <w:tr w:rsidR="00FB5239" w:rsidRPr="00A937B9">
        <w:trPr>
          <w:cantSplit/>
          <w:trHeight w:val="266"/>
          <w:jc w:val="center"/>
        </w:trPr>
        <w:tc>
          <w:tcPr>
            <w:tcW w:w="2273" w:type="dxa"/>
            <w:vMerge/>
            <w:tcBorders>
              <w:left w:val="nil"/>
              <w:bottom w:val="nil"/>
              <w:right w:val="single" w:sz="4" w:space="0" w:color="365F91"/>
            </w:tcBorders>
            <w:tcMar>
              <w:left w:w="28" w:type="dxa"/>
              <w:right w:w="28" w:type="dxa"/>
            </w:tcMar>
          </w:tcPr>
          <w:p w:rsidR="00FB5239" w:rsidRPr="00A937B9" w:rsidRDefault="00FB5239">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rsidR="00FB5239" w:rsidRPr="00A937B9" w:rsidRDefault="00D53339">
            <w:pPr>
              <w:pStyle w:val="Intestazione"/>
              <w:tabs>
                <w:tab w:val="clear" w:pos="4819"/>
                <w:tab w:val="clear" w:pos="9638"/>
              </w:tabs>
              <w:ind w:right="227"/>
              <w:jc w:val="right"/>
              <w:rPr>
                <w:rFonts w:ascii="Arial" w:hAnsi="Arial" w:cs="Arial"/>
                <w:b/>
                <w:bCs/>
              </w:rPr>
            </w:pPr>
            <w:r w:rsidRPr="00A937B9">
              <w:rPr>
                <w:rFonts w:ascii="Arial" w:hAnsi="Arial" w:cs="Arial"/>
                <w:b/>
                <w:bCs/>
              </w:rPr>
              <w:t>Riferimento:</w:t>
            </w:r>
          </w:p>
        </w:tc>
        <w:tc>
          <w:tcPr>
            <w:tcW w:w="3831" w:type="dxa"/>
            <w:tcBorders>
              <w:top w:val="single" w:sz="4" w:space="0" w:color="365F91"/>
              <w:left w:val="single" w:sz="4" w:space="0" w:color="365F91"/>
              <w:bottom w:val="single" w:sz="4" w:space="0" w:color="365F91"/>
              <w:right w:val="single" w:sz="4" w:space="0" w:color="365F91"/>
            </w:tcBorders>
            <w:vAlign w:val="center"/>
          </w:tcPr>
          <w:p w:rsidR="00FB5239" w:rsidRPr="00A937B9" w:rsidRDefault="00D53339">
            <w:pPr>
              <w:pStyle w:val="Intestazione"/>
              <w:tabs>
                <w:tab w:val="clear" w:pos="4819"/>
                <w:tab w:val="clear" w:pos="9638"/>
              </w:tabs>
              <w:rPr>
                <w:rFonts w:ascii="Arial" w:hAnsi="Arial" w:cs="Arial"/>
                <w:b/>
              </w:rPr>
            </w:pPr>
            <w:r w:rsidRPr="00A937B9">
              <w:rPr>
                <w:rFonts w:ascii="Arial" w:hAnsi="Arial" w:cs="Arial"/>
                <w:b/>
              </w:rPr>
              <w:t>Implementazioni</w:t>
            </w:r>
          </w:p>
        </w:tc>
      </w:tr>
      <w:tr w:rsidR="00FB5239" w:rsidRPr="00A937B9">
        <w:trPr>
          <w:cantSplit/>
          <w:trHeight w:val="266"/>
          <w:jc w:val="center"/>
        </w:trPr>
        <w:tc>
          <w:tcPr>
            <w:tcW w:w="2273" w:type="dxa"/>
            <w:vMerge/>
            <w:tcBorders>
              <w:left w:val="nil"/>
              <w:bottom w:val="nil"/>
              <w:right w:val="single" w:sz="4" w:space="0" w:color="365F91"/>
            </w:tcBorders>
            <w:tcMar>
              <w:left w:w="28" w:type="dxa"/>
              <w:right w:w="28" w:type="dxa"/>
            </w:tcMar>
          </w:tcPr>
          <w:p w:rsidR="00FB5239" w:rsidRPr="00A937B9" w:rsidRDefault="00FB5239">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rsidR="00FB5239" w:rsidRPr="00A937B9" w:rsidRDefault="00D53339">
            <w:pPr>
              <w:pStyle w:val="Intestazione"/>
              <w:tabs>
                <w:tab w:val="clear" w:pos="4819"/>
                <w:tab w:val="clear" w:pos="9638"/>
              </w:tabs>
              <w:ind w:right="227"/>
              <w:jc w:val="right"/>
              <w:rPr>
                <w:rFonts w:ascii="Arial" w:hAnsi="Arial" w:cs="Arial"/>
                <w:b/>
                <w:bCs/>
              </w:rPr>
            </w:pPr>
            <w:r w:rsidRPr="00A937B9">
              <w:rPr>
                <w:rFonts w:ascii="Arial" w:hAnsi="Arial" w:cs="Arial"/>
                <w:b/>
                <w:bCs/>
              </w:rPr>
              <w:t>Classificazione:</w:t>
            </w:r>
          </w:p>
        </w:tc>
        <w:tc>
          <w:tcPr>
            <w:tcW w:w="3831" w:type="dxa"/>
            <w:tcBorders>
              <w:top w:val="single" w:sz="4" w:space="0" w:color="365F91"/>
              <w:left w:val="single" w:sz="4" w:space="0" w:color="365F91"/>
              <w:bottom w:val="single" w:sz="4" w:space="0" w:color="365F91"/>
              <w:right w:val="single" w:sz="4" w:space="0" w:color="365F91"/>
            </w:tcBorders>
            <w:vAlign w:val="center"/>
          </w:tcPr>
          <w:p w:rsidR="00FB5239" w:rsidRPr="00A937B9" w:rsidRDefault="00D53339">
            <w:pPr>
              <w:pStyle w:val="Intestazione"/>
              <w:tabs>
                <w:tab w:val="clear" w:pos="4819"/>
                <w:tab w:val="clear" w:pos="9638"/>
              </w:tabs>
              <w:rPr>
                <w:rFonts w:ascii="Arial" w:hAnsi="Arial" w:cs="Arial"/>
                <w:b/>
              </w:rPr>
            </w:pPr>
            <w:r w:rsidRPr="00A937B9">
              <w:rPr>
                <w:rFonts w:ascii="Arial" w:hAnsi="Arial" w:cs="Arial"/>
                <w:b/>
              </w:rPr>
              <w:t>Guida utente</w:t>
            </w:r>
          </w:p>
        </w:tc>
      </w:tr>
    </w:tbl>
    <w:p w:rsidR="00FB5239" w:rsidRPr="00A937B9" w:rsidRDefault="00FB5239">
      <w:pPr>
        <w:pStyle w:val="Ignora"/>
      </w:pPr>
    </w:p>
    <w:p w:rsidR="00FB5239" w:rsidRPr="00A937B9" w:rsidRDefault="00FB5239">
      <w:pPr>
        <w:pStyle w:val="Ignora"/>
      </w:pPr>
    </w:p>
    <w:p w:rsidR="00FB5239" w:rsidRPr="00A937B9" w:rsidRDefault="00FB5239">
      <w:pPr>
        <w:pStyle w:val="WWNewPage"/>
      </w:pPr>
    </w:p>
    <w:p w:rsidR="00FB5239" w:rsidRPr="00A937B9" w:rsidRDefault="00D53339">
      <w:pPr>
        <w:pStyle w:val="Ignora"/>
        <w:pBdr>
          <w:top w:val="single" w:sz="12" w:space="1" w:color="1F497D" w:themeColor="text2"/>
          <w:left w:val="single" w:sz="12" w:space="4" w:color="1F497D" w:themeColor="text2"/>
          <w:bottom w:val="single" w:sz="18" w:space="1" w:color="1F497D" w:themeColor="text2"/>
          <w:right w:val="single" w:sz="18" w:space="4" w:color="1F497D" w:themeColor="text2"/>
        </w:pBdr>
        <w:ind w:left="142" w:right="141"/>
        <w:jc w:val="center"/>
        <w:rPr>
          <w:b/>
          <w:i/>
          <w:spacing w:val="14"/>
          <w:sz w:val="28"/>
          <w:szCs w:val="28"/>
        </w:rPr>
      </w:pPr>
      <w:r w:rsidRPr="00A937B9">
        <w:rPr>
          <w:b/>
          <w:i/>
          <w:spacing w:val="14"/>
          <w:sz w:val="28"/>
          <w:szCs w:val="28"/>
        </w:rPr>
        <w:t>IMPLEMENTAZIONI</w:t>
      </w:r>
    </w:p>
    <w:p w:rsidR="00FB5239" w:rsidRPr="00A937B9" w:rsidRDefault="00FB5239">
      <w:pPr>
        <w:pStyle w:val="Ignora"/>
      </w:pPr>
    </w:p>
    <w:p w:rsidR="00A937B9" w:rsidRDefault="00D53339">
      <w:pPr>
        <w:pStyle w:val="Sommario1"/>
        <w:rPr>
          <w:rFonts w:asciiTheme="minorHAnsi" w:eastAsiaTheme="minorEastAsia" w:hAnsiTheme="minorHAnsi" w:cstheme="minorBidi"/>
          <w:b w:val="0"/>
          <w:color w:val="auto"/>
          <w:sz w:val="22"/>
          <w:szCs w:val="22"/>
        </w:rPr>
      </w:pPr>
      <w:r w:rsidRPr="00A937B9">
        <w:rPr>
          <w:rStyle w:val="Collegamentoipertestuale"/>
          <w:b w:val="0"/>
          <w:i/>
          <w:iCs/>
          <w:color w:val="auto"/>
          <w:spacing w:val="-20"/>
          <w:szCs w:val="28"/>
          <w:u w:val="none"/>
        </w:rPr>
        <w:fldChar w:fldCharType="begin"/>
      </w:r>
      <w:r w:rsidRPr="00A937B9">
        <w:rPr>
          <w:rStyle w:val="Collegamentoipertestuale"/>
          <w:b w:val="0"/>
          <w:i/>
          <w:iCs/>
          <w:color w:val="auto"/>
          <w:spacing w:val="-20"/>
          <w:szCs w:val="28"/>
          <w:u w:val="none"/>
        </w:rPr>
        <w:instrText xml:space="preserve"> TOC \h \z \t "TS-titolo-01;1;TS-titolo-04;4;TS-titolo-Comando;2;TS-titolo-05;5;WW_NormativaSoftware;3" </w:instrText>
      </w:r>
      <w:r w:rsidRPr="00A937B9">
        <w:rPr>
          <w:rStyle w:val="Collegamentoipertestuale"/>
          <w:b w:val="0"/>
          <w:i/>
          <w:iCs/>
          <w:color w:val="auto"/>
          <w:spacing w:val="-20"/>
          <w:szCs w:val="28"/>
          <w:u w:val="none"/>
        </w:rPr>
        <w:fldChar w:fldCharType="separate"/>
      </w:r>
      <w:hyperlink w:anchor="_Toc499135127" w:history="1">
        <w:r w:rsidR="00A937B9" w:rsidRPr="00967DE3">
          <w:rPr>
            <w:rStyle w:val="Collegamentoipertestuale"/>
          </w:rPr>
          <w:t>Conversione automatica archivi</w:t>
        </w:r>
        <w:r w:rsidR="00A937B9">
          <w:rPr>
            <w:webHidden/>
          </w:rPr>
          <w:tab/>
        </w:r>
        <w:r w:rsidR="00A937B9">
          <w:rPr>
            <w:webHidden/>
          </w:rPr>
          <w:fldChar w:fldCharType="begin"/>
        </w:r>
        <w:r w:rsidR="00A937B9">
          <w:rPr>
            <w:webHidden/>
          </w:rPr>
          <w:instrText xml:space="preserve"> PAGEREF _Toc499135127 \h </w:instrText>
        </w:r>
        <w:r w:rsidR="00A937B9">
          <w:rPr>
            <w:webHidden/>
          </w:rPr>
        </w:r>
        <w:r w:rsidR="00A937B9">
          <w:rPr>
            <w:webHidden/>
          </w:rPr>
          <w:fldChar w:fldCharType="separate"/>
        </w:r>
        <w:r w:rsidR="004069C5">
          <w:rPr>
            <w:webHidden/>
          </w:rPr>
          <w:t>3</w:t>
        </w:r>
        <w:r w:rsidR="00A937B9">
          <w:rPr>
            <w:webHidden/>
          </w:rPr>
          <w:fldChar w:fldCharType="end"/>
        </w:r>
      </w:hyperlink>
    </w:p>
    <w:p w:rsidR="00A937B9" w:rsidRDefault="00A937B9">
      <w:pPr>
        <w:pStyle w:val="Sommario4"/>
        <w:rPr>
          <w:rStyle w:val="Collegamentoipertestuale"/>
        </w:rPr>
      </w:pPr>
      <w:hyperlink w:anchor="_Toc499135128" w:history="1">
        <w:r w:rsidRPr="00967DE3">
          <w:rPr>
            <w:rStyle w:val="Collegamentoipertestuale"/>
          </w:rPr>
          <w:t>Conversione automatica archivi in fase di installazione</w:t>
        </w:r>
        <w:r>
          <w:rPr>
            <w:webHidden/>
          </w:rPr>
          <w:tab/>
        </w:r>
        <w:r>
          <w:rPr>
            <w:webHidden/>
          </w:rPr>
          <w:fldChar w:fldCharType="begin"/>
        </w:r>
        <w:r>
          <w:rPr>
            <w:webHidden/>
          </w:rPr>
          <w:instrText xml:space="preserve"> PAGEREF _Toc499135128 \h </w:instrText>
        </w:r>
        <w:r>
          <w:rPr>
            <w:webHidden/>
          </w:rPr>
        </w:r>
        <w:r>
          <w:rPr>
            <w:webHidden/>
          </w:rPr>
          <w:fldChar w:fldCharType="separate"/>
        </w:r>
        <w:r w:rsidR="004069C5">
          <w:rPr>
            <w:webHidden/>
          </w:rPr>
          <w:t>3</w:t>
        </w:r>
        <w:r>
          <w:rPr>
            <w:webHidden/>
          </w:rPr>
          <w:fldChar w:fldCharType="end"/>
        </w:r>
      </w:hyperlink>
    </w:p>
    <w:p w:rsidR="00F31F67" w:rsidRPr="00F31F67" w:rsidRDefault="00F31F67" w:rsidP="00F31F67">
      <w:pPr>
        <w:rPr>
          <w:rFonts w:eastAsiaTheme="minorEastAsia"/>
        </w:rPr>
      </w:pPr>
    </w:p>
    <w:p w:rsidR="00A937B9" w:rsidRDefault="00A937B9">
      <w:pPr>
        <w:pStyle w:val="Sommario1"/>
        <w:rPr>
          <w:rFonts w:asciiTheme="minorHAnsi" w:eastAsiaTheme="minorEastAsia" w:hAnsiTheme="minorHAnsi" w:cstheme="minorBidi"/>
          <w:b w:val="0"/>
          <w:color w:val="auto"/>
          <w:sz w:val="22"/>
          <w:szCs w:val="22"/>
        </w:rPr>
      </w:pPr>
      <w:hyperlink w:anchor="_Toc499135129" w:history="1">
        <w:r w:rsidRPr="00967DE3">
          <w:rPr>
            <w:rStyle w:val="Collegamentoipertestuale"/>
          </w:rPr>
          <w:t>Esonero contrib. conducenti trasporto internaz.</w:t>
        </w:r>
        <w:r>
          <w:rPr>
            <w:webHidden/>
          </w:rPr>
          <w:tab/>
        </w:r>
        <w:r>
          <w:rPr>
            <w:webHidden/>
          </w:rPr>
          <w:fldChar w:fldCharType="begin"/>
        </w:r>
        <w:r>
          <w:rPr>
            <w:webHidden/>
          </w:rPr>
          <w:instrText xml:space="preserve"> PAGEREF _Toc499135129 \h </w:instrText>
        </w:r>
        <w:r>
          <w:rPr>
            <w:webHidden/>
          </w:rPr>
        </w:r>
        <w:r>
          <w:rPr>
            <w:webHidden/>
          </w:rPr>
          <w:fldChar w:fldCharType="separate"/>
        </w:r>
        <w:r w:rsidR="004069C5">
          <w:rPr>
            <w:webHidden/>
          </w:rPr>
          <w:t>4</w:t>
        </w:r>
        <w:r>
          <w:rPr>
            <w:webHidden/>
          </w:rPr>
          <w:fldChar w:fldCharType="end"/>
        </w:r>
      </w:hyperlink>
    </w:p>
    <w:p w:rsidR="00A937B9" w:rsidRDefault="00A937B9">
      <w:pPr>
        <w:pStyle w:val="Sommario3"/>
        <w:rPr>
          <w:rFonts w:asciiTheme="minorHAnsi" w:eastAsiaTheme="minorEastAsia" w:hAnsiTheme="minorHAnsi" w:cstheme="minorBidi"/>
          <w:b w:val="0"/>
          <w:sz w:val="22"/>
          <w:szCs w:val="22"/>
        </w:rPr>
      </w:pPr>
      <w:hyperlink w:anchor="_Toc499135130" w:history="1">
        <w:r w:rsidRPr="00967DE3">
          <w:rPr>
            <w:rStyle w:val="Collegamentoipertestuale"/>
          </w:rPr>
          <w:t>Riferimenti normativi</w:t>
        </w:r>
        <w:r>
          <w:rPr>
            <w:webHidden/>
          </w:rPr>
          <w:tab/>
        </w:r>
        <w:r>
          <w:rPr>
            <w:webHidden/>
          </w:rPr>
          <w:fldChar w:fldCharType="begin"/>
        </w:r>
        <w:r>
          <w:rPr>
            <w:webHidden/>
          </w:rPr>
          <w:instrText xml:space="preserve"> PAGEREF _Toc499135130 \h </w:instrText>
        </w:r>
        <w:r>
          <w:rPr>
            <w:webHidden/>
          </w:rPr>
        </w:r>
        <w:r>
          <w:rPr>
            <w:webHidden/>
          </w:rPr>
          <w:fldChar w:fldCharType="separate"/>
        </w:r>
        <w:r w:rsidR="004069C5">
          <w:rPr>
            <w:webHidden/>
          </w:rPr>
          <w:t>4</w:t>
        </w:r>
        <w:r>
          <w:rPr>
            <w:webHidden/>
          </w:rPr>
          <w:fldChar w:fldCharType="end"/>
        </w:r>
      </w:hyperlink>
    </w:p>
    <w:p w:rsidR="00A937B9" w:rsidRDefault="00A937B9">
      <w:pPr>
        <w:pStyle w:val="Sommario4"/>
        <w:rPr>
          <w:rFonts w:asciiTheme="minorHAnsi" w:eastAsiaTheme="minorEastAsia" w:hAnsiTheme="minorHAnsi" w:cstheme="minorBidi"/>
          <w:i w:val="0"/>
          <w:sz w:val="22"/>
          <w:szCs w:val="22"/>
        </w:rPr>
      </w:pPr>
      <w:hyperlink w:anchor="_Toc499135131" w:history="1">
        <w:r w:rsidRPr="00967DE3">
          <w:rPr>
            <w:rStyle w:val="Collegamentoipertestuale"/>
          </w:rPr>
          <w:t>Quadro normativo</w:t>
        </w:r>
        <w:r>
          <w:rPr>
            <w:webHidden/>
          </w:rPr>
          <w:tab/>
        </w:r>
        <w:r>
          <w:rPr>
            <w:webHidden/>
          </w:rPr>
          <w:fldChar w:fldCharType="begin"/>
        </w:r>
        <w:r>
          <w:rPr>
            <w:webHidden/>
          </w:rPr>
          <w:instrText xml:space="preserve"> PAGEREF _Toc499135131 \h </w:instrText>
        </w:r>
        <w:r>
          <w:rPr>
            <w:webHidden/>
          </w:rPr>
        </w:r>
        <w:r>
          <w:rPr>
            <w:webHidden/>
          </w:rPr>
          <w:fldChar w:fldCharType="separate"/>
        </w:r>
        <w:r w:rsidR="004069C5">
          <w:rPr>
            <w:webHidden/>
          </w:rPr>
          <w:t>4</w:t>
        </w:r>
        <w:r>
          <w:rPr>
            <w:webHidden/>
          </w:rPr>
          <w:fldChar w:fldCharType="end"/>
        </w:r>
      </w:hyperlink>
    </w:p>
    <w:p w:rsidR="00A937B9" w:rsidRDefault="00A937B9">
      <w:pPr>
        <w:pStyle w:val="Sommario3"/>
        <w:rPr>
          <w:rFonts w:asciiTheme="minorHAnsi" w:eastAsiaTheme="minorEastAsia" w:hAnsiTheme="minorHAnsi" w:cstheme="minorBidi"/>
          <w:b w:val="0"/>
          <w:sz w:val="22"/>
          <w:szCs w:val="22"/>
        </w:rPr>
      </w:pPr>
      <w:hyperlink w:anchor="_Toc499135132" w:history="1">
        <w:r w:rsidRPr="00967DE3">
          <w:rPr>
            <w:rStyle w:val="Collegamentoipertestuale"/>
          </w:rPr>
          <w:t>Implementazioni Software</w:t>
        </w:r>
        <w:r>
          <w:rPr>
            <w:webHidden/>
          </w:rPr>
          <w:tab/>
        </w:r>
        <w:r>
          <w:rPr>
            <w:webHidden/>
          </w:rPr>
          <w:fldChar w:fldCharType="begin"/>
        </w:r>
        <w:r>
          <w:rPr>
            <w:webHidden/>
          </w:rPr>
          <w:instrText xml:space="preserve"> PAGEREF _Toc499135132 \h </w:instrText>
        </w:r>
        <w:r>
          <w:rPr>
            <w:webHidden/>
          </w:rPr>
        </w:r>
        <w:r>
          <w:rPr>
            <w:webHidden/>
          </w:rPr>
          <w:fldChar w:fldCharType="separate"/>
        </w:r>
        <w:r w:rsidR="004069C5">
          <w:rPr>
            <w:webHidden/>
          </w:rPr>
          <w:t>5</w:t>
        </w:r>
        <w:r>
          <w:rPr>
            <w:webHidden/>
          </w:rPr>
          <w:fldChar w:fldCharType="end"/>
        </w:r>
      </w:hyperlink>
    </w:p>
    <w:p w:rsidR="00A937B9" w:rsidRDefault="00A937B9">
      <w:pPr>
        <w:pStyle w:val="Sommario4"/>
        <w:rPr>
          <w:rFonts w:asciiTheme="minorHAnsi" w:eastAsiaTheme="minorEastAsia" w:hAnsiTheme="minorHAnsi" w:cstheme="minorBidi"/>
          <w:i w:val="0"/>
          <w:sz w:val="22"/>
          <w:szCs w:val="22"/>
        </w:rPr>
      </w:pPr>
      <w:hyperlink w:anchor="_Toc499135133" w:history="1">
        <w:r w:rsidRPr="00967DE3">
          <w:rPr>
            <w:rStyle w:val="Collegamentoipertestuale"/>
          </w:rPr>
          <w:t>Sequenza operativa</w:t>
        </w:r>
        <w:r>
          <w:rPr>
            <w:webHidden/>
          </w:rPr>
          <w:tab/>
        </w:r>
        <w:r>
          <w:rPr>
            <w:webHidden/>
          </w:rPr>
          <w:fldChar w:fldCharType="begin"/>
        </w:r>
        <w:r>
          <w:rPr>
            <w:webHidden/>
          </w:rPr>
          <w:instrText xml:space="preserve"> PAGEREF _Toc499135133 \h </w:instrText>
        </w:r>
        <w:r>
          <w:rPr>
            <w:webHidden/>
          </w:rPr>
        </w:r>
        <w:r>
          <w:rPr>
            <w:webHidden/>
          </w:rPr>
          <w:fldChar w:fldCharType="separate"/>
        </w:r>
        <w:r w:rsidR="004069C5">
          <w:rPr>
            <w:webHidden/>
          </w:rPr>
          <w:t>6</w:t>
        </w:r>
        <w:r>
          <w:rPr>
            <w:webHidden/>
          </w:rPr>
          <w:fldChar w:fldCharType="end"/>
        </w:r>
      </w:hyperlink>
    </w:p>
    <w:p w:rsidR="00A937B9" w:rsidRDefault="00A937B9">
      <w:pPr>
        <w:pStyle w:val="Sommario5"/>
        <w:tabs>
          <w:tab w:val="right" w:leader="dot" w:pos="9629"/>
        </w:tabs>
        <w:rPr>
          <w:rFonts w:asciiTheme="minorHAnsi" w:eastAsiaTheme="minorEastAsia" w:hAnsiTheme="minorHAnsi" w:cstheme="minorBidi"/>
          <w:i w:val="0"/>
          <w:noProof/>
          <w:sz w:val="22"/>
          <w:szCs w:val="22"/>
        </w:rPr>
      </w:pPr>
      <w:hyperlink w:anchor="_Toc499135134" w:history="1">
        <w:r w:rsidRPr="00967DE3">
          <w:rPr>
            <w:rStyle w:val="Collegamentoipertestuale"/>
            <w:noProof/>
          </w:rPr>
          <w:t>Dipendenti ex-INPDAP / DMAG / INPGI</w:t>
        </w:r>
        <w:r>
          <w:rPr>
            <w:noProof/>
            <w:webHidden/>
          </w:rPr>
          <w:tab/>
        </w:r>
        <w:r>
          <w:rPr>
            <w:noProof/>
            <w:webHidden/>
          </w:rPr>
          <w:fldChar w:fldCharType="begin"/>
        </w:r>
        <w:r>
          <w:rPr>
            <w:noProof/>
            <w:webHidden/>
          </w:rPr>
          <w:instrText xml:space="preserve"> PAGEREF _Toc499135134 \h </w:instrText>
        </w:r>
        <w:r>
          <w:rPr>
            <w:noProof/>
            <w:webHidden/>
          </w:rPr>
        </w:r>
        <w:r>
          <w:rPr>
            <w:noProof/>
            <w:webHidden/>
          </w:rPr>
          <w:fldChar w:fldCharType="separate"/>
        </w:r>
        <w:r w:rsidR="004069C5">
          <w:rPr>
            <w:noProof/>
            <w:webHidden/>
          </w:rPr>
          <w:t>6</w:t>
        </w:r>
        <w:r>
          <w:rPr>
            <w:noProof/>
            <w:webHidden/>
          </w:rPr>
          <w:fldChar w:fldCharType="end"/>
        </w:r>
      </w:hyperlink>
    </w:p>
    <w:p w:rsidR="00A937B9" w:rsidRDefault="00A937B9">
      <w:pPr>
        <w:pStyle w:val="Sommario4"/>
        <w:rPr>
          <w:rFonts w:asciiTheme="minorHAnsi" w:eastAsiaTheme="minorEastAsia" w:hAnsiTheme="minorHAnsi" w:cstheme="minorBidi"/>
          <w:i w:val="0"/>
          <w:sz w:val="22"/>
          <w:szCs w:val="22"/>
        </w:rPr>
      </w:pPr>
      <w:hyperlink w:anchor="_Toc499135135" w:history="1">
        <w:r w:rsidRPr="00967DE3">
          <w:rPr>
            <w:rStyle w:val="Collegamentoipertestuale"/>
          </w:rPr>
          <w:t>DIPE &gt; Dati generali</w:t>
        </w:r>
        <w:r>
          <w:rPr>
            <w:webHidden/>
          </w:rPr>
          <w:tab/>
        </w:r>
        <w:r>
          <w:rPr>
            <w:webHidden/>
          </w:rPr>
          <w:fldChar w:fldCharType="begin"/>
        </w:r>
        <w:r>
          <w:rPr>
            <w:webHidden/>
          </w:rPr>
          <w:instrText xml:space="preserve"> PAGEREF _Toc499135135 \h </w:instrText>
        </w:r>
        <w:r>
          <w:rPr>
            <w:webHidden/>
          </w:rPr>
        </w:r>
        <w:r>
          <w:rPr>
            <w:webHidden/>
          </w:rPr>
          <w:fldChar w:fldCharType="separate"/>
        </w:r>
        <w:r w:rsidR="004069C5">
          <w:rPr>
            <w:webHidden/>
          </w:rPr>
          <w:t>6</w:t>
        </w:r>
        <w:r>
          <w:rPr>
            <w:webHidden/>
          </w:rPr>
          <w:fldChar w:fldCharType="end"/>
        </w:r>
      </w:hyperlink>
    </w:p>
    <w:p w:rsidR="00A937B9" w:rsidRDefault="00A937B9">
      <w:pPr>
        <w:pStyle w:val="Sommario4"/>
        <w:rPr>
          <w:rFonts w:asciiTheme="minorHAnsi" w:eastAsiaTheme="minorEastAsia" w:hAnsiTheme="minorHAnsi" w:cstheme="minorBidi"/>
          <w:i w:val="0"/>
          <w:sz w:val="22"/>
          <w:szCs w:val="22"/>
        </w:rPr>
      </w:pPr>
      <w:hyperlink w:anchor="_Toc499135136" w:history="1">
        <w:r w:rsidRPr="00967DE3">
          <w:rPr>
            <w:rStyle w:val="Collegamentoipertestuale"/>
          </w:rPr>
          <w:t>Calcolo incentivo del mese</w:t>
        </w:r>
        <w:r>
          <w:rPr>
            <w:webHidden/>
          </w:rPr>
          <w:tab/>
        </w:r>
        <w:r>
          <w:rPr>
            <w:webHidden/>
          </w:rPr>
          <w:fldChar w:fldCharType="begin"/>
        </w:r>
        <w:r>
          <w:rPr>
            <w:webHidden/>
          </w:rPr>
          <w:instrText xml:space="preserve"> PAGEREF _Toc499135136 \h </w:instrText>
        </w:r>
        <w:r>
          <w:rPr>
            <w:webHidden/>
          </w:rPr>
        </w:r>
        <w:r>
          <w:rPr>
            <w:webHidden/>
          </w:rPr>
          <w:fldChar w:fldCharType="separate"/>
        </w:r>
        <w:r w:rsidR="004069C5">
          <w:rPr>
            <w:webHidden/>
          </w:rPr>
          <w:t>7</w:t>
        </w:r>
        <w:r>
          <w:rPr>
            <w:webHidden/>
          </w:rPr>
          <w:fldChar w:fldCharType="end"/>
        </w:r>
      </w:hyperlink>
    </w:p>
    <w:p w:rsidR="00A937B9" w:rsidRDefault="00A937B9">
      <w:pPr>
        <w:pStyle w:val="Sommario5"/>
        <w:tabs>
          <w:tab w:val="right" w:leader="dot" w:pos="9629"/>
        </w:tabs>
        <w:rPr>
          <w:rFonts w:asciiTheme="minorHAnsi" w:eastAsiaTheme="minorEastAsia" w:hAnsiTheme="minorHAnsi" w:cstheme="minorBidi"/>
          <w:i w:val="0"/>
          <w:noProof/>
          <w:sz w:val="22"/>
          <w:szCs w:val="22"/>
        </w:rPr>
      </w:pPr>
      <w:hyperlink w:anchor="_Toc499135137" w:history="1">
        <w:r w:rsidRPr="00967DE3">
          <w:rPr>
            <w:rStyle w:val="Collegamentoipertestuale"/>
            <w:noProof/>
          </w:rPr>
          <w:t>Contributo aggiuntivo IVS 0,50% e TFR</w:t>
        </w:r>
        <w:r>
          <w:rPr>
            <w:noProof/>
            <w:webHidden/>
          </w:rPr>
          <w:tab/>
        </w:r>
        <w:r>
          <w:rPr>
            <w:noProof/>
            <w:webHidden/>
          </w:rPr>
          <w:fldChar w:fldCharType="begin"/>
        </w:r>
        <w:r>
          <w:rPr>
            <w:noProof/>
            <w:webHidden/>
          </w:rPr>
          <w:instrText xml:space="preserve"> PAGEREF _Toc499135137 \h </w:instrText>
        </w:r>
        <w:r>
          <w:rPr>
            <w:noProof/>
            <w:webHidden/>
          </w:rPr>
        </w:r>
        <w:r>
          <w:rPr>
            <w:noProof/>
            <w:webHidden/>
          </w:rPr>
          <w:fldChar w:fldCharType="separate"/>
        </w:r>
        <w:r w:rsidR="004069C5">
          <w:rPr>
            <w:noProof/>
            <w:webHidden/>
          </w:rPr>
          <w:t>7</w:t>
        </w:r>
        <w:r>
          <w:rPr>
            <w:noProof/>
            <w:webHidden/>
          </w:rPr>
          <w:fldChar w:fldCharType="end"/>
        </w:r>
      </w:hyperlink>
    </w:p>
    <w:p w:rsidR="00A937B9" w:rsidRDefault="00A937B9">
      <w:pPr>
        <w:pStyle w:val="Sommario5"/>
        <w:tabs>
          <w:tab w:val="right" w:leader="dot" w:pos="9629"/>
        </w:tabs>
        <w:rPr>
          <w:rFonts w:asciiTheme="minorHAnsi" w:eastAsiaTheme="minorEastAsia" w:hAnsiTheme="minorHAnsi" w:cstheme="minorBidi"/>
          <w:i w:val="0"/>
          <w:noProof/>
          <w:sz w:val="22"/>
          <w:szCs w:val="22"/>
        </w:rPr>
      </w:pPr>
      <w:hyperlink w:anchor="_Toc499135138" w:history="1">
        <w:r w:rsidRPr="00967DE3">
          <w:rPr>
            <w:rStyle w:val="Collegamentoipertestuale"/>
            <w:noProof/>
          </w:rPr>
          <w:t>Contribuzione oggetto di esonero</w:t>
        </w:r>
        <w:r>
          <w:rPr>
            <w:noProof/>
            <w:webHidden/>
          </w:rPr>
          <w:tab/>
        </w:r>
        <w:r>
          <w:rPr>
            <w:noProof/>
            <w:webHidden/>
          </w:rPr>
          <w:fldChar w:fldCharType="begin"/>
        </w:r>
        <w:r>
          <w:rPr>
            <w:noProof/>
            <w:webHidden/>
          </w:rPr>
          <w:instrText xml:space="preserve"> PAGEREF _Toc499135138 \h </w:instrText>
        </w:r>
        <w:r>
          <w:rPr>
            <w:noProof/>
            <w:webHidden/>
          </w:rPr>
        </w:r>
        <w:r>
          <w:rPr>
            <w:noProof/>
            <w:webHidden/>
          </w:rPr>
          <w:fldChar w:fldCharType="separate"/>
        </w:r>
        <w:r w:rsidR="004069C5">
          <w:rPr>
            <w:noProof/>
            <w:webHidden/>
          </w:rPr>
          <w:t>7</w:t>
        </w:r>
        <w:r>
          <w:rPr>
            <w:noProof/>
            <w:webHidden/>
          </w:rPr>
          <w:fldChar w:fldCharType="end"/>
        </w:r>
      </w:hyperlink>
    </w:p>
    <w:p w:rsidR="00A937B9" w:rsidRDefault="00A937B9">
      <w:pPr>
        <w:pStyle w:val="Sommario5"/>
        <w:tabs>
          <w:tab w:val="right" w:leader="dot" w:pos="9629"/>
        </w:tabs>
        <w:rPr>
          <w:rFonts w:asciiTheme="minorHAnsi" w:eastAsiaTheme="minorEastAsia" w:hAnsiTheme="minorHAnsi" w:cstheme="minorBidi"/>
          <w:i w:val="0"/>
          <w:noProof/>
          <w:sz w:val="22"/>
          <w:szCs w:val="22"/>
        </w:rPr>
      </w:pPr>
      <w:hyperlink w:anchor="_Toc499135139" w:history="1">
        <w:r w:rsidRPr="00967DE3">
          <w:rPr>
            <w:rStyle w:val="Collegamentoipertestuale"/>
            <w:noProof/>
          </w:rPr>
          <w:t>Passaggio di qualifica</w:t>
        </w:r>
        <w:r>
          <w:rPr>
            <w:noProof/>
            <w:webHidden/>
          </w:rPr>
          <w:tab/>
        </w:r>
        <w:r>
          <w:rPr>
            <w:noProof/>
            <w:webHidden/>
          </w:rPr>
          <w:fldChar w:fldCharType="begin"/>
        </w:r>
        <w:r>
          <w:rPr>
            <w:noProof/>
            <w:webHidden/>
          </w:rPr>
          <w:instrText xml:space="preserve"> PAGEREF _Toc499135139 \h </w:instrText>
        </w:r>
        <w:r>
          <w:rPr>
            <w:noProof/>
            <w:webHidden/>
          </w:rPr>
        </w:r>
        <w:r>
          <w:rPr>
            <w:noProof/>
            <w:webHidden/>
          </w:rPr>
          <w:fldChar w:fldCharType="separate"/>
        </w:r>
        <w:r w:rsidR="004069C5">
          <w:rPr>
            <w:noProof/>
            <w:webHidden/>
          </w:rPr>
          <w:t>8</w:t>
        </w:r>
        <w:r>
          <w:rPr>
            <w:noProof/>
            <w:webHidden/>
          </w:rPr>
          <w:fldChar w:fldCharType="end"/>
        </w:r>
      </w:hyperlink>
    </w:p>
    <w:p w:rsidR="00A937B9" w:rsidRDefault="00A937B9">
      <w:pPr>
        <w:pStyle w:val="Sommario5"/>
        <w:tabs>
          <w:tab w:val="right" w:leader="dot" w:pos="9629"/>
        </w:tabs>
        <w:rPr>
          <w:rFonts w:asciiTheme="minorHAnsi" w:eastAsiaTheme="minorEastAsia" w:hAnsiTheme="minorHAnsi" w:cstheme="minorBidi"/>
          <w:i w:val="0"/>
          <w:noProof/>
          <w:sz w:val="22"/>
          <w:szCs w:val="22"/>
        </w:rPr>
      </w:pPr>
      <w:hyperlink w:anchor="_Toc499135140" w:history="1">
        <w:r w:rsidRPr="00967DE3">
          <w:rPr>
            <w:rStyle w:val="Collegamentoipertestuale"/>
            <w:noProof/>
          </w:rPr>
          <w:t>Elaborazione mensilità aggiuntive</w:t>
        </w:r>
        <w:r>
          <w:rPr>
            <w:noProof/>
            <w:webHidden/>
          </w:rPr>
          <w:tab/>
        </w:r>
        <w:r>
          <w:rPr>
            <w:noProof/>
            <w:webHidden/>
          </w:rPr>
          <w:fldChar w:fldCharType="begin"/>
        </w:r>
        <w:r>
          <w:rPr>
            <w:noProof/>
            <w:webHidden/>
          </w:rPr>
          <w:instrText xml:space="preserve"> PAGEREF _Toc499135140 \h </w:instrText>
        </w:r>
        <w:r>
          <w:rPr>
            <w:noProof/>
            <w:webHidden/>
          </w:rPr>
        </w:r>
        <w:r>
          <w:rPr>
            <w:noProof/>
            <w:webHidden/>
          </w:rPr>
          <w:fldChar w:fldCharType="separate"/>
        </w:r>
        <w:r w:rsidR="004069C5">
          <w:rPr>
            <w:noProof/>
            <w:webHidden/>
          </w:rPr>
          <w:t>8</w:t>
        </w:r>
        <w:r>
          <w:rPr>
            <w:noProof/>
            <w:webHidden/>
          </w:rPr>
          <w:fldChar w:fldCharType="end"/>
        </w:r>
      </w:hyperlink>
    </w:p>
    <w:p w:rsidR="00A937B9" w:rsidRDefault="00A937B9">
      <w:pPr>
        <w:pStyle w:val="Sommario4"/>
        <w:rPr>
          <w:rFonts w:asciiTheme="minorHAnsi" w:eastAsiaTheme="minorEastAsia" w:hAnsiTheme="minorHAnsi" w:cstheme="minorBidi"/>
          <w:i w:val="0"/>
          <w:sz w:val="22"/>
          <w:szCs w:val="22"/>
        </w:rPr>
      </w:pPr>
      <w:hyperlink w:anchor="_Toc499135141" w:history="1">
        <w:r w:rsidRPr="00967DE3">
          <w:rPr>
            <w:rStyle w:val="Collegamentoipertestuale"/>
          </w:rPr>
          <w:t>CEDOL</w:t>
        </w:r>
        <w:r>
          <w:rPr>
            <w:webHidden/>
          </w:rPr>
          <w:tab/>
        </w:r>
        <w:r>
          <w:rPr>
            <w:webHidden/>
          </w:rPr>
          <w:fldChar w:fldCharType="begin"/>
        </w:r>
        <w:r>
          <w:rPr>
            <w:webHidden/>
          </w:rPr>
          <w:instrText xml:space="preserve"> PAGEREF _Toc499135141 \h </w:instrText>
        </w:r>
        <w:r>
          <w:rPr>
            <w:webHidden/>
          </w:rPr>
        </w:r>
        <w:r>
          <w:rPr>
            <w:webHidden/>
          </w:rPr>
          <w:fldChar w:fldCharType="separate"/>
        </w:r>
        <w:r w:rsidR="004069C5">
          <w:rPr>
            <w:webHidden/>
          </w:rPr>
          <w:t>8</w:t>
        </w:r>
        <w:r>
          <w:rPr>
            <w:webHidden/>
          </w:rPr>
          <w:fldChar w:fldCharType="end"/>
        </w:r>
      </w:hyperlink>
    </w:p>
    <w:p w:rsidR="00A937B9" w:rsidRDefault="00A937B9">
      <w:pPr>
        <w:pStyle w:val="Sommario4"/>
        <w:rPr>
          <w:rFonts w:asciiTheme="minorHAnsi" w:eastAsiaTheme="minorEastAsia" w:hAnsiTheme="minorHAnsi" w:cstheme="minorBidi"/>
          <w:i w:val="0"/>
          <w:sz w:val="22"/>
          <w:szCs w:val="22"/>
        </w:rPr>
      </w:pPr>
      <w:hyperlink w:anchor="_Toc499135142" w:history="1">
        <w:r w:rsidRPr="00967DE3">
          <w:rPr>
            <w:rStyle w:val="Collegamentoipertestuale"/>
          </w:rPr>
          <w:t>QUADR</w:t>
        </w:r>
        <w:r>
          <w:rPr>
            <w:webHidden/>
          </w:rPr>
          <w:tab/>
        </w:r>
        <w:r>
          <w:rPr>
            <w:webHidden/>
          </w:rPr>
          <w:fldChar w:fldCharType="begin"/>
        </w:r>
        <w:r>
          <w:rPr>
            <w:webHidden/>
          </w:rPr>
          <w:instrText xml:space="preserve"> PAGEREF _Toc499135142 \h </w:instrText>
        </w:r>
        <w:r>
          <w:rPr>
            <w:webHidden/>
          </w:rPr>
        </w:r>
        <w:r>
          <w:rPr>
            <w:webHidden/>
          </w:rPr>
          <w:fldChar w:fldCharType="separate"/>
        </w:r>
        <w:r w:rsidR="004069C5">
          <w:rPr>
            <w:webHidden/>
          </w:rPr>
          <w:t>9</w:t>
        </w:r>
        <w:r>
          <w:rPr>
            <w:webHidden/>
          </w:rPr>
          <w:fldChar w:fldCharType="end"/>
        </w:r>
      </w:hyperlink>
    </w:p>
    <w:p w:rsidR="00A937B9" w:rsidRDefault="00A937B9">
      <w:pPr>
        <w:pStyle w:val="Sommario4"/>
        <w:rPr>
          <w:rStyle w:val="Collegamentoipertestuale"/>
        </w:rPr>
      </w:pPr>
      <w:hyperlink w:anchor="_Toc499135143" w:history="1">
        <w:r w:rsidRPr="00967DE3">
          <w:rPr>
            <w:rStyle w:val="Collegamentoipertestuale"/>
          </w:rPr>
          <w:t>DIPE &gt; Progressivi &gt; Contributi sociali</w:t>
        </w:r>
        <w:r>
          <w:rPr>
            <w:webHidden/>
          </w:rPr>
          <w:tab/>
        </w:r>
        <w:r>
          <w:rPr>
            <w:webHidden/>
          </w:rPr>
          <w:fldChar w:fldCharType="begin"/>
        </w:r>
        <w:r>
          <w:rPr>
            <w:webHidden/>
          </w:rPr>
          <w:instrText xml:space="preserve"> PAGEREF _Toc499135143 \h </w:instrText>
        </w:r>
        <w:r>
          <w:rPr>
            <w:webHidden/>
          </w:rPr>
        </w:r>
        <w:r>
          <w:rPr>
            <w:webHidden/>
          </w:rPr>
          <w:fldChar w:fldCharType="separate"/>
        </w:r>
        <w:r w:rsidR="004069C5">
          <w:rPr>
            <w:webHidden/>
          </w:rPr>
          <w:t>9</w:t>
        </w:r>
        <w:r>
          <w:rPr>
            <w:webHidden/>
          </w:rPr>
          <w:fldChar w:fldCharType="end"/>
        </w:r>
      </w:hyperlink>
    </w:p>
    <w:p w:rsidR="00F31F67" w:rsidRPr="00F31F67" w:rsidRDefault="00F31F67" w:rsidP="00F31F67">
      <w:pPr>
        <w:rPr>
          <w:rFonts w:eastAsiaTheme="minorEastAsia"/>
        </w:rPr>
      </w:pPr>
    </w:p>
    <w:p w:rsidR="00A937B9" w:rsidRDefault="00A937B9">
      <w:pPr>
        <w:pStyle w:val="Sommario1"/>
        <w:rPr>
          <w:rFonts w:asciiTheme="minorHAnsi" w:eastAsiaTheme="minorEastAsia" w:hAnsiTheme="minorHAnsi" w:cstheme="minorBidi"/>
          <w:b w:val="0"/>
          <w:color w:val="auto"/>
          <w:sz w:val="22"/>
          <w:szCs w:val="22"/>
        </w:rPr>
      </w:pPr>
      <w:hyperlink w:anchor="_Toc499135144" w:history="1">
        <w:r w:rsidRPr="00967DE3">
          <w:rPr>
            <w:rStyle w:val="Collegamentoipertestuale"/>
          </w:rPr>
          <w:t>INPS</w:t>
        </w:r>
        <w:r>
          <w:rPr>
            <w:webHidden/>
          </w:rPr>
          <w:tab/>
        </w:r>
        <w:r>
          <w:rPr>
            <w:webHidden/>
          </w:rPr>
          <w:fldChar w:fldCharType="begin"/>
        </w:r>
        <w:r>
          <w:rPr>
            <w:webHidden/>
          </w:rPr>
          <w:instrText xml:space="preserve"> PAGEREF _Toc499135144 \h </w:instrText>
        </w:r>
        <w:r>
          <w:rPr>
            <w:webHidden/>
          </w:rPr>
        </w:r>
        <w:r>
          <w:rPr>
            <w:webHidden/>
          </w:rPr>
          <w:fldChar w:fldCharType="separate"/>
        </w:r>
        <w:r w:rsidR="004069C5">
          <w:rPr>
            <w:webHidden/>
          </w:rPr>
          <w:t>10</w:t>
        </w:r>
        <w:r>
          <w:rPr>
            <w:webHidden/>
          </w:rPr>
          <w:fldChar w:fldCharType="end"/>
        </w:r>
      </w:hyperlink>
    </w:p>
    <w:p w:rsidR="00A937B9" w:rsidRDefault="00A937B9">
      <w:pPr>
        <w:pStyle w:val="Sommario2"/>
        <w:rPr>
          <w:rFonts w:asciiTheme="minorHAnsi" w:eastAsiaTheme="minorEastAsia" w:hAnsiTheme="minorHAnsi" w:cstheme="minorBidi"/>
          <w:b w:val="0"/>
          <w:sz w:val="22"/>
          <w:szCs w:val="22"/>
        </w:rPr>
      </w:pPr>
      <w:hyperlink w:anchor="_Toc499135145" w:history="1">
        <w:r w:rsidRPr="00967DE3">
          <w:rPr>
            <w:rStyle w:val="Collegamentoipertestuale"/>
          </w:rPr>
          <w:t>DMAG</w:t>
        </w:r>
        <w:r>
          <w:rPr>
            <w:webHidden/>
          </w:rPr>
          <w:tab/>
        </w:r>
        <w:r>
          <w:rPr>
            <w:webHidden/>
          </w:rPr>
          <w:fldChar w:fldCharType="begin"/>
        </w:r>
        <w:r>
          <w:rPr>
            <w:webHidden/>
          </w:rPr>
          <w:instrText xml:space="preserve"> PAGEREF _Toc499135145 \h </w:instrText>
        </w:r>
        <w:r>
          <w:rPr>
            <w:webHidden/>
          </w:rPr>
        </w:r>
        <w:r>
          <w:rPr>
            <w:webHidden/>
          </w:rPr>
          <w:fldChar w:fldCharType="separate"/>
        </w:r>
        <w:r w:rsidR="004069C5">
          <w:rPr>
            <w:webHidden/>
          </w:rPr>
          <w:t>10</w:t>
        </w:r>
        <w:r>
          <w:rPr>
            <w:webHidden/>
          </w:rPr>
          <w:fldChar w:fldCharType="end"/>
        </w:r>
      </w:hyperlink>
    </w:p>
    <w:p w:rsidR="00A937B9" w:rsidRDefault="00A937B9">
      <w:pPr>
        <w:pStyle w:val="Sommario4"/>
        <w:rPr>
          <w:rFonts w:asciiTheme="minorHAnsi" w:eastAsiaTheme="minorEastAsia" w:hAnsiTheme="minorHAnsi" w:cstheme="minorBidi"/>
          <w:i w:val="0"/>
          <w:sz w:val="22"/>
          <w:szCs w:val="22"/>
        </w:rPr>
      </w:pPr>
      <w:hyperlink w:anchor="_Toc499135146" w:history="1">
        <w:r w:rsidRPr="00967DE3">
          <w:rPr>
            <w:rStyle w:val="Collegamentoipertestuale"/>
          </w:rPr>
          <w:t>Gestione modello DMAG</w:t>
        </w:r>
        <w:r>
          <w:rPr>
            <w:webHidden/>
          </w:rPr>
          <w:tab/>
        </w:r>
        <w:r>
          <w:rPr>
            <w:webHidden/>
          </w:rPr>
          <w:fldChar w:fldCharType="begin"/>
        </w:r>
        <w:r>
          <w:rPr>
            <w:webHidden/>
          </w:rPr>
          <w:instrText xml:space="preserve"> PAGEREF _Toc499135146 \h </w:instrText>
        </w:r>
        <w:r>
          <w:rPr>
            <w:webHidden/>
          </w:rPr>
        </w:r>
        <w:r>
          <w:rPr>
            <w:webHidden/>
          </w:rPr>
          <w:fldChar w:fldCharType="separate"/>
        </w:r>
        <w:r w:rsidR="004069C5">
          <w:rPr>
            <w:webHidden/>
          </w:rPr>
          <w:t>10</w:t>
        </w:r>
        <w:r>
          <w:rPr>
            <w:webHidden/>
          </w:rPr>
          <w:fldChar w:fldCharType="end"/>
        </w:r>
      </w:hyperlink>
    </w:p>
    <w:p w:rsidR="00A937B9" w:rsidRDefault="00A937B9">
      <w:pPr>
        <w:pStyle w:val="Sommario5"/>
        <w:tabs>
          <w:tab w:val="right" w:leader="dot" w:pos="9629"/>
        </w:tabs>
        <w:rPr>
          <w:rFonts w:asciiTheme="minorHAnsi" w:eastAsiaTheme="minorEastAsia" w:hAnsiTheme="minorHAnsi" w:cstheme="minorBidi"/>
          <w:i w:val="0"/>
          <w:noProof/>
          <w:sz w:val="22"/>
          <w:szCs w:val="22"/>
        </w:rPr>
      </w:pPr>
      <w:hyperlink w:anchor="_Toc499135147" w:history="1">
        <w:r w:rsidRPr="00967DE3">
          <w:rPr>
            <w:rStyle w:val="Collegamentoipertestuale"/>
            <w:noProof/>
          </w:rPr>
          <w:t>Prelievo dati DMAG</w:t>
        </w:r>
        <w:r>
          <w:rPr>
            <w:noProof/>
            <w:webHidden/>
          </w:rPr>
          <w:tab/>
        </w:r>
        <w:r>
          <w:rPr>
            <w:noProof/>
            <w:webHidden/>
          </w:rPr>
          <w:fldChar w:fldCharType="begin"/>
        </w:r>
        <w:r>
          <w:rPr>
            <w:noProof/>
            <w:webHidden/>
          </w:rPr>
          <w:instrText xml:space="preserve"> PAGEREF _Toc499135147 \h </w:instrText>
        </w:r>
        <w:r>
          <w:rPr>
            <w:noProof/>
            <w:webHidden/>
          </w:rPr>
        </w:r>
        <w:r>
          <w:rPr>
            <w:noProof/>
            <w:webHidden/>
          </w:rPr>
          <w:fldChar w:fldCharType="separate"/>
        </w:r>
        <w:r w:rsidR="004069C5">
          <w:rPr>
            <w:noProof/>
            <w:webHidden/>
          </w:rPr>
          <w:t>10</w:t>
        </w:r>
        <w:r>
          <w:rPr>
            <w:noProof/>
            <w:webHidden/>
          </w:rPr>
          <w:fldChar w:fldCharType="end"/>
        </w:r>
      </w:hyperlink>
    </w:p>
    <w:p w:rsidR="00A937B9" w:rsidRDefault="00A937B9">
      <w:pPr>
        <w:pStyle w:val="Sommario5"/>
        <w:tabs>
          <w:tab w:val="right" w:leader="dot" w:pos="9629"/>
        </w:tabs>
        <w:rPr>
          <w:rFonts w:asciiTheme="minorHAnsi" w:eastAsiaTheme="minorEastAsia" w:hAnsiTheme="minorHAnsi" w:cstheme="minorBidi"/>
          <w:i w:val="0"/>
          <w:noProof/>
          <w:sz w:val="22"/>
          <w:szCs w:val="22"/>
        </w:rPr>
      </w:pPr>
      <w:hyperlink w:anchor="_Toc499135148" w:history="1">
        <w:r w:rsidRPr="00967DE3">
          <w:rPr>
            <w:rStyle w:val="Collegamentoipertestuale"/>
            <w:noProof/>
          </w:rPr>
          <w:t>Calcolo Retribuzione teorica giornaliera e Retribuzione persa giornaliera</w:t>
        </w:r>
        <w:r>
          <w:rPr>
            <w:noProof/>
            <w:webHidden/>
          </w:rPr>
          <w:tab/>
        </w:r>
        <w:r>
          <w:rPr>
            <w:noProof/>
            <w:webHidden/>
          </w:rPr>
          <w:fldChar w:fldCharType="begin"/>
        </w:r>
        <w:r>
          <w:rPr>
            <w:noProof/>
            <w:webHidden/>
          </w:rPr>
          <w:instrText xml:space="preserve"> PAGEREF _Toc499135148 \h </w:instrText>
        </w:r>
        <w:r>
          <w:rPr>
            <w:noProof/>
            <w:webHidden/>
          </w:rPr>
        </w:r>
        <w:r>
          <w:rPr>
            <w:noProof/>
            <w:webHidden/>
          </w:rPr>
          <w:fldChar w:fldCharType="separate"/>
        </w:r>
        <w:r w:rsidR="004069C5">
          <w:rPr>
            <w:noProof/>
            <w:webHidden/>
          </w:rPr>
          <w:t>10</w:t>
        </w:r>
        <w:r>
          <w:rPr>
            <w:noProof/>
            <w:webHidden/>
          </w:rPr>
          <w:fldChar w:fldCharType="end"/>
        </w:r>
      </w:hyperlink>
    </w:p>
    <w:p w:rsidR="00A937B9" w:rsidRDefault="00A937B9">
      <w:pPr>
        <w:pStyle w:val="Sommario5"/>
        <w:tabs>
          <w:tab w:val="right" w:leader="dot" w:pos="9629"/>
        </w:tabs>
        <w:rPr>
          <w:rStyle w:val="Collegamentoipertestuale"/>
          <w:noProof/>
        </w:rPr>
      </w:pPr>
      <w:hyperlink w:anchor="_Toc499135149" w:history="1">
        <w:r w:rsidRPr="00967DE3">
          <w:rPr>
            <w:rStyle w:val="Collegamentoipertestuale"/>
            <w:noProof/>
          </w:rPr>
          <w:t>Prelievo dati eventi CISOA</w:t>
        </w:r>
        <w:r>
          <w:rPr>
            <w:noProof/>
            <w:webHidden/>
          </w:rPr>
          <w:tab/>
        </w:r>
        <w:r>
          <w:rPr>
            <w:noProof/>
            <w:webHidden/>
          </w:rPr>
          <w:fldChar w:fldCharType="begin"/>
        </w:r>
        <w:r>
          <w:rPr>
            <w:noProof/>
            <w:webHidden/>
          </w:rPr>
          <w:instrText xml:space="preserve"> PAGEREF _Toc499135149 \h </w:instrText>
        </w:r>
        <w:r>
          <w:rPr>
            <w:noProof/>
            <w:webHidden/>
          </w:rPr>
        </w:r>
        <w:r>
          <w:rPr>
            <w:noProof/>
            <w:webHidden/>
          </w:rPr>
          <w:fldChar w:fldCharType="separate"/>
        </w:r>
        <w:r w:rsidR="004069C5">
          <w:rPr>
            <w:noProof/>
            <w:webHidden/>
          </w:rPr>
          <w:t>11</w:t>
        </w:r>
        <w:r>
          <w:rPr>
            <w:noProof/>
            <w:webHidden/>
          </w:rPr>
          <w:fldChar w:fldCharType="end"/>
        </w:r>
      </w:hyperlink>
    </w:p>
    <w:p w:rsidR="00F31F67" w:rsidRPr="00F31F67" w:rsidRDefault="00F31F67" w:rsidP="00F31F67">
      <w:pPr>
        <w:rPr>
          <w:rFonts w:eastAsiaTheme="minorEastAsia"/>
        </w:rPr>
      </w:pPr>
    </w:p>
    <w:p w:rsidR="00A937B9" w:rsidRDefault="00A937B9">
      <w:pPr>
        <w:pStyle w:val="Sommario1"/>
        <w:rPr>
          <w:rFonts w:asciiTheme="minorHAnsi" w:eastAsiaTheme="minorEastAsia" w:hAnsiTheme="minorHAnsi" w:cstheme="minorBidi"/>
          <w:b w:val="0"/>
          <w:color w:val="auto"/>
          <w:sz w:val="22"/>
          <w:szCs w:val="22"/>
        </w:rPr>
      </w:pPr>
      <w:hyperlink w:anchor="_Toc499135150" w:history="1">
        <w:r w:rsidRPr="00967DE3">
          <w:rPr>
            <w:rStyle w:val="Collegamentoipertestuale"/>
          </w:rPr>
          <w:t>CCNL Edilizia</w:t>
        </w:r>
        <w:r>
          <w:rPr>
            <w:webHidden/>
          </w:rPr>
          <w:tab/>
        </w:r>
        <w:r>
          <w:rPr>
            <w:webHidden/>
          </w:rPr>
          <w:fldChar w:fldCharType="begin"/>
        </w:r>
        <w:r>
          <w:rPr>
            <w:webHidden/>
          </w:rPr>
          <w:instrText xml:space="preserve"> PAGEREF _Toc499135150 \h </w:instrText>
        </w:r>
        <w:r>
          <w:rPr>
            <w:webHidden/>
          </w:rPr>
        </w:r>
        <w:r>
          <w:rPr>
            <w:webHidden/>
          </w:rPr>
          <w:fldChar w:fldCharType="separate"/>
        </w:r>
        <w:r w:rsidR="004069C5">
          <w:rPr>
            <w:webHidden/>
          </w:rPr>
          <w:t>13</w:t>
        </w:r>
        <w:r>
          <w:rPr>
            <w:webHidden/>
          </w:rPr>
          <w:fldChar w:fldCharType="end"/>
        </w:r>
      </w:hyperlink>
    </w:p>
    <w:p w:rsidR="00A937B9" w:rsidRDefault="00A937B9">
      <w:pPr>
        <w:pStyle w:val="Sommario4"/>
        <w:rPr>
          <w:rFonts w:asciiTheme="minorHAnsi" w:eastAsiaTheme="minorEastAsia" w:hAnsiTheme="minorHAnsi" w:cstheme="minorBidi"/>
          <w:i w:val="0"/>
          <w:sz w:val="22"/>
          <w:szCs w:val="22"/>
        </w:rPr>
      </w:pPr>
      <w:hyperlink w:anchor="_Toc499135151" w:history="1">
        <w:r w:rsidRPr="00967DE3">
          <w:rPr>
            <w:rStyle w:val="Collegamentoipertestuale"/>
          </w:rPr>
          <w:t>Contributo minimo APE</w:t>
        </w:r>
        <w:r>
          <w:rPr>
            <w:webHidden/>
          </w:rPr>
          <w:tab/>
        </w:r>
        <w:r>
          <w:rPr>
            <w:webHidden/>
          </w:rPr>
          <w:fldChar w:fldCharType="begin"/>
        </w:r>
        <w:r>
          <w:rPr>
            <w:webHidden/>
          </w:rPr>
          <w:instrText xml:space="preserve"> PAGEREF _Toc499135151 \h </w:instrText>
        </w:r>
        <w:r>
          <w:rPr>
            <w:webHidden/>
          </w:rPr>
        </w:r>
        <w:r>
          <w:rPr>
            <w:webHidden/>
          </w:rPr>
          <w:fldChar w:fldCharType="separate"/>
        </w:r>
        <w:r w:rsidR="004069C5">
          <w:rPr>
            <w:webHidden/>
          </w:rPr>
          <w:t>13</w:t>
        </w:r>
        <w:r>
          <w:rPr>
            <w:webHidden/>
          </w:rPr>
          <w:fldChar w:fldCharType="end"/>
        </w:r>
      </w:hyperlink>
    </w:p>
    <w:p w:rsidR="00A937B9" w:rsidRDefault="00A937B9">
      <w:pPr>
        <w:pStyle w:val="Sommario4"/>
        <w:rPr>
          <w:rStyle w:val="Collegamentoipertestuale"/>
        </w:rPr>
      </w:pPr>
      <w:hyperlink w:anchor="_Toc499135152" w:history="1">
        <w:r w:rsidRPr="00967DE3">
          <w:rPr>
            <w:rStyle w:val="Collegamentoipertestuale"/>
          </w:rPr>
          <w:t>Contributo provinciale PREVEDI Cassa Edile di Verona</w:t>
        </w:r>
        <w:r>
          <w:rPr>
            <w:webHidden/>
          </w:rPr>
          <w:tab/>
        </w:r>
        <w:r>
          <w:rPr>
            <w:webHidden/>
          </w:rPr>
          <w:fldChar w:fldCharType="begin"/>
        </w:r>
        <w:r>
          <w:rPr>
            <w:webHidden/>
          </w:rPr>
          <w:instrText xml:space="preserve"> PAGEREF _Toc499135152 \h </w:instrText>
        </w:r>
        <w:r>
          <w:rPr>
            <w:webHidden/>
          </w:rPr>
        </w:r>
        <w:r>
          <w:rPr>
            <w:webHidden/>
          </w:rPr>
          <w:fldChar w:fldCharType="separate"/>
        </w:r>
        <w:r w:rsidR="004069C5">
          <w:rPr>
            <w:webHidden/>
          </w:rPr>
          <w:t>13</w:t>
        </w:r>
        <w:r>
          <w:rPr>
            <w:webHidden/>
          </w:rPr>
          <w:fldChar w:fldCharType="end"/>
        </w:r>
      </w:hyperlink>
    </w:p>
    <w:p w:rsidR="00F31F67" w:rsidRPr="00F31F67" w:rsidRDefault="00F31F67" w:rsidP="00F31F67">
      <w:pPr>
        <w:rPr>
          <w:rFonts w:eastAsiaTheme="minorEastAsia"/>
        </w:rPr>
      </w:pPr>
    </w:p>
    <w:p w:rsidR="00A937B9" w:rsidRDefault="00A937B9">
      <w:pPr>
        <w:pStyle w:val="Sommario1"/>
        <w:rPr>
          <w:rFonts w:asciiTheme="minorHAnsi" w:eastAsiaTheme="minorEastAsia" w:hAnsiTheme="minorHAnsi" w:cstheme="minorBidi"/>
          <w:b w:val="0"/>
          <w:color w:val="auto"/>
          <w:sz w:val="22"/>
          <w:szCs w:val="22"/>
        </w:rPr>
      </w:pPr>
      <w:hyperlink w:anchor="_Toc499135153" w:history="1">
        <w:r w:rsidRPr="00967DE3">
          <w:rPr>
            <w:rStyle w:val="Collegamentoipertestuale"/>
          </w:rPr>
          <w:t>CCNL Terziario Confcommercio/Confesercenti</w:t>
        </w:r>
        <w:r>
          <w:rPr>
            <w:webHidden/>
          </w:rPr>
          <w:tab/>
        </w:r>
        <w:r>
          <w:rPr>
            <w:webHidden/>
          </w:rPr>
          <w:fldChar w:fldCharType="begin"/>
        </w:r>
        <w:r>
          <w:rPr>
            <w:webHidden/>
          </w:rPr>
          <w:instrText xml:space="preserve"> PAGEREF _Toc499135153 \h </w:instrText>
        </w:r>
        <w:r>
          <w:rPr>
            <w:webHidden/>
          </w:rPr>
        </w:r>
        <w:r>
          <w:rPr>
            <w:webHidden/>
          </w:rPr>
          <w:fldChar w:fldCharType="separate"/>
        </w:r>
        <w:r w:rsidR="004069C5">
          <w:rPr>
            <w:webHidden/>
          </w:rPr>
          <w:t>14</w:t>
        </w:r>
        <w:r>
          <w:rPr>
            <w:webHidden/>
          </w:rPr>
          <w:fldChar w:fldCharType="end"/>
        </w:r>
      </w:hyperlink>
    </w:p>
    <w:p w:rsidR="00A937B9" w:rsidRDefault="00A937B9">
      <w:pPr>
        <w:pStyle w:val="Sommario4"/>
        <w:rPr>
          <w:rFonts w:asciiTheme="minorHAnsi" w:eastAsiaTheme="minorEastAsia" w:hAnsiTheme="minorHAnsi" w:cstheme="minorBidi"/>
          <w:i w:val="0"/>
          <w:sz w:val="22"/>
          <w:szCs w:val="22"/>
        </w:rPr>
      </w:pPr>
      <w:hyperlink w:anchor="_Toc499135154" w:history="1">
        <w:r w:rsidRPr="00967DE3">
          <w:rPr>
            <w:rStyle w:val="Collegamentoipertestuale"/>
          </w:rPr>
          <w:t>Elemento Economico di Garanzia</w:t>
        </w:r>
        <w:r>
          <w:rPr>
            <w:webHidden/>
          </w:rPr>
          <w:tab/>
        </w:r>
        <w:r>
          <w:rPr>
            <w:webHidden/>
          </w:rPr>
          <w:fldChar w:fldCharType="begin"/>
        </w:r>
        <w:r>
          <w:rPr>
            <w:webHidden/>
          </w:rPr>
          <w:instrText xml:space="preserve"> PAGEREF _Toc499135154 \h </w:instrText>
        </w:r>
        <w:r>
          <w:rPr>
            <w:webHidden/>
          </w:rPr>
        </w:r>
        <w:r>
          <w:rPr>
            <w:webHidden/>
          </w:rPr>
          <w:fldChar w:fldCharType="separate"/>
        </w:r>
        <w:r w:rsidR="004069C5">
          <w:rPr>
            <w:webHidden/>
          </w:rPr>
          <w:t>14</w:t>
        </w:r>
        <w:r>
          <w:rPr>
            <w:webHidden/>
          </w:rPr>
          <w:fldChar w:fldCharType="end"/>
        </w:r>
      </w:hyperlink>
    </w:p>
    <w:p w:rsidR="00A937B9" w:rsidRDefault="00A937B9">
      <w:pPr>
        <w:pStyle w:val="Sommario4"/>
        <w:rPr>
          <w:rFonts w:asciiTheme="minorHAnsi" w:eastAsiaTheme="minorEastAsia" w:hAnsiTheme="minorHAnsi" w:cstheme="minorBidi"/>
          <w:i w:val="0"/>
          <w:sz w:val="22"/>
          <w:szCs w:val="22"/>
        </w:rPr>
      </w:pPr>
      <w:hyperlink w:anchor="_Toc499135155" w:history="1">
        <w:r w:rsidRPr="00967DE3">
          <w:rPr>
            <w:rStyle w:val="Collegamentoipertestuale"/>
          </w:rPr>
          <w:t>TB0120 – Tabella Basi</w:t>
        </w:r>
        <w:r>
          <w:rPr>
            <w:webHidden/>
          </w:rPr>
          <w:tab/>
        </w:r>
        <w:r>
          <w:rPr>
            <w:webHidden/>
          </w:rPr>
          <w:fldChar w:fldCharType="begin"/>
        </w:r>
        <w:r>
          <w:rPr>
            <w:webHidden/>
          </w:rPr>
          <w:instrText xml:space="preserve"> PAGEREF _Toc499135155 \h </w:instrText>
        </w:r>
        <w:r>
          <w:rPr>
            <w:webHidden/>
          </w:rPr>
        </w:r>
        <w:r>
          <w:rPr>
            <w:webHidden/>
          </w:rPr>
          <w:fldChar w:fldCharType="separate"/>
        </w:r>
        <w:r w:rsidR="004069C5">
          <w:rPr>
            <w:webHidden/>
          </w:rPr>
          <w:t>15</w:t>
        </w:r>
        <w:r>
          <w:rPr>
            <w:webHidden/>
          </w:rPr>
          <w:fldChar w:fldCharType="end"/>
        </w:r>
      </w:hyperlink>
    </w:p>
    <w:p w:rsidR="00A937B9" w:rsidRDefault="00A937B9">
      <w:pPr>
        <w:pStyle w:val="Sommario4"/>
        <w:rPr>
          <w:rFonts w:asciiTheme="minorHAnsi" w:eastAsiaTheme="minorEastAsia" w:hAnsiTheme="minorHAnsi" w:cstheme="minorBidi"/>
          <w:i w:val="0"/>
          <w:sz w:val="22"/>
          <w:szCs w:val="22"/>
        </w:rPr>
      </w:pPr>
      <w:hyperlink w:anchor="_Toc499135156" w:history="1">
        <w:r w:rsidRPr="00967DE3">
          <w:rPr>
            <w:rStyle w:val="Collegamentoipertestuale"/>
          </w:rPr>
          <w:t>UTYEEG – Elaborazione EEG Commercio</w:t>
        </w:r>
        <w:r>
          <w:rPr>
            <w:webHidden/>
          </w:rPr>
          <w:tab/>
        </w:r>
        <w:r>
          <w:rPr>
            <w:webHidden/>
          </w:rPr>
          <w:fldChar w:fldCharType="begin"/>
        </w:r>
        <w:r>
          <w:rPr>
            <w:webHidden/>
          </w:rPr>
          <w:instrText xml:space="preserve"> PAGEREF _Toc499135156 \h </w:instrText>
        </w:r>
        <w:r>
          <w:rPr>
            <w:webHidden/>
          </w:rPr>
        </w:r>
        <w:r>
          <w:rPr>
            <w:webHidden/>
          </w:rPr>
          <w:fldChar w:fldCharType="separate"/>
        </w:r>
        <w:r w:rsidR="004069C5">
          <w:rPr>
            <w:webHidden/>
          </w:rPr>
          <w:t>16</w:t>
        </w:r>
        <w:r>
          <w:rPr>
            <w:webHidden/>
          </w:rPr>
          <w:fldChar w:fldCharType="end"/>
        </w:r>
      </w:hyperlink>
    </w:p>
    <w:p w:rsidR="00A937B9" w:rsidRDefault="00A937B9">
      <w:pPr>
        <w:pStyle w:val="Sommario5"/>
        <w:tabs>
          <w:tab w:val="right" w:leader="dot" w:pos="9629"/>
        </w:tabs>
        <w:rPr>
          <w:rFonts w:asciiTheme="minorHAnsi" w:eastAsiaTheme="minorEastAsia" w:hAnsiTheme="minorHAnsi" w:cstheme="minorBidi"/>
          <w:i w:val="0"/>
          <w:noProof/>
          <w:sz w:val="22"/>
          <w:szCs w:val="22"/>
        </w:rPr>
      </w:pPr>
      <w:hyperlink w:anchor="_Toc499135157" w:history="1">
        <w:r w:rsidRPr="00967DE3">
          <w:rPr>
            <w:rStyle w:val="Collegamentoipertestuale"/>
            <w:noProof/>
          </w:rPr>
          <w:t>Stampa</w:t>
        </w:r>
        <w:r>
          <w:rPr>
            <w:noProof/>
            <w:webHidden/>
          </w:rPr>
          <w:tab/>
        </w:r>
        <w:r>
          <w:rPr>
            <w:noProof/>
            <w:webHidden/>
          </w:rPr>
          <w:fldChar w:fldCharType="begin"/>
        </w:r>
        <w:r>
          <w:rPr>
            <w:noProof/>
            <w:webHidden/>
          </w:rPr>
          <w:instrText xml:space="preserve"> PAGEREF _Toc499135157 \h </w:instrText>
        </w:r>
        <w:r>
          <w:rPr>
            <w:noProof/>
            <w:webHidden/>
          </w:rPr>
        </w:r>
        <w:r>
          <w:rPr>
            <w:noProof/>
            <w:webHidden/>
          </w:rPr>
          <w:fldChar w:fldCharType="separate"/>
        </w:r>
        <w:r w:rsidR="004069C5">
          <w:rPr>
            <w:noProof/>
            <w:webHidden/>
          </w:rPr>
          <w:t>16</w:t>
        </w:r>
        <w:r>
          <w:rPr>
            <w:noProof/>
            <w:webHidden/>
          </w:rPr>
          <w:fldChar w:fldCharType="end"/>
        </w:r>
      </w:hyperlink>
    </w:p>
    <w:p w:rsidR="00A937B9" w:rsidRDefault="00A937B9">
      <w:pPr>
        <w:pStyle w:val="Sommario5"/>
        <w:tabs>
          <w:tab w:val="right" w:leader="dot" w:pos="9629"/>
        </w:tabs>
        <w:rPr>
          <w:rStyle w:val="Collegamentoipertestuale"/>
          <w:noProof/>
        </w:rPr>
      </w:pPr>
      <w:hyperlink w:anchor="_Toc499135158" w:history="1">
        <w:r w:rsidRPr="00967DE3">
          <w:rPr>
            <w:rStyle w:val="Collegamentoipertestuale"/>
            <w:noProof/>
          </w:rPr>
          <w:t>Aggiornamento e stampa</w:t>
        </w:r>
        <w:r>
          <w:rPr>
            <w:noProof/>
            <w:webHidden/>
          </w:rPr>
          <w:tab/>
        </w:r>
        <w:r>
          <w:rPr>
            <w:noProof/>
            <w:webHidden/>
          </w:rPr>
          <w:fldChar w:fldCharType="begin"/>
        </w:r>
        <w:r>
          <w:rPr>
            <w:noProof/>
            <w:webHidden/>
          </w:rPr>
          <w:instrText xml:space="preserve"> PAGEREF _Toc499135158 \h </w:instrText>
        </w:r>
        <w:r>
          <w:rPr>
            <w:noProof/>
            <w:webHidden/>
          </w:rPr>
        </w:r>
        <w:r>
          <w:rPr>
            <w:noProof/>
            <w:webHidden/>
          </w:rPr>
          <w:fldChar w:fldCharType="separate"/>
        </w:r>
        <w:r w:rsidR="004069C5">
          <w:rPr>
            <w:noProof/>
            <w:webHidden/>
          </w:rPr>
          <w:t>19</w:t>
        </w:r>
        <w:r>
          <w:rPr>
            <w:noProof/>
            <w:webHidden/>
          </w:rPr>
          <w:fldChar w:fldCharType="end"/>
        </w:r>
      </w:hyperlink>
    </w:p>
    <w:p w:rsidR="00F31F67" w:rsidRDefault="00F31F67" w:rsidP="00F31F67">
      <w:pPr>
        <w:pStyle w:val="Ignora"/>
        <w:rPr>
          <w:rFonts w:eastAsiaTheme="minorEastAsia"/>
        </w:rPr>
      </w:pPr>
      <w:r>
        <w:rPr>
          <w:rFonts w:eastAsiaTheme="minorEastAsia"/>
        </w:rPr>
        <w:br w:type="page"/>
      </w:r>
    </w:p>
    <w:p w:rsidR="00F31F67" w:rsidRPr="00F31F67" w:rsidRDefault="00F31F67" w:rsidP="00F31F67">
      <w:pPr>
        <w:rPr>
          <w:rFonts w:eastAsiaTheme="minorEastAsia"/>
        </w:rPr>
      </w:pPr>
    </w:p>
    <w:p w:rsidR="00A937B9" w:rsidRDefault="00A937B9">
      <w:pPr>
        <w:pStyle w:val="Sommario1"/>
        <w:rPr>
          <w:rFonts w:asciiTheme="minorHAnsi" w:eastAsiaTheme="minorEastAsia" w:hAnsiTheme="minorHAnsi" w:cstheme="minorBidi"/>
          <w:b w:val="0"/>
          <w:color w:val="auto"/>
          <w:sz w:val="22"/>
          <w:szCs w:val="22"/>
        </w:rPr>
      </w:pPr>
      <w:hyperlink w:anchor="_Toc499135159" w:history="1">
        <w:r w:rsidRPr="00967DE3">
          <w:rPr>
            <w:rStyle w:val="Collegamentoipertestuale"/>
          </w:rPr>
          <w:t>Imposta sostitutiva sulla rivalutazione TFR</w:t>
        </w:r>
        <w:r>
          <w:rPr>
            <w:webHidden/>
          </w:rPr>
          <w:tab/>
        </w:r>
        <w:r>
          <w:rPr>
            <w:webHidden/>
          </w:rPr>
          <w:fldChar w:fldCharType="begin"/>
        </w:r>
        <w:r>
          <w:rPr>
            <w:webHidden/>
          </w:rPr>
          <w:instrText xml:space="preserve"> PAGEREF _Toc499135159 \h </w:instrText>
        </w:r>
        <w:r>
          <w:rPr>
            <w:webHidden/>
          </w:rPr>
        </w:r>
        <w:r>
          <w:rPr>
            <w:webHidden/>
          </w:rPr>
          <w:fldChar w:fldCharType="separate"/>
        </w:r>
        <w:r w:rsidR="004069C5">
          <w:rPr>
            <w:webHidden/>
          </w:rPr>
          <w:t>20</w:t>
        </w:r>
        <w:r>
          <w:rPr>
            <w:webHidden/>
          </w:rPr>
          <w:fldChar w:fldCharType="end"/>
        </w:r>
      </w:hyperlink>
    </w:p>
    <w:p w:rsidR="00A937B9" w:rsidRDefault="00A937B9">
      <w:pPr>
        <w:pStyle w:val="Sommario4"/>
        <w:rPr>
          <w:rFonts w:asciiTheme="minorHAnsi" w:eastAsiaTheme="minorEastAsia" w:hAnsiTheme="minorHAnsi" w:cstheme="minorBidi"/>
          <w:i w:val="0"/>
          <w:sz w:val="22"/>
          <w:szCs w:val="22"/>
        </w:rPr>
      </w:pPr>
      <w:hyperlink w:anchor="_Toc499135160" w:history="1">
        <w:r w:rsidRPr="00967DE3">
          <w:rPr>
            <w:rStyle w:val="Collegamentoipertestuale"/>
          </w:rPr>
          <w:t>Acconto imposta sostitutiva sulla rivalutazione del TFR</w:t>
        </w:r>
        <w:r>
          <w:rPr>
            <w:webHidden/>
          </w:rPr>
          <w:tab/>
        </w:r>
        <w:r>
          <w:rPr>
            <w:webHidden/>
          </w:rPr>
          <w:fldChar w:fldCharType="begin"/>
        </w:r>
        <w:r>
          <w:rPr>
            <w:webHidden/>
          </w:rPr>
          <w:instrText xml:space="preserve"> PAGEREF _Toc499135160 \h </w:instrText>
        </w:r>
        <w:r>
          <w:rPr>
            <w:webHidden/>
          </w:rPr>
        </w:r>
        <w:r>
          <w:rPr>
            <w:webHidden/>
          </w:rPr>
          <w:fldChar w:fldCharType="separate"/>
        </w:r>
        <w:r w:rsidR="004069C5">
          <w:rPr>
            <w:webHidden/>
          </w:rPr>
          <w:t>20</w:t>
        </w:r>
        <w:r>
          <w:rPr>
            <w:webHidden/>
          </w:rPr>
          <w:fldChar w:fldCharType="end"/>
        </w:r>
      </w:hyperlink>
    </w:p>
    <w:p w:rsidR="00A937B9" w:rsidRDefault="00A937B9">
      <w:pPr>
        <w:pStyle w:val="Sommario4"/>
        <w:rPr>
          <w:rFonts w:asciiTheme="minorHAnsi" w:eastAsiaTheme="minorEastAsia" w:hAnsiTheme="minorHAnsi" w:cstheme="minorBidi"/>
          <w:i w:val="0"/>
          <w:sz w:val="22"/>
          <w:szCs w:val="22"/>
        </w:rPr>
      </w:pPr>
      <w:hyperlink w:anchor="_Toc499135161" w:history="1">
        <w:r w:rsidRPr="00967DE3">
          <w:rPr>
            <w:rStyle w:val="Collegamentoipertestuale"/>
          </w:rPr>
          <w:t>Modalità di calcolo</w:t>
        </w:r>
        <w:r>
          <w:rPr>
            <w:webHidden/>
          </w:rPr>
          <w:tab/>
        </w:r>
        <w:r>
          <w:rPr>
            <w:webHidden/>
          </w:rPr>
          <w:fldChar w:fldCharType="begin"/>
        </w:r>
        <w:r>
          <w:rPr>
            <w:webHidden/>
          </w:rPr>
          <w:instrText xml:space="preserve"> PAGEREF _Toc499135161 \h </w:instrText>
        </w:r>
        <w:r>
          <w:rPr>
            <w:webHidden/>
          </w:rPr>
        </w:r>
        <w:r>
          <w:rPr>
            <w:webHidden/>
          </w:rPr>
          <w:fldChar w:fldCharType="separate"/>
        </w:r>
        <w:r w:rsidR="004069C5">
          <w:rPr>
            <w:webHidden/>
          </w:rPr>
          <w:t>20</w:t>
        </w:r>
        <w:r>
          <w:rPr>
            <w:webHidden/>
          </w:rPr>
          <w:fldChar w:fldCharType="end"/>
        </w:r>
      </w:hyperlink>
    </w:p>
    <w:p w:rsidR="00A937B9" w:rsidRDefault="00A937B9">
      <w:pPr>
        <w:pStyle w:val="Sommario4"/>
        <w:rPr>
          <w:rFonts w:asciiTheme="minorHAnsi" w:eastAsiaTheme="minorEastAsia" w:hAnsiTheme="minorHAnsi" w:cstheme="minorBidi"/>
          <w:i w:val="0"/>
          <w:sz w:val="22"/>
          <w:szCs w:val="22"/>
        </w:rPr>
      </w:pPr>
      <w:hyperlink w:anchor="_Toc499135162" w:history="1">
        <w:r w:rsidRPr="00967DE3">
          <w:rPr>
            <w:rStyle w:val="Collegamentoipertestuale"/>
          </w:rPr>
          <w:t>Calcolo acconto imposta sostitutiva</w:t>
        </w:r>
        <w:r>
          <w:rPr>
            <w:webHidden/>
          </w:rPr>
          <w:tab/>
        </w:r>
        <w:r>
          <w:rPr>
            <w:webHidden/>
          </w:rPr>
          <w:fldChar w:fldCharType="begin"/>
        </w:r>
        <w:r>
          <w:rPr>
            <w:webHidden/>
          </w:rPr>
          <w:instrText xml:space="preserve"> PAGEREF _Toc499135162 \h </w:instrText>
        </w:r>
        <w:r>
          <w:rPr>
            <w:webHidden/>
          </w:rPr>
        </w:r>
        <w:r>
          <w:rPr>
            <w:webHidden/>
          </w:rPr>
          <w:fldChar w:fldCharType="separate"/>
        </w:r>
        <w:r w:rsidR="004069C5">
          <w:rPr>
            <w:webHidden/>
          </w:rPr>
          <w:t>21</w:t>
        </w:r>
        <w:r>
          <w:rPr>
            <w:webHidden/>
          </w:rPr>
          <w:fldChar w:fldCharType="end"/>
        </w:r>
      </w:hyperlink>
    </w:p>
    <w:p w:rsidR="00A937B9" w:rsidRDefault="00A937B9">
      <w:pPr>
        <w:pStyle w:val="Sommario4"/>
        <w:rPr>
          <w:rFonts w:asciiTheme="minorHAnsi" w:eastAsiaTheme="minorEastAsia" w:hAnsiTheme="minorHAnsi" w:cstheme="minorBidi"/>
          <w:i w:val="0"/>
          <w:sz w:val="22"/>
          <w:szCs w:val="22"/>
        </w:rPr>
      </w:pPr>
      <w:hyperlink w:anchor="_Toc499135163" w:history="1">
        <w:r w:rsidRPr="00967DE3">
          <w:rPr>
            <w:rStyle w:val="Collegamentoipertestuale"/>
          </w:rPr>
          <w:t>CALRIVP</w:t>
        </w:r>
        <w:r>
          <w:rPr>
            <w:webHidden/>
          </w:rPr>
          <w:tab/>
        </w:r>
        <w:r>
          <w:rPr>
            <w:webHidden/>
          </w:rPr>
          <w:fldChar w:fldCharType="begin"/>
        </w:r>
        <w:r>
          <w:rPr>
            <w:webHidden/>
          </w:rPr>
          <w:instrText xml:space="preserve"> PAGEREF _Toc499135163 \h </w:instrText>
        </w:r>
        <w:r>
          <w:rPr>
            <w:webHidden/>
          </w:rPr>
        </w:r>
        <w:r>
          <w:rPr>
            <w:webHidden/>
          </w:rPr>
          <w:fldChar w:fldCharType="separate"/>
        </w:r>
        <w:r w:rsidR="004069C5">
          <w:rPr>
            <w:webHidden/>
          </w:rPr>
          <w:t>22</w:t>
        </w:r>
        <w:r>
          <w:rPr>
            <w:webHidden/>
          </w:rPr>
          <w:fldChar w:fldCharType="end"/>
        </w:r>
      </w:hyperlink>
    </w:p>
    <w:p w:rsidR="00A937B9" w:rsidRDefault="00A937B9">
      <w:pPr>
        <w:pStyle w:val="Sommario5"/>
        <w:tabs>
          <w:tab w:val="right" w:leader="dot" w:pos="9629"/>
        </w:tabs>
        <w:rPr>
          <w:rFonts w:asciiTheme="minorHAnsi" w:eastAsiaTheme="minorEastAsia" w:hAnsiTheme="minorHAnsi" w:cstheme="minorBidi"/>
          <w:i w:val="0"/>
          <w:noProof/>
          <w:sz w:val="22"/>
          <w:szCs w:val="22"/>
        </w:rPr>
      </w:pPr>
      <w:hyperlink w:anchor="_Toc499135164" w:history="1">
        <w:r w:rsidRPr="00967DE3">
          <w:rPr>
            <w:rStyle w:val="Collegamentoipertestuale"/>
            <w:noProof/>
          </w:rPr>
          <w:t>Casi particolari</w:t>
        </w:r>
        <w:r>
          <w:rPr>
            <w:noProof/>
            <w:webHidden/>
          </w:rPr>
          <w:tab/>
        </w:r>
        <w:r>
          <w:rPr>
            <w:noProof/>
            <w:webHidden/>
          </w:rPr>
          <w:fldChar w:fldCharType="begin"/>
        </w:r>
        <w:r>
          <w:rPr>
            <w:noProof/>
            <w:webHidden/>
          </w:rPr>
          <w:instrText xml:space="preserve"> PAGEREF _Toc499135164 \h </w:instrText>
        </w:r>
        <w:r>
          <w:rPr>
            <w:noProof/>
            <w:webHidden/>
          </w:rPr>
        </w:r>
        <w:r>
          <w:rPr>
            <w:noProof/>
            <w:webHidden/>
          </w:rPr>
          <w:fldChar w:fldCharType="separate"/>
        </w:r>
        <w:r w:rsidR="004069C5">
          <w:rPr>
            <w:noProof/>
            <w:webHidden/>
          </w:rPr>
          <w:t>23</w:t>
        </w:r>
        <w:r>
          <w:rPr>
            <w:noProof/>
            <w:webHidden/>
          </w:rPr>
          <w:fldChar w:fldCharType="end"/>
        </w:r>
      </w:hyperlink>
    </w:p>
    <w:p w:rsidR="00A937B9" w:rsidRDefault="00A937B9">
      <w:pPr>
        <w:pStyle w:val="Sommario4"/>
        <w:rPr>
          <w:rFonts w:asciiTheme="minorHAnsi" w:eastAsiaTheme="minorEastAsia" w:hAnsiTheme="minorHAnsi" w:cstheme="minorBidi"/>
          <w:i w:val="0"/>
          <w:sz w:val="22"/>
          <w:szCs w:val="22"/>
        </w:rPr>
      </w:pPr>
      <w:hyperlink w:anchor="_Toc499135165" w:history="1">
        <w:r w:rsidRPr="00967DE3">
          <w:rPr>
            <w:rStyle w:val="Collegamentoipertestuale"/>
          </w:rPr>
          <w:t>Scelta del metodo di calcolo da utilizzare</w:t>
        </w:r>
        <w:r>
          <w:rPr>
            <w:webHidden/>
          </w:rPr>
          <w:tab/>
        </w:r>
        <w:r>
          <w:rPr>
            <w:webHidden/>
          </w:rPr>
          <w:fldChar w:fldCharType="begin"/>
        </w:r>
        <w:r>
          <w:rPr>
            <w:webHidden/>
          </w:rPr>
          <w:instrText xml:space="preserve"> PAGEREF _Toc499135165 \h </w:instrText>
        </w:r>
        <w:r>
          <w:rPr>
            <w:webHidden/>
          </w:rPr>
        </w:r>
        <w:r>
          <w:rPr>
            <w:webHidden/>
          </w:rPr>
          <w:fldChar w:fldCharType="separate"/>
        </w:r>
        <w:r w:rsidR="004069C5">
          <w:rPr>
            <w:webHidden/>
          </w:rPr>
          <w:t>23</w:t>
        </w:r>
        <w:r>
          <w:rPr>
            <w:webHidden/>
          </w:rPr>
          <w:fldChar w:fldCharType="end"/>
        </w:r>
      </w:hyperlink>
    </w:p>
    <w:p w:rsidR="00A937B9" w:rsidRDefault="00A937B9">
      <w:pPr>
        <w:pStyle w:val="Sommario4"/>
        <w:rPr>
          <w:rFonts w:asciiTheme="minorHAnsi" w:eastAsiaTheme="minorEastAsia" w:hAnsiTheme="minorHAnsi" w:cstheme="minorBidi"/>
          <w:i w:val="0"/>
          <w:sz w:val="22"/>
          <w:szCs w:val="22"/>
        </w:rPr>
      </w:pPr>
      <w:hyperlink w:anchor="_Toc499135166" w:history="1">
        <w:r w:rsidRPr="00967DE3">
          <w:rPr>
            <w:rStyle w:val="Collegamentoipertestuale"/>
          </w:rPr>
          <w:t>Versamento acconto su imposta sostitutiva</w:t>
        </w:r>
        <w:r>
          <w:rPr>
            <w:webHidden/>
          </w:rPr>
          <w:tab/>
        </w:r>
        <w:r>
          <w:rPr>
            <w:webHidden/>
          </w:rPr>
          <w:fldChar w:fldCharType="begin"/>
        </w:r>
        <w:r>
          <w:rPr>
            <w:webHidden/>
          </w:rPr>
          <w:instrText xml:space="preserve"> PAGEREF _Toc499135166 \h </w:instrText>
        </w:r>
        <w:r>
          <w:rPr>
            <w:webHidden/>
          </w:rPr>
        </w:r>
        <w:r>
          <w:rPr>
            <w:webHidden/>
          </w:rPr>
          <w:fldChar w:fldCharType="separate"/>
        </w:r>
        <w:r w:rsidR="004069C5">
          <w:rPr>
            <w:webHidden/>
          </w:rPr>
          <w:t>24</w:t>
        </w:r>
        <w:r>
          <w:rPr>
            <w:webHidden/>
          </w:rPr>
          <w:fldChar w:fldCharType="end"/>
        </w:r>
      </w:hyperlink>
    </w:p>
    <w:p w:rsidR="00A937B9" w:rsidRDefault="00A937B9">
      <w:pPr>
        <w:pStyle w:val="Sommario4"/>
        <w:rPr>
          <w:rFonts w:asciiTheme="minorHAnsi" w:eastAsiaTheme="minorEastAsia" w:hAnsiTheme="minorHAnsi" w:cstheme="minorBidi"/>
          <w:i w:val="0"/>
          <w:sz w:val="22"/>
          <w:szCs w:val="22"/>
        </w:rPr>
      </w:pPr>
      <w:hyperlink w:anchor="_Toc499135167" w:history="1">
        <w:r w:rsidRPr="00967DE3">
          <w:rPr>
            <w:rStyle w:val="Collegamentoipertestuale"/>
          </w:rPr>
          <w:t>Riepilogo sequenza operativa</w:t>
        </w:r>
        <w:r>
          <w:rPr>
            <w:webHidden/>
          </w:rPr>
          <w:tab/>
        </w:r>
        <w:r>
          <w:rPr>
            <w:webHidden/>
          </w:rPr>
          <w:fldChar w:fldCharType="begin"/>
        </w:r>
        <w:r>
          <w:rPr>
            <w:webHidden/>
          </w:rPr>
          <w:instrText xml:space="preserve"> PAGEREF _Toc499135167 \h </w:instrText>
        </w:r>
        <w:r>
          <w:rPr>
            <w:webHidden/>
          </w:rPr>
        </w:r>
        <w:r>
          <w:rPr>
            <w:webHidden/>
          </w:rPr>
          <w:fldChar w:fldCharType="separate"/>
        </w:r>
        <w:r w:rsidR="004069C5">
          <w:rPr>
            <w:webHidden/>
          </w:rPr>
          <w:t>24</w:t>
        </w:r>
        <w:r>
          <w:rPr>
            <w:webHidden/>
          </w:rPr>
          <w:fldChar w:fldCharType="end"/>
        </w:r>
      </w:hyperlink>
    </w:p>
    <w:p w:rsidR="00A937B9" w:rsidRDefault="00A937B9">
      <w:pPr>
        <w:pStyle w:val="Sommario4"/>
        <w:rPr>
          <w:rStyle w:val="Collegamentoipertestuale"/>
        </w:rPr>
      </w:pPr>
      <w:hyperlink w:anchor="_Toc499135168" w:history="1">
        <w:r w:rsidRPr="00967DE3">
          <w:rPr>
            <w:rStyle w:val="Collegamentoipertestuale"/>
          </w:rPr>
          <w:t>Recupero acconto imposta sost. su rivalutaz. TFR a Fondo Tesoreria</w:t>
        </w:r>
        <w:r>
          <w:rPr>
            <w:webHidden/>
          </w:rPr>
          <w:tab/>
        </w:r>
        <w:r>
          <w:rPr>
            <w:webHidden/>
          </w:rPr>
          <w:fldChar w:fldCharType="begin"/>
        </w:r>
        <w:r>
          <w:rPr>
            <w:webHidden/>
          </w:rPr>
          <w:instrText xml:space="preserve"> PAGEREF _Toc499135168 \h </w:instrText>
        </w:r>
        <w:r>
          <w:rPr>
            <w:webHidden/>
          </w:rPr>
        </w:r>
        <w:r>
          <w:rPr>
            <w:webHidden/>
          </w:rPr>
          <w:fldChar w:fldCharType="separate"/>
        </w:r>
        <w:r w:rsidR="004069C5">
          <w:rPr>
            <w:webHidden/>
          </w:rPr>
          <w:t>25</w:t>
        </w:r>
        <w:r>
          <w:rPr>
            <w:webHidden/>
          </w:rPr>
          <w:fldChar w:fldCharType="end"/>
        </w:r>
      </w:hyperlink>
    </w:p>
    <w:p w:rsidR="00F31F67" w:rsidRPr="00F31F67" w:rsidRDefault="00F31F67" w:rsidP="00F31F67">
      <w:pPr>
        <w:rPr>
          <w:rFonts w:eastAsiaTheme="minorEastAsia"/>
        </w:rPr>
      </w:pPr>
    </w:p>
    <w:p w:rsidR="00A937B9" w:rsidRDefault="00A937B9">
      <w:pPr>
        <w:pStyle w:val="Sommario1"/>
        <w:rPr>
          <w:rFonts w:asciiTheme="minorHAnsi" w:eastAsiaTheme="minorEastAsia" w:hAnsiTheme="minorHAnsi" w:cstheme="minorBidi"/>
          <w:b w:val="0"/>
          <w:color w:val="auto"/>
          <w:sz w:val="22"/>
          <w:szCs w:val="22"/>
        </w:rPr>
      </w:pPr>
      <w:hyperlink w:anchor="_Toc499135169" w:history="1">
        <w:r w:rsidRPr="00967DE3">
          <w:rPr>
            <w:rStyle w:val="Collegamentoipertestuale"/>
          </w:rPr>
          <w:t>Archivi di base</w:t>
        </w:r>
        <w:r>
          <w:rPr>
            <w:webHidden/>
          </w:rPr>
          <w:tab/>
        </w:r>
        <w:r>
          <w:rPr>
            <w:webHidden/>
          </w:rPr>
          <w:fldChar w:fldCharType="begin"/>
        </w:r>
        <w:r>
          <w:rPr>
            <w:webHidden/>
          </w:rPr>
          <w:instrText xml:space="preserve"> PAGEREF _Toc499135169 \h </w:instrText>
        </w:r>
        <w:r>
          <w:rPr>
            <w:webHidden/>
          </w:rPr>
        </w:r>
        <w:r>
          <w:rPr>
            <w:webHidden/>
          </w:rPr>
          <w:fldChar w:fldCharType="separate"/>
        </w:r>
        <w:r w:rsidR="004069C5">
          <w:rPr>
            <w:webHidden/>
          </w:rPr>
          <w:t>26</w:t>
        </w:r>
        <w:r>
          <w:rPr>
            <w:webHidden/>
          </w:rPr>
          <w:fldChar w:fldCharType="end"/>
        </w:r>
      </w:hyperlink>
    </w:p>
    <w:p w:rsidR="00A937B9" w:rsidRDefault="00A937B9">
      <w:pPr>
        <w:pStyle w:val="Sommario2"/>
        <w:rPr>
          <w:rFonts w:asciiTheme="minorHAnsi" w:eastAsiaTheme="minorEastAsia" w:hAnsiTheme="minorHAnsi" w:cstheme="minorBidi"/>
          <w:b w:val="0"/>
          <w:sz w:val="22"/>
          <w:szCs w:val="22"/>
        </w:rPr>
      </w:pPr>
      <w:hyperlink w:anchor="_Toc499135170" w:history="1">
        <w:r w:rsidRPr="00967DE3">
          <w:rPr>
            <w:rStyle w:val="Collegamentoipertestuale"/>
          </w:rPr>
          <w:t>TB0305 / TB0801</w:t>
        </w:r>
        <w:r>
          <w:rPr>
            <w:webHidden/>
          </w:rPr>
          <w:tab/>
        </w:r>
        <w:r>
          <w:rPr>
            <w:webHidden/>
          </w:rPr>
          <w:fldChar w:fldCharType="begin"/>
        </w:r>
        <w:r>
          <w:rPr>
            <w:webHidden/>
          </w:rPr>
          <w:instrText xml:space="preserve"> PAGEREF _Toc499135170 \h </w:instrText>
        </w:r>
        <w:r>
          <w:rPr>
            <w:webHidden/>
          </w:rPr>
        </w:r>
        <w:r>
          <w:rPr>
            <w:webHidden/>
          </w:rPr>
          <w:fldChar w:fldCharType="separate"/>
        </w:r>
        <w:r w:rsidR="004069C5">
          <w:rPr>
            <w:webHidden/>
          </w:rPr>
          <w:t>26</w:t>
        </w:r>
        <w:r>
          <w:rPr>
            <w:webHidden/>
          </w:rPr>
          <w:fldChar w:fldCharType="end"/>
        </w:r>
      </w:hyperlink>
    </w:p>
    <w:p w:rsidR="00A937B9" w:rsidRDefault="00A937B9">
      <w:pPr>
        <w:pStyle w:val="Sommario4"/>
        <w:rPr>
          <w:rFonts w:asciiTheme="minorHAnsi" w:eastAsiaTheme="minorEastAsia" w:hAnsiTheme="minorHAnsi" w:cstheme="minorBidi"/>
          <w:i w:val="0"/>
          <w:sz w:val="22"/>
          <w:szCs w:val="22"/>
        </w:rPr>
      </w:pPr>
      <w:hyperlink w:anchor="_Toc499135171" w:history="1">
        <w:r w:rsidRPr="00967DE3">
          <w:rPr>
            <w:rStyle w:val="Collegamentoipertestuale"/>
          </w:rPr>
          <w:t>Creazione nuovi codici enti e fondi</w:t>
        </w:r>
        <w:r>
          <w:rPr>
            <w:webHidden/>
          </w:rPr>
          <w:tab/>
        </w:r>
        <w:r>
          <w:rPr>
            <w:webHidden/>
          </w:rPr>
          <w:fldChar w:fldCharType="begin"/>
        </w:r>
        <w:r>
          <w:rPr>
            <w:webHidden/>
          </w:rPr>
          <w:instrText xml:space="preserve"> PAGEREF _Toc499135171 \h </w:instrText>
        </w:r>
        <w:r>
          <w:rPr>
            <w:webHidden/>
          </w:rPr>
        </w:r>
        <w:r>
          <w:rPr>
            <w:webHidden/>
          </w:rPr>
          <w:fldChar w:fldCharType="separate"/>
        </w:r>
        <w:r w:rsidR="004069C5">
          <w:rPr>
            <w:webHidden/>
          </w:rPr>
          <w:t>26</w:t>
        </w:r>
        <w:r>
          <w:rPr>
            <w:webHidden/>
          </w:rPr>
          <w:fldChar w:fldCharType="end"/>
        </w:r>
      </w:hyperlink>
    </w:p>
    <w:p w:rsidR="00A937B9" w:rsidRDefault="00A937B9">
      <w:pPr>
        <w:pStyle w:val="Sommario2"/>
        <w:rPr>
          <w:rFonts w:asciiTheme="minorHAnsi" w:eastAsiaTheme="minorEastAsia" w:hAnsiTheme="minorHAnsi" w:cstheme="minorBidi"/>
          <w:b w:val="0"/>
          <w:sz w:val="22"/>
          <w:szCs w:val="22"/>
        </w:rPr>
      </w:pPr>
      <w:hyperlink w:anchor="_Toc499135172" w:history="1">
        <w:r w:rsidRPr="00967DE3">
          <w:rPr>
            <w:rStyle w:val="Collegamentoipertestuale"/>
          </w:rPr>
          <w:t>TB0307</w:t>
        </w:r>
        <w:r>
          <w:rPr>
            <w:webHidden/>
          </w:rPr>
          <w:tab/>
        </w:r>
        <w:r>
          <w:rPr>
            <w:webHidden/>
          </w:rPr>
          <w:fldChar w:fldCharType="begin"/>
        </w:r>
        <w:r>
          <w:rPr>
            <w:webHidden/>
          </w:rPr>
          <w:instrText xml:space="preserve"> PAGEREF _Toc499135172 \h </w:instrText>
        </w:r>
        <w:r>
          <w:rPr>
            <w:webHidden/>
          </w:rPr>
        </w:r>
        <w:r>
          <w:rPr>
            <w:webHidden/>
          </w:rPr>
          <w:fldChar w:fldCharType="separate"/>
        </w:r>
        <w:r w:rsidR="004069C5">
          <w:rPr>
            <w:webHidden/>
          </w:rPr>
          <w:t>27</w:t>
        </w:r>
        <w:r>
          <w:rPr>
            <w:webHidden/>
          </w:rPr>
          <w:fldChar w:fldCharType="end"/>
        </w:r>
      </w:hyperlink>
    </w:p>
    <w:p w:rsidR="00A937B9" w:rsidRDefault="00A937B9">
      <w:pPr>
        <w:pStyle w:val="Sommario4"/>
        <w:rPr>
          <w:rFonts w:asciiTheme="minorHAnsi" w:eastAsiaTheme="minorEastAsia" w:hAnsiTheme="minorHAnsi" w:cstheme="minorBidi"/>
          <w:i w:val="0"/>
          <w:sz w:val="22"/>
          <w:szCs w:val="22"/>
        </w:rPr>
      </w:pPr>
      <w:hyperlink w:anchor="_Toc499135173" w:history="1">
        <w:r w:rsidRPr="00967DE3">
          <w:rPr>
            <w:rStyle w:val="Collegamentoipertestuale"/>
          </w:rPr>
          <w:t>Contributi casse edili &gt; Scheda Eccezioni</w:t>
        </w:r>
        <w:r>
          <w:rPr>
            <w:webHidden/>
          </w:rPr>
          <w:tab/>
        </w:r>
        <w:r>
          <w:rPr>
            <w:webHidden/>
          </w:rPr>
          <w:fldChar w:fldCharType="begin"/>
        </w:r>
        <w:r>
          <w:rPr>
            <w:webHidden/>
          </w:rPr>
          <w:instrText xml:space="preserve"> PAGEREF _Toc499135173 \h </w:instrText>
        </w:r>
        <w:r>
          <w:rPr>
            <w:webHidden/>
          </w:rPr>
        </w:r>
        <w:r>
          <w:rPr>
            <w:webHidden/>
          </w:rPr>
          <w:fldChar w:fldCharType="separate"/>
        </w:r>
        <w:r w:rsidR="004069C5">
          <w:rPr>
            <w:webHidden/>
          </w:rPr>
          <w:t>27</w:t>
        </w:r>
        <w:r>
          <w:rPr>
            <w:webHidden/>
          </w:rPr>
          <w:fldChar w:fldCharType="end"/>
        </w:r>
      </w:hyperlink>
    </w:p>
    <w:p w:rsidR="00A937B9" w:rsidRDefault="00A937B9">
      <w:pPr>
        <w:pStyle w:val="Sommario5"/>
        <w:tabs>
          <w:tab w:val="right" w:leader="dot" w:pos="9629"/>
        </w:tabs>
        <w:rPr>
          <w:rFonts w:asciiTheme="minorHAnsi" w:eastAsiaTheme="minorEastAsia" w:hAnsiTheme="minorHAnsi" w:cstheme="minorBidi"/>
          <w:i w:val="0"/>
          <w:noProof/>
          <w:sz w:val="22"/>
          <w:szCs w:val="22"/>
        </w:rPr>
      </w:pPr>
      <w:hyperlink w:anchor="_Toc499135174" w:history="1">
        <w:r w:rsidRPr="00967DE3">
          <w:rPr>
            <w:rStyle w:val="Collegamentoipertestuale"/>
            <w:noProof/>
          </w:rPr>
          <w:t>Cassa Edile Artigiana Sardegna</w:t>
        </w:r>
        <w:r>
          <w:rPr>
            <w:noProof/>
            <w:webHidden/>
          </w:rPr>
          <w:tab/>
        </w:r>
        <w:r>
          <w:rPr>
            <w:noProof/>
            <w:webHidden/>
          </w:rPr>
          <w:fldChar w:fldCharType="begin"/>
        </w:r>
        <w:r>
          <w:rPr>
            <w:noProof/>
            <w:webHidden/>
          </w:rPr>
          <w:instrText xml:space="preserve"> PAGEREF _Toc499135174 \h </w:instrText>
        </w:r>
        <w:r>
          <w:rPr>
            <w:noProof/>
            <w:webHidden/>
          </w:rPr>
        </w:r>
        <w:r>
          <w:rPr>
            <w:noProof/>
            <w:webHidden/>
          </w:rPr>
          <w:fldChar w:fldCharType="separate"/>
        </w:r>
        <w:r w:rsidR="004069C5">
          <w:rPr>
            <w:noProof/>
            <w:webHidden/>
          </w:rPr>
          <w:t>27</w:t>
        </w:r>
        <w:r>
          <w:rPr>
            <w:noProof/>
            <w:webHidden/>
          </w:rPr>
          <w:fldChar w:fldCharType="end"/>
        </w:r>
      </w:hyperlink>
    </w:p>
    <w:p w:rsidR="00A937B9" w:rsidRDefault="00A937B9">
      <w:pPr>
        <w:pStyle w:val="Sommario5"/>
        <w:tabs>
          <w:tab w:val="right" w:leader="dot" w:pos="9629"/>
        </w:tabs>
        <w:rPr>
          <w:rFonts w:asciiTheme="minorHAnsi" w:eastAsiaTheme="minorEastAsia" w:hAnsiTheme="minorHAnsi" w:cstheme="minorBidi"/>
          <w:i w:val="0"/>
          <w:noProof/>
          <w:sz w:val="22"/>
          <w:szCs w:val="22"/>
        </w:rPr>
      </w:pPr>
      <w:hyperlink w:anchor="_Toc499135175" w:history="1">
        <w:r w:rsidRPr="00967DE3">
          <w:rPr>
            <w:rStyle w:val="Collegamentoipertestuale"/>
            <w:noProof/>
          </w:rPr>
          <w:t>Cassa Edile di Verbano, Cusio ed Ossola</w:t>
        </w:r>
        <w:r>
          <w:rPr>
            <w:noProof/>
            <w:webHidden/>
          </w:rPr>
          <w:tab/>
        </w:r>
        <w:r>
          <w:rPr>
            <w:noProof/>
            <w:webHidden/>
          </w:rPr>
          <w:fldChar w:fldCharType="begin"/>
        </w:r>
        <w:r>
          <w:rPr>
            <w:noProof/>
            <w:webHidden/>
          </w:rPr>
          <w:instrText xml:space="preserve"> PAGEREF _Toc499135175 \h </w:instrText>
        </w:r>
        <w:r>
          <w:rPr>
            <w:noProof/>
            <w:webHidden/>
          </w:rPr>
        </w:r>
        <w:r>
          <w:rPr>
            <w:noProof/>
            <w:webHidden/>
          </w:rPr>
          <w:fldChar w:fldCharType="separate"/>
        </w:r>
        <w:r w:rsidR="004069C5">
          <w:rPr>
            <w:noProof/>
            <w:webHidden/>
          </w:rPr>
          <w:t>28</w:t>
        </w:r>
        <w:r>
          <w:rPr>
            <w:noProof/>
            <w:webHidden/>
          </w:rPr>
          <w:fldChar w:fldCharType="end"/>
        </w:r>
      </w:hyperlink>
    </w:p>
    <w:p w:rsidR="00A937B9" w:rsidRDefault="00A937B9">
      <w:pPr>
        <w:pStyle w:val="Sommario5"/>
        <w:tabs>
          <w:tab w:val="right" w:leader="dot" w:pos="9629"/>
        </w:tabs>
        <w:rPr>
          <w:rFonts w:asciiTheme="minorHAnsi" w:eastAsiaTheme="minorEastAsia" w:hAnsiTheme="minorHAnsi" w:cstheme="minorBidi"/>
          <w:i w:val="0"/>
          <w:noProof/>
          <w:sz w:val="22"/>
          <w:szCs w:val="22"/>
        </w:rPr>
      </w:pPr>
      <w:hyperlink w:anchor="_Toc499135176" w:history="1">
        <w:r w:rsidRPr="00967DE3">
          <w:rPr>
            <w:rStyle w:val="Collegamentoipertestuale"/>
            <w:noProof/>
          </w:rPr>
          <w:t>Cassa Edile di Bolzano</w:t>
        </w:r>
        <w:r>
          <w:rPr>
            <w:noProof/>
            <w:webHidden/>
          </w:rPr>
          <w:tab/>
        </w:r>
        <w:r>
          <w:rPr>
            <w:noProof/>
            <w:webHidden/>
          </w:rPr>
          <w:fldChar w:fldCharType="begin"/>
        </w:r>
        <w:r>
          <w:rPr>
            <w:noProof/>
            <w:webHidden/>
          </w:rPr>
          <w:instrText xml:space="preserve"> PAGEREF _Toc499135176 \h </w:instrText>
        </w:r>
        <w:r>
          <w:rPr>
            <w:noProof/>
            <w:webHidden/>
          </w:rPr>
        </w:r>
        <w:r>
          <w:rPr>
            <w:noProof/>
            <w:webHidden/>
          </w:rPr>
          <w:fldChar w:fldCharType="separate"/>
        </w:r>
        <w:r w:rsidR="004069C5">
          <w:rPr>
            <w:noProof/>
            <w:webHidden/>
          </w:rPr>
          <w:t>28</w:t>
        </w:r>
        <w:r>
          <w:rPr>
            <w:noProof/>
            <w:webHidden/>
          </w:rPr>
          <w:fldChar w:fldCharType="end"/>
        </w:r>
      </w:hyperlink>
    </w:p>
    <w:p w:rsidR="00A937B9" w:rsidRDefault="00A937B9">
      <w:pPr>
        <w:pStyle w:val="Sommario2"/>
        <w:rPr>
          <w:rFonts w:asciiTheme="minorHAnsi" w:eastAsiaTheme="minorEastAsia" w:hAnsiTheme="minorHAnsi" w:cstheme="minorBidi"/>
          <w:b w:val="0"/>
          <w:sz w:val="22"/>
          <w:szCs w:val="22"/>
        </w:rPr>
      </w:pPr>
      <w:hyperlink w:anchor="_Toc499135177" w:history="1">
        <w:r w:rsidRPr="00967DE3">
          <w:rPr>
            <w:rStyle w:val="Collegamentoipertestuale"/>
          </w:rPr>
          <w:t>TB0313</w:t>
        </w:r>
        <w:r>
          <w:rPr>
            <w:webHidden/>
          </w:rPr>
          <w:tab/>
        </w:r>
        <w:r>
          <w:rPr>
            <w:webHidden/>
          </w:rPr>
          <w:fldChar w:fldCharType="begin"/>
        </w:r>
        <w:r>
          <w:rPr>
            <w:webHidden/>
          </w:rPr>
          <w:instrText xml:space="preserve"> PAGEREF _Toc499135177 \h </w:instrText>
        </w:r>
        <w:r>
          <w:rPr>
            <w:webHidden/>
          </w:rPr>
        </w:r>
        <w:r>
          <w:rPr>
            <w:webHidden/>
          </w:rPr>
          <w:fldChar w:fldCharType="separate"/>
        </w:r>
        <w:r w:rsidR="004069C5">
          <w:rPr>
            <w:webHidden/>
          </w:rPr>
          <w:t>28</w:t>
        </w:r>
        <w:r>
          <w:rPr>
            <w:webHidden/>
          </w:rPr>
          <w:fldChar w:fldCharType="end"/>
        </w:r>
      </w:hyperlink>
    </w:p>
    <w:p w:rsidR="00A937B9" w:rsidRDefault="00A937B9">
      <w:pPr>
        <w:pStyle w:val="Sommario4"/>
        <w:rPr>
          <w:rFonts w:asciiTheme="minorHAnsi" w:eastAsiaTheme="minorEastAsia" w:hAnsiTheme="minorHAnsi" w:cstheme="minorBidi"/>
          <w:i w:val="0"/>
          <w:sz w:val="22"/>
          <w:szCs w:val="22"/>
        </w:rPr>
      </w:pPr>
      <w:hyperlink w:anchor="_Toc499135178" w:history="1">
        <w:r w:rsidRPr="00967DE3">
          <w:rPr>
            <w:rStyle w:val="Collegamentoipertestuale"/>
          </w:rPr>
          <w:t>Tabella collegamento altri contributi</w:t>
        </w:r>
        <w:r>
          <w:rPr>
            <w:webHidden/>
          </w:rPr>
          <w:tab/>
        </w:r>
        <w:r>
          <w:rPr>
            <w:webHidden/>
          </w:rPr>
          <w:fldChar w:fldCharType="begin"/>
        </w:r>
        <w:r>
          <w:rPr>
            <w:webHidden/>
          </w:rPr>
          <w:instrText xml:space="preserve"> PAGEREF _Toc499135178 \h </w:instrText>
        </w:r>
        <w:r>
          <w:rPr>
            <w:webHidden/>
          </w:rPr>
        </w:r>
        <w:r>
          <w:rPr>
            <w:webHidden/>
          </w:rPr>
          <w:fldChar w:fldCharType="separate"/>
        </w:r>
        <w:r w:rsidR="004069C5">
          <w:rPr>
            <w:webHidden/>
          </w:rPr>
          <w:t>28</w:t>
        </w:r>
        <w:r>
          <w:rPr>
            <w:webHidden/>
          </w:rPr>
          <w:fldChar w:fldCharType="end"/>
        </w:r>
      </w:hyperlink>
    </w:p>
    <w:p w:rsidR="00A937B9" w:rsidRDefault="00A937B9">
      <w:pPr>
        <w:pStyle w:val="Sommario2"/>
        <w:rPr>
          <w:rFonts w:asciiTheme="minorHAnsi" w:eastAsiaTheme="minorEastAsia" w:hAnsiTheme="minorHAnsi" w:cstheme="minorBidi"/>
          <w:b w:val="0"/>
          <w:sz w:val="22"/>
          <w:szCs w:val="22"/>
        </w:rPr>
      </w:pPr>
      <w:hyperlink w:anchor="_Toc499135179" w:history="1">
        <w:r w:rsidRPr="00967DE3">
          <w:rPr>
            <w:rStyle w:val="Collegamentoipertestuale"/>
          </w:rPr>
          <w:t>TB0901</w:t>
        </w:r>
        <w:r>
          <w:rPr>
            <w:webHidden/>
          </w:rPr>
          <w:tab/>
        </w:r>
        <w:r>
          <w:rPr>
            <w:webHidden/>
          </w:rPr>
          <w:fldChar w:fldCharType="begin"/>
        </w:r>
        <w:r>
          <w:rPr>
            <w:webHidden/>
          </w:rPr>
          <w:instrText xml:space="preserve"> PAGEREF _Toc499135179 \h </w:instrText>
        </w:r>
        <w:r>
          <w:rPr>
            <w:webHidden/>
          </w:rPr>
        </w:r>
        <w:r>
          <w:rPr>
            <w:webHidden/>
          </w:rPr>
          <w:fldChar w:fldCharType="separate"/>
        </w:r>
        <w:r w:rsidR="004069C5">
          <w:rPr>
            <w:webHidden/>
          </w:rPr>
          <w:t>29</w:t>
        </w:r>
        <w:r>
          <w:rPr>
            <w:webHidden/>
          </w:rPr>
          <w:fldChar w:fldCharType="end"/>
        </w:r>
      </w:hyperlink>
    </w:p>
    <w:p w:rsidR="00A937B9" w:rsidRDefault="00A937B9">
      <w:pPr>
        <w:pStyle w:val="Sommario4"/>
        <w:rPr>
          <w:rFonts w:asciiTheme="minorHAnsi" w:eastAsiaTheme="minorEastAsia" w:hAnsiTheme="minorHAnsi" w:cstheme="minorBidi"/>
          <w:i w:val="0"/>
          <w:sz w:val="22"/>
          <w:szCs w:val="22"/>
        </w:rPr>
      </w:pPr>
      <w:hyperlink w:anchor="_Toc499135180" w:history="1">
        <w:r w:rsidRPr="00967DE3">
          <w:rPr>
            <w:rStyle w:val="Collegamentoipertestuale"/>
          </w:rPr>
          <w:t>Codice tabella comporto</w:t>
        </w:r>
        <w:r>
          <w:rPr>
            <w:webHidden/>
          </w:rPr>
          <w:tab/>
        </w:r>
        <w:r>
          <w:rPr>
            <w:webHidden/>
          </w:rPr>
          <w:fldChar w:fldCharType="begin"/>
        </w:r>
        <w:r>
          <w:rPr>
            <w:webHidden/>
          </w:rPr>
          <w:instrText xml:space="preserve"> PAGEREF _Toc499135180 \h </w:instrText>
        </w:r>
        <w:r>
          <w:rPr>
            <w:webHidden/>
          </w:rPr>
        </w:r>
        <w:r>
          <w:rPr>
            <w:webHidden/>
          </w:rPr>
          <w:fldChar w:fldCharType="separate"/>
        </w:r>
        <w:r w:rsidR="004069C5">
          <w:rPr>
            <w:webHidden/>
          </w:rPr>
          <w:t>29</w:t>
        </w:r>
        <w:r>
          <w:rPr>
            <w:webHidden/>
          </w:rPr>
          <w:fldChar w:fldCharType="end"/>
        </w:r>
      </w:hyperlink>
    </w:p>
    <w:p w:rsidR="00A937B9" w:rsidRDefault="00A937B9">
      <w:pPr>
        <w:pStyle w:val="Sommario5"/>
        <w:tabs>
          <w:tab w:val="right" w:leader="dot" w:pos="9629"/>
        </w:tabs>
        <w:rPr>
          <w:rFonts w:asciiTheme="minorHAnsi" w:eastAsiaTheme="minorEastAsia" w:hAnsiTheme="minorHAnsi" w:cstheme="minorBidi"/>
          <w:i w:val="0"/>
          <w:noProof/>
          <w:sz w:val="22"/>
          <w:szCs w:val="22"/>
        </w:rPr>
      </w:pPr>
      <w:hyperlink w:anchor="_Toc499135181" w:history="1">
        <w:r w:rsidRPr="00967DE3">
          <w:rPr>
            <w:rStyle w:val="Collegamentoipertestuale"/>
            <w:noProof/>
          </w:rPr>
          <w:t>Scuole Private Materne FISM – Codice tabella comporto 8826</w:t>
        </w:r>
        <w:r>
          <w:rPr>
            <w:noProof/>
            <w:webHidden/>
          </w:rPr>
          <w:tab/>
        </w:r>
        <w:r>
          <w:rPr>
            <w:noProof/>
            <w:webHidden/>
          </w:rPr>
          <w:fldChar w:fldCharType="begin"/>
        </w:r>
        <w:r>
          <w:rPr>
            <w:noProof/>
            <w:webHidden/>
          </w:rPr>
          <w:instrText xml:space="preserve"> PAGEREF _Toc499135181 \h </w:instrText>
        </w:r>
        <w:r>
          <w:rPr>
            <w:noProof/>
            <w:webHidden/>
          </w:rPr>
        </w:r>
        <w:r>
          <w:rPr>
            <w:noProof/>
            <w:webHidden/>
          </w:rPr>
          <w:fldChar w:fldCharType="separate"/>
        </w:r>
        <w:r w:rsidR="004069C5">
          <w:rPr>
            <w:noProof/>
            <w:webHidden/>
          </w:rPr>
          <w:t>29</w:t>
        </w:r>
        <w:r>
          <w:rPr>
            <w:noProof/>
            <w:webHidden/>
          </w:rPr>
          <w:fldChar w:fldCharType="end"/>
        </w:r>
      </w:hyperlink>
    </w:p>
    <w:p w:rsidR="00A937B9" w:rsidRDefault="00A937B9">
      <w:pPr>
        <w:pStyle w:val="Sommario2"/>
        <w:rPr>
          <w:rFonts w:asciiTheme="minorHAnsi" w:eastAsiaTheme="minorEastAsia" w:hAnsiTheme="minorHAnsi" w:cstheme="minorBidi"/>
          <w:b w:val="0"/>
          <w:sz w:val="22"/>
          <w:szCs w:val="22"/>
        </w:rPr>
      </w:pPr>
      <w:hyperlink w:anchor="_Toc499135182" w:history="1">
        <w:r w:rsidRPr="00967DE3">
          <w:rPr>
            <w:rStyle w:val="Collegamentoipertestuale"/>
          </w:rPr>
          <w:t>STADIP</w:t>
        </w:r>
        <w:r>
          <w:rPr>
            <w:webHidden/>
          </w:rPr>
          <w:tab/>
        </w:r>
        <w:r>
          <w:rPr>
            <w:webHidden/>
          </w:rPr>
          <w:fldChar w:fldCharType="begin"/>
        </w:r>
        <w:r>
          <w:rPr>
            <w:webHidden/>
          </w:rPr>
          <w:instrText xml:space="preserve"> PAGEREF _Toc499135182 \h </w:instrText>
        </w:r>
        <w:r>
          <w:rPr>
            <w:webHidden/>
          </w:rPr>
        </w:r>
        <w:r>
          <w:rPr>
            <w:webHidden/>
          </w:rPr>
          <w:fldChar w:fldCharType="separate"/>
        </w:r>
        <w:r w:rsidR="004069C5">
          <w:rPr>
            <w:webHidden/>
          </w:rPr>
          <w:t>31</w:t>
        </w:r>
        <w:r>
          <w:rPr>
            <w:webHidden/>
          </w:rPr>
          <w:fldChar w:fldCharType="end"/>
        </w:r>
      </w:hyperlink>
    </w:p>
    <w:p w:rsidR="00A937B9" w:rsidRDefault="00A937B9">
      <w:pPr>
        <w:pStyle w:val="Sommario4"/>
        <w:rPr>
          <w:rStyle w:val="Collegamentoipertestuale"/>
        </w:rPr>
      </w:pPr>
      <w:hyperlink w:anchor="_Toc499135183" w:history="1">
        <w:r w:rsidRPr="00967DE3">
          <w:rPr>
            <w:rStyle w:val="Collegamentoipertestuale"/>
          </w:rPr>
          <w:t>Lettera certificato stipendio</w:t>
        </w:r>
        <w:r>
          <w:rPr>
            <w:webHidden/>
          </w:rPr>
          <w:tab/>
        </w:r>
        <w:r>
          <w:rPr>
            <w:webHidden/>
          </w:rPr>
          <w:fldChar w:fldCharType="begin"/>
        </w:r>
        <w:r>
          <w:rPr>
            <w:webHidden/>
          </w:rPr>
          <w:instrText xml:space="preserve"> PAGEREF _Toc499135183 \h </w:instrText>
        </w:r>
        <w:r>
          <w:rPr>
            <w:webHidden/>
          </w:rPr>
        </w:r>
        <w:r>
          <w:rPr>
            <w:webHidden/>
          </w:rPr>
          <w:fldChar w:fldCharType="separate"/>
        </w:r>
        <w:r w:rsidR="004069C5">
          <w:rPr>
            <w:webHidden/>
          </w:rPr>
          <w:t>31</w:t>
        </w:r>
        <w:r>
          <w:rPr>
            <w:webHidden/>
          </w:rPr>
          <w:fldChar w:fldCharType="end"/>
        </w:r>
      </w:hyperlink>
    </w:p>
    <w:p w:rsidR="00F31F67" w:rsidRPr="00F31F67" w:rsidRDefault="00F31F67" w:rsidP="00F31F67">
      <w:pPr>
        <w:rPr>
          <w:rFonts w:eastAsiaTheme="minorEastAsia"/>
        </w:rPr>
      </w:pPr>
    </w:p>
    <w:p w:rsidR="00A937B9" w:rsidRDefault="00A937B9">
      <w:pPr>
        <w:pStyle w:val="Sommario1"/>
        <w:rPr>
          <w:rFonts w:asciiTheme="minorHAnsi" w:eastAsiaTheme="minorEastAsia" w:hAnsiTheme="minorHAnsi" w:cstheme="minorBidi"/>
          <w:b w:val="0"/>
          <w:color w:val="auto"/>
          <w:sz w:val="22"/>
          <w:szCs w:val="22"/>
        </w:rPr>
      </w:pPr>
      <w:hyperlink w:anchor="_Toc499135184" w:history="1">
        <w:r w:rsidRPr="00967DE3">
          <w:rPr>
            <w:rStyle w:val="Collegamentoipertestuale"/>
          </w:rPr>
          <w:t>Elaborazioni mensili</w:t>
        </w:r>
        <w:r>
          <w:rPr>
            <w:webHidden/>
          </w:rPr>
          <w:tab/>
        </w:r>
        <w:r>
          <w:rPr>
            <w:webHidden/>
          </w:rPr>
          <w:fldChar w:fldCharType="begin"/>
        </w:r>
        <w:r>
          <w:rPr>
            <w:webHidden/>
          </w:rPr>
          <w:instrText xml:space="preserve"> PAGEREF _Toc499135184 \h </w:instrText>
        </w:r>
        <w:r>
          <w:rPr>
            <w:webHidden/>
          </w:rPr>
        </w:r>
        <w:r>
          <w:rPr>
            <w:webHidden/>
          </w:rPr>
          <w:fldChar w:fldCharType="separate"/>
        </w:r>
        <w:r w:rsidR="004069C5">
          <w:rPr>
            <w:webHidden/>
          </w:rPr>
          <w:t>32</w:t>
        </w:r>
        <w:r>
          <w:rPr>
            <w:webHidden/>
          </w:rPr>
          <w:fldChar w:fldCharType="end"/>
        </w:r>
      </w:hyperlink>
    </w:p>
    <w:p w:rsidR="00A937B9" w:rsidRDefault="00A937B9">
      <w:pPr>
        <w:pStyle w:val="Sommario2"/>
        <w:rPr>
          <w:rFonts w:asciiTheme="minorHAnsi" w:eastAsiaTheme="minorEastAsia" w:hAnsiTheme="minorHAnsi" w:cstheme="minorBidi"/>
          <w:b w:val="0"/>
          <w:sz w:val="22"/>
          <w:szCs w:val="22"/>
        </w:rPr>
      </w:pPr>
      <w:hyperlink w:anchor="_Toc499135185" w:history="1">
        <w:r w:rsidRPr="00967DE3">
          <w:rPr>
            <w:rStyle w:val="Collegamentoipertestuale"/>
          </w:rPr>
          <w:t>STNOM</w:t>
        </w:r>
        <w:r>
          <w:rPr>
            <w:webHidden/>
          </w:rPr>
          <w:tab/>
        </w:r>
        <w:r>
          <w:rPr>
            <w:webHidden/>
          </w:rPr>
          <w:fldChar w:fldCharType="begin"/>
        </w:r>
        <w:r>
          <w:rPr>
            <w:webHidden/>
          </w:rPr>
          <w:instrText xml:space="preserve"> PAGEREF _Toc499135185 \h </w:instrText>
        </w:r>
        <w:r>
          <w:rPr>
            <w:webHidden/>
          </w:rPr>
        </w:r>
        <w:r>
          <w:rPr>
            <w:webHidden/>
          </w:rPr>
          <w:fldChar w:fldCharType="separate"/>
        </w:r>
        <w:r w:rsidR="004069C5">
          <w:rPr>
            <w:webHidden/>
          </w:rPr>
          <w:t>32</w:t>
        </w:r>
        <w:r>
          <w:rPr>
            <w:webHidden/>
          </w:rPr>
          <w:fldChar w:fldCharType="end"/>
        </w:r>
      </w:hyperlink>
    </w:p>
    <w:p w:rsidR="00A937B9" w:rsidRDefault="00A937B9">
      <w:pPr>
        <w:pStyle w:val="Sommario4"/>
        <w:rPr>
          <w:rStyle w:val="Collegamentoipertestuale"/>
        </w:rPr>
      </w:pPr>
      <w:hyperlink w:anchor="_Toc499135186" w:history="1">
        <w:r w:rsidRPr="00967DE3">
          <w:rPr>
            <w:rStyle w:val="Collegamentoipertestuale"/>
          </w:rPr>
          <w:t>Distinta contanti assegni bonifici</w:t>
        </w:r>
        <w:r>
          <w:rPr>
            <w:webHidden/>
          </w:rPr>
          <w:tab/>
        </w:r>
        <w:r>
          <w:rPr>
            <w:webHidden/>
          </w:rPr>
          <w:fldChar w:fldCharType="begin"/>
        </w:r>
        <w:r>
          <w:rPr>
            <w:webHidden/>
          </w:rPr>
          <w:instrText xml:space="preserve"> PAGEREF _Toc499135186 \h </w:instrText>
        </w:r>
        <w:r>
          <w:rPr>
            <w:webHidden/>
          </w:rPr>
        </w:r>
        <w:r>
          <w:rPr>
            <w:webHidden/>
          </w:rPr>
          <w:fldChar w:fldCharType="separate"/>
        </w:r>
        <w:r w:rsidR="004069C5">
          <w:rPr>
            <w:webHidden/>
          </w:rPr>
          <w:t>32</w:t>
        </w:r>
        <w:r>
          <w:rPr>
            <w:webHidden/>
          </w:rPr>
          <w:fldChar w:fldCharType="end"/>
        </w:r>
      </w:hyperlink>
    </w:p>
    <w:p w:rsidR="00F31F67" w:rsidRPr="00F31F67" w:rsidRDefault="00F31F67" w:rsidP="00F31F67">
      <w:pPr>
        <w:rPr>
          <w:rFonts w:eastAsiaTheme="minorEastAsia"/>
        </w:rPr>
      </w:pPr>
    </w:p>
    <w:p w:rsidR="00A937B9" w:rsidRDefault="00A937B9">
      <w:pPr>
        <w:pStyle w:val="Sommario1"/>
        <w:rPr>
          <w:rFonts w:asciiTheme="minorHAnsi" w:eastAsiaTheme="minorEastAsia" w:hAnsiTheme="minorHAnsi" w:cstheme="minorBidi"/>
          <w:b w:val="0"/>
          <w:color w:val="auto"/>
          <w:sz w:val="22"/>
          <w:szCs w:val="22"/>
        </w:rPr>
      </w:pPr>
      <w:hyperlink w:anchor="_Toc499135187" w:history="1">
        <w:r w:rsidRPr="00967DE3">
          <w:rPr>
            <w:rStyle w:val="Collegamentoipertestuale"/>
          </w:rPr>
          <w:t>Altri enti</w:t>
        </w:r>
        <w:r>
          <w:rPr>
            <w:webHidden/>
          </w:rPr>
          <w:tab/>
        </w:r>
        <w:r>
          <w:rPr>
            <w:webHidden/>
          </w:rPr>
          <w:fldChar w:fldCharType="begin"/>
        </w:r>
        <w:r>
          <w:rPr>
            <w:webHidden/>
          </w:rPr>
          <w:instrText xml:space="preserve"> PAGEREF _Toc499135187 \h </w:instrText>
        </w:r>
        <w:r>
          <w:rPr>
            <w:webHidden/>
          </w:rPr>
        </w:r>
        <w:r>
          <w:rPr>
            <w:webHidden/>
          </w:rPr>
          <w:fldChar w:fldCharType="separate"/>
        </w:r>
        <w:r w:rsidR="004069C5">
          <w:rPr>
            <w:webHidden/>
          </w:rPr>
          <w:t>32</w:t>
        </w:r>
        <w:r>
          <w:rPr>
            <w:webHidden/>
          </w:rPr>
          <w:fldChar w:fldCharType="end"/>
        </w:r>
      </w:hyperlink>
    </w:p>
    <w:p w:rsidR="00A937B9" w:rsidRDefault="00A937B9">
      <w:pPr>
        <w:pStyle w:val="Sommario2"/>
        <w:rPr>
          <w:rFonts w:asciiTheme="minorHAnsi" w:eastAsiaTheme="minorEastAsia" w:hAnsiTheme="minorHAnsi" w:cstheme="minorBidi"/>
          <w:b w:val="0"/>
          <w:sz w:val="22"/>
          <w:szCs w:val="22"/>
        </w:rPr>
      </w:pPr>
      <w:hyperlink w:anchor="_Toc499135188" w:history="1">
        <w:r w:rsidRPr="00967DE3">
          <w:rPr>
            <w:rStyle w:val="Collegamentoipertestuale"/>
          </w:rPr>
          <w:t>DMA</w:t>
        </w:r>
        <w:r>
          <w:rPr>
            <w:webHidden/>
          </w:rPr>
          <w:tab/>
        </w:r>
        <w:r>
          <w:rPr>
            <w:webHidden/>
          </w:rPr>
          <w:fldChar w:fldCharType="begin"/>
        </w:r>
        <w:r>
          <w:rPr>
            <w:webHidden/>
          </w:rPr>
          <w:instrText xml:space="preserve"> PAGEREF _Toc499135188 \h </w:instrText>
        </w:r>
        <w:r>
          <w:rPr>
            <w:webHidden/>
          </w:rPr>
        </w:r>
        <w:r>
          <w:rPr>
            <w:webHidden/>
          </w:rPr>
          <w:fldChar w:fldCharType="separate"/>
        </w:r>
        <w:r w:rsidR="004069C5">
          <w:rPr>
            <w:webHidden/>
          </w:rPr>
          <w:t>32</w:t>
        </w:r>
        <w:r>
          <w:rPr>
            <w:webHidden/>
          </w:rPr>
          <w:fldChar w:fldCharType="end"/>
        </w:r>
      </w:hyperlink>
    </w:p>
    <w:p w:rsidR="00A937B9" w:rsidRDefault="00A937B9">
      <w:pPr>
        <w:pStyle w:val="Sommario4"/>
        <w:rPr>
          <w:rStyle w:val="Collegamentoipertestuale"/>
        </w:rPr>
      </w:pPr>
      <w:hyperlink w:anchor="_Toc499135189" w:history="1">
        <w:r w:rsidRPr="00967DE3">
          <w:rPr>
            <w:rStyle w:val="Collegamentoipertestuale"/>
          </w:rPr>
          <w:t>Gestione denuncia mensile INPDAP</w:t>
        </w:r>
        <w:r>
          <w:rPr>
            <w:webHidden/>
          </w:rPr>
          <w:tab/>
        </w:r>
        <w:r>
          <w:rPr>
            <w:webHidden/>
          </w:rPr>
          <w:fldChar w:fldCharType="begin"/>
        </w:r>
        <w:r>
          <w:rPr>
            <w:webHidden/>
          </w:rPr>
          <w:instrText xml:space="preserve"> PAGEREF _Toc499135189 \h </w:instrText>
        </w:r>
        <w:r>
          <w:rPr>
            <w:webHidden/>
          </w:rPr>
        </w:r>
        <w:r>
          <w:rPr>
            <w:webHidden/>
          </w:rPr>
          <w:fldChar w:fldCharType="separate"/>
        </w:r>
        <w:r w:rsidR="004069C5">
          <w:rPr>
            <w:webHidden/>
          </w:rPr>
          <w:t>32</w:t>
        </w:r>
        <w:r>
          <w:rPr>
            <w:webHidden/>
          </w:rPr>
          <w:fldChar w:fldCharType="end"/>
        </w:r>
      </w:hyperlink>
    </w:p>
    <w:p w:rsidR="00F31F67" w:rsidRPr="00F31F67" w:rsidRDefault="00F31F67" w:rsidP="00F31F67">
      <w:pPr>
        <w:rPr>
          <w:rFonts w:eastAsiaTheme="minorEastAsia"/>
        </w:rPr>
      </w:pPr>
      <w:bookmarkStart w:id="2" w:name="_GoBack"/>
      <w:bookmarkEnd w:id="2"/>
    </w:p>
    <w:p w:rsidR="00A937B9" w:rsidRDefault="00A937B9">
      <w:pPr>
        <w:pStyle w:val="Sommario1"/>
        <w:rPr>
          <w:rFonts w:asciiTheme="minorHAnsi" w:eastAsiaTheme="minorEastAsia" w:hAnsiTheme="minorHAnsi" w:cstheme="minorBidi"/>
          <w:b w:val="0"/>
          <w:color w:val="auto"/>
          <w:sz w:val="22"/>
          <w:szCs w:val="22"/>
        </w:rPr>
      </w:pPr>
      <w:hyperlink w:anchor="_Toc499135190" w:history="1">
        <w:r w:rsidRPr="00967DE3">
          <w:rPr>
            <w:rStyle w:val="Collegamentoipertestuale"/>
          </w:rPr>
          <w:t>Budget e Costo del personale</w:t>
        </w:r>
        <w:r>
          <w:rPr>
            <w:webHidden/>
          </w:rPr>
          <w:tab/>
        </w:r>
        <w:r>
          <w:rPr>
            <w:webHidden/>
          </w:rPr>
          <w:fldChar w:fldCharType="begin"/>
        </w:r>
        <w:r>
          <w:rPr>
            <w:webHidden/>
          </w:rPr>
          <w:instrText xml:space="preserve"> PAGEREF _Toc499135190 \h </w:instrText>
        </w:r>
        <w:r>
          <w:rPr>
            <w:webHidden/>
          </w:rPr>
        </w:r>
        <w:r>
          <w:rPr>
            <w:webHidden/>
          </w:rPr>
          <w:fldChar w:fldCharType="separate"/>
        </w:r>
        <w:r w:rsidR="004069C5">
          <w:rPr>
            <w:webHidden/>
          </w:rPr>
          <w:t>33</w:t>
        </w:r>
        <w:r>
          <w:rPr>
            <w:webHidden/>
          </w:rPr>
          <w:fldChar w:fldCharType="end"/>
        </w:r>
      </w:hyperlink>
    </w:p>
    <w:p w:rsidR="00A937B9" w:rsidRDefault="00A937B9">
      <w:pPr>
        <w:pStyle w:val="Sommario2"/>
        <w:rPr>
          <w:rFonts w:asciiTheme="minorHAnsi" w:eastAsiaTheme="minorEastAsia" w:hAnsiTheme="minorHAnsi" w:cstheme="minorBidi"/>
          <w:b w:val="0"/>
          <w:sz w:val="22"/>
          <w:szCs w:val="22"/>
        </w:rPr>
      </w:pPr>
      <w:hyperlink w:anchor="_Toc499135191" w:history="1">
        <w:r w:rsidRPr="00967DE3">
          <w:rPr>
            <w:rStyle w:val="Collegamentoipertestuale"/>
          </w:rPr>
          <w:t>BUDGET</w:t>
        </w:r>
        <w:r>
          <w:rPr>
            <w:webHidden/>
          </w:rPr>
          <w:tab/>
        </w:r>
        <w:r>
          <w:rPr>
            <w:webHidden/>
          </w:rPr>
          <w:fldChar w:fldCharType="begin"/>
        </w:r>
        <w:r>
          <w:rPr>
            <w:webHidden/>
          </w:rPr>
          <w:instrText xml:space="preserve"> PAGEREF _Toc499135191 \h </w:instrText>
        </w:r>
        <w:r>
          <w:rPr>
            <w:webHidden/>
          </w:rPr>
        </w:r>
        <w:r>
          <w:rPr>
            <w:webHidden/>
          </w:rPr>
          <w:fldChar w:fldCharType="separate"/>
        </w:r>
        <w:r w:rsidR="004069C5">
          <w:rPr>
            <w:webHidden/>
          </w:rPr>
          <w:t>33</w:t>
        </w:r>
        <w:r>
          <w:rPr>
            <w:webHidden/>
          </w:rPr>
          <w:fldChar w:fldCharType="end"/>
        </w:r>
      </w:hyperlink>
    </w:p>
    <w:p w:rsidR="00A937B9" w:rsidRDefault="00A937B9">
      <w:pPr>
        <w:pStyle w:val="Sommario4"/>
        <w:rPr>
          <w:rFonts w:asciiTheme="minorHAnsi" w:eastAsiaTheme="minorEastAsia" w:hAnsiTheme="minorHAnsi" w:cstheme="minorBidi"/>
          <w:i w:val="0"/>
          <w:sz w:val="22"/>
          <w:szCs w:val="22"/>
        </w:rPr>
      </w:pPr>
      <w:hyperlink w:anchor="_Toc499135192" w:history="1">
        <w:r w:rsidRPr="00967DE3">
          <w:rPr>
            <w:rStyle w:val="Collegamentoipertestuale"/>
          </w:rPr>
          <w:t>Elaborazione consuntivo</w:t>
        </w:r>
        <w:r>
          <w:rPr>
            <w:webHidden/>
          </w:rPr>
          <w:tab/>
        </w:r>
        <w:r>
          <w:rPr>
            <w:webHidden/>
          </w:rPr>
          <w:fldChar w:fldCharType="begin"/>
        </w:r>
        <w:r>
          <w:rPr>
            <w:webHidden/>
          </w:rPr>
          <w:instrText xml:space="preserve"> PAGEREF _Toc499135192 \h </w:instrText>
        </w:r>
        <w:r>
          <w:rPr>
            <w:webHidden/>
          </w:rPr>
        </w:r>
        <w:r>
          <w:rPr>
            <w:webHidden/>
          </w:rPr>
          <w:fldChar w:fldCharType="separate"/>
        </w:r>
        <w:r w:rsidR="004069C5">
          <w:rPr>
            <w:webHidden/>
          </w:rPr>
          <w:t>33</w:t>
        </w:r>
        <w:r>
          <w:rPr>
            <w:webHidden/>
          </w:rPr>
          <w:fldChar w:fldCharType="end"/>
        </w:r>
      </w:hyperlink>
    </w:p>
    <w:p w:rsidR="00FB5239" w:rsidRPr="00A937B9" w:rsidRDefault="00D53339">
      <w:pPr>
        <w:pStyle w:val="corpoAltF"/>
        <w:rPr>
          <w:rStyle w:val="Collegamentoipertestuale"/>
          <w:i/>
          <w:iCs/>
          <w:noProof/>
          <w:color w:val="auto"/>
          <w:spacing w:val="-20"/>
          <w:szCs w:val="28"/>
          <w:u w:val="none"/>
        </w:rPr>
      </w:pPr>
      <w:r w:rsidRPr="00A937B9">
        <w:rPr>
          <w:rStyle w:val="Collegamentoipertestuale"/>
          <w:b/>
          <w:i/>
          <w:iCs/>
          <w:noProof/>
          <w:color w:val="auto"/>
          <w:spacing w:val="-20"/>
          <w:szCs w:val="28"/>
          <w:u w:val="none"/>
        </w:rPr>
        <w:fldChar w:fldCharType="end"/>
      </w:r>
    </w:p>
    <w:p w:rsidR="00FB5239" w:rsidRPr="00A937B9" w:rsidRDefault="00FB5239">
      <w:pPr>
        <w:pStyle w:val="CorpoAltF0"/>
        <w:rPr>
          <w:rStyle w:val="Collegamentoipertestuale"/>
          <w:color w:val="auto"/>
          <w:u w:val="none"/>
        </w:rPr>
      </w:pPr>
    </w:p>
    <w:p w:rsidR="00FB5239" w:rsidRPr="00A937B9" w:rsidRDefault="00FB5239">
      <w:pPr>
        <w:pStyle w:val="CorpoAltF0"/>
      </w:pPr>
    </w:p>
    <w:p w:rsidR="00FB5239" w:rsidRPr="00A937B9" w:rsidRDefault="00FB5239">
      <w:pPr>
        <w:pStyle w:val="CorpoAltF0"/>
        <w:sectPr w:rsidR="00FB5239" w:rsidRPr="00A937B9">
          <w:headerReference w:type="default" r:id="rId9"/>
          <w:footerReference w:type="default" r:id="rId10"/>
          <w:pgSz w:w="11907" w:h="16840" w:code="9"/>
          <w:pgMar w:top="567" w:right="1134" w:bottom="1134" w:left="1134" w:header="397" w:footer="397" w:gutter="0"/>
          <w:pgNumType w:chapStyle="1" w:chapSep="period"/>
          <w:cols w:space="720"/>
          <w:noEndnote/>
        </w:sectPr>
      </w:pPr>
    </w:p>
    <w:bookmarkEnd w:id="0"/>
    <w:p w:rsidR="00FB5239" w:rsidRPr="00A937B9" w:rsidRDefault="00FB5239">
      <w:pPr>
        <w:pStyle w:val="CorpoAltF0"/>
      </w:pPr>
    </w:p>
    <w:p w:rsidR="00FB5239" w:rsidRPr="00A937B9" w:rsidRDefault="00FB5239">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FB5239" w:rsidRPr="00A937B9">
        <w:trPr>
          <w:trHeight w:val="558"/>
        </w:trPr>
        <w:tc>
          <w:tcPr>
            <w:tcW w:w="6874" w:type="dxa"/>
            <w:tcBorders>
              <w:top w:val="nil"/>
              <w:left w:val="nil"/>
              <w:bottom w:val="single" w:sz="12" w:space="0" w:color="auto"/>
              <w:right w:val="nil"/>
            </w:tcBorders>
            <w:vAlign w:val="center"/>
          </w:tcPr>
          <w:p w:rsidR="00FB5239" w:rsidRPr="00A937B9" w:rsidRDefault="00D53339">
            <w:pPr>
              <w:pStyle w:val="TS-titolo-01"/>
              <w:outlineLvl w:val="0"/>
            </w:pPr>
            <w:bookmarkStart w:id="3" w:name="Conversione_auto"/>
            <w:bookmarkStart w:id="4" w:name="_Toc496285494"/>
            <w:bookmarkStart w:id="5" w:name="_Toc497216121"/>
            <w:bookmarkStart w:id="6" w:name="_Toc499135127"/>
            <w:bookmarkEnd w:id="3"/>
            <w:r w:rsidRPr="00A937B9">
              <w:t>Conversione automatica archivi</w:t>
            </w:r>
            <w:bookmarkEnd w:id="4"/>
            <w:bookmarkEnd w:id="5"/>
            <w:bookmarkEnd w:id="6"/>
          </w:p>
        </w:tc>
        <w:tc>
          <w:tcPr>
            <w:tcW w:w="2901" w:type="dxa"/>
            <w:tcBorders>
              <w:top w:val="single" w:sz="4" w:space="0" w:color="auto"/>
              <w:left w:val="nil"/>
              <w:bottom w:val="single" w:sz="4" w:space="0" w:color="auto"/>
              <w:right w:val="nil"/>
            </w:tcBorders>
            <w:shd w:val="clear" w:color="auto" w:fill="000000"/>
            <w:vAlign w:val="center"/>
          </w:tcPr>
          <w:p w:rsidR="00FB5239" w:rsidRPr="00A937B9" w:rsidRDefault="00FB5239">
            <w:pPr>
              <w:pStyle w:val="TS-titolo-02"/>
              <w:outlineLvl w:val="0"/>
            </w:pPr>
          </w:p>
        </w:tc>
      </w:tr>
    </w:tbl>
    <w:p w:rsidR="009E2176" w:rsidRPr="00A937B9" w:rsidRDefault="009E2176" w:rsidP="009E2176">
      <w:pPr>
        <w:pStyle w:val="Ignora"/>
      </w:pPr>
    </w:p>
    <w:p w:rsidR="009E2176" w:rsidRPr="00A937B9" w:rsidRDefault="009E2176" w:rsidP="009E2176">
      <w:pPr>
        <w:pStyle w:val="TS-titolo-04"/>
      </w:pPr>
      <w:bookmarkStart w:id="7" w:name="_Toc496285495"/>
      <w:bookmarkStart w:id="8" w:name="_Toc497216122"/>
      <w:bookmarkStart w:id="9" w:name="_Toc499132649"/>
      <w:bookmarkStart w:id="10" w:name="_Toc499135128"/>
      <w:r w:rsidRPr="00A937B9">
        <w:t>Conversione automatica archivi in fase di installazione</w:t>
      </w:r>
      <w:bookmarkEnd w:id="7"/>
      <w:bookmarkEnd w:id="8"/>
      <w:bookmarkEnd w:id="9"/>
      <w:bookmarkEnd w:id="10"/>
    </w:p>
    <w:p w:rsidR="009E2176" w:rsidRPr="00A937B9" w:rsidRDefault="009E2176" w:rsidP="009E2176">
      <w:pPr>
        <w:pStyle w:val="CorpoAltF0"/>
        <w:spacing w:before="120"/>
      </w:pPr>
      <w:r w:rsidRPr="00A937B9">
        <w:t>Il programma è stato implementato per eseguire automaticamente la conversione degli archivi al termine dell’installazione della versione.</w:t>
      </w:r>
    </w:p>
    <w:p w:rsidR="009E2176" w:rsidRPr="00A937B9" w:rsidRDefault="009E2176" w:rsidP="009E2176">
      <w:pPr>
        <w:pStyle w:val="CorpoAltF0"/>
        <w:spacing w:before="120"/>
      </w:pPr>
      <w:r w:rsidRPr="00A937B9">
        <w:t>La progressione e l’esito della conversione vengono visualizzati a video tra le operazioni effettuate in fase d’installazione; nel caso di installazione in ambiente nativo vengono esposti nel log d’installazione.</w:t>
      </w:r>
    </w:p>
    <w:p w:rsidR="009E2176" w:rsidRPr="00A937B9" w:rsidRDefault="009E2176" w:rsidP="009E2176">
      <w:pPr>
        <w:pStyle w:val="CorpoAltF0"/>
        <w:spacing w:before="120"/>
        <w:jc w:val="center"/>
      </w:pPr>
      <w:r w:rsidRPr="00A937B9">
        <w:rPr>
          <w:noProof/>
        </w:rPr>
        <w:drawing>
          <wp:inline distT="0" distB="0" distL="0" distR="0" wp14:anchorId="26CE5632" wp14:editId="54CD8F8F">
            <wp:extent cx="5040000" cy="3278757"/>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0000" cy="3278757"/>
                    </a:xfrm>
                    <a:prstGeom prst="rect">
                      <a:avLst/>
                    </a:prstGeom>
                  </pic:spPr>
                </pic:pic>
              </a:graphicData>
            </a:graphic>
          </wp:inline>
        </w:drawing>
      </w:r>
    </w:p>
    <w:p w:rsidR="009E2176" w:rsidRPr="00A937B9" w:rsidRDefault="009E2176" w:rsidP="009E2176">
      <w:pPr>
        <w:pStyle w:val="CorpoAltF0"/>
        <w:spacing w:before="120"/>
      </w:pPr>
      <w:r w:rsidRPr="00A937B9">
        <w:t xml:space="preserve">Prima di eseguire la conversione il programma provvede ad effettuare una copia </w:t>
      </w:r>
      <w:r w:rsidRPr="00A937B9">
        <w:rPr>
          <w:u w:val="single"/>
        </w:rPr>
        <w:t>dei soli archivi interessati dalla conversione</w:t>
      </w:r>
      <w:r w:rsidRPr="00A937B9">
        <w:t xml:space="preserve"> stessa. A tal fine viene verificata la disponibilità dello spazio su disco necessario alla copia dei file.</w:t>
      </w:r>
    </w:p>
    <w:p w:rsidR="009E2176" w:rsidRPr="00A937B9" w:rsidRDefault="009E2176" w:rsidP="009E2176">
      <w:pPr>
        <w:pStyle w:val="CorpoAltF0"/>
        <w:spacing w:before="60"/>
      </w:pPr>
      <w:r w:rsidRPr="00A937B9">
        <w:t>In assenza di spazio per la copia la conversione non viene effettuata e dovrà essere eseguita manualmente dall’utente in fase di accesso all’applicativo (</w:t>
      </w:r>
      <w:r w:rsidRPr="00A937B9">
        <w:rPr>
          <w:b/>
        </w:rPr>
        <w:t>CONVERS</w:t>
      </w:r>
      <w:r w:rsidRPr="00A937B9">
        <w:t>). In tal caso verrà esposto un apposito messaggio al termine delle operazioni d’installazione.</w:t>
      </w:r>
    </w:p>
    <w:p w:rsidR="009E2176" w:rsidRPr="00A937B9" w:rsidRDefault="009E2176" w:rsidP="009E2176">
      <w:pPr>
        <w:pStyle w:val="CorpoAltF0"/>
        <w:spacing w:before="120"/>
      </w:pPr>
      <w:r w:rsidRPr="00A937B9">
        <w:t>L’esecuzione delle copie provvede alla creazione nella cartella \CED, della sottocartella \</w:t>
      </w:r>
      <w:proofErr w:type="spellStart"/>
      <w:r w:rsidRPr="00A937B9">
        <w:t>instbackup</w:t>
      </w:r>
      <w:proofErr w:type="spellEnd"/>
      <w:r w:rsidRPr="00A937B9">
        <w:t>, all’interno della quale, ad ogni copia automatica, viene inserita una ulteriore cartella contente i file copiati, denominata \</w:t>
      </w:r>
      <w:proofErr w:type="spellStart"/>
      <w:r w:rsidRPr="00A937B9">
        <w:t>EPAGHE_versione_data_ora</w:t>
      </w:r>
      <w:proofErr w:type="spellEnd"/>
      <w:r w:rsidRPr="00A937B9">
        <w:t>, dove la versione è quella in installazione, e la data e l’ora sono quelle di esecuzione della copia.</w:t>
      </w:r>
    </w:p>
    <w:p w:rsidR="009E2176" w:rsidRPr="00A937B9" w:rsidRDefault="009E2176" w:rsidP="009E2176">
      <w:pPr>
        <w:pStyle w:val="CorpoAltF0"/>
        <w:spacing w:before="60"/>
      </w:pPr>
      <w:r w:rsidRPr="00A937B9">
        <w:t>Ad ogni installazione con conversione il programma provvederà automaticamente all’eliminazione delle cartelle \</w:t>
      </w:r>
      <w:proofErr w:type="spellStart"/>
      <w:r w:rsidRPr="00A937B9">
        <w:t>EPAGHE_versione_data_ora</w:t>
      </w:r>
      <w:proofErr w:type="spellEnd"/>
      <w:r w:rsidRPr="00A937B9">
        <w:t xml:space="preserve"> con data precedente 30 giorni rispetto a quella d’installazione.</w:t>
      </w:r>
    </w:p>
    <w:p w:rsidR="009E2176" w:rsidRPr="00A937B9" w:rsidRDefault="009E2176" w:rsidP="009E2176">
      <w:pPr>
        <w:pStyle w:val="CorpoAltF0"/>
        <w:spacing w:before="60"/>
      </w:pPr>
      <w:r w:rsidRPr="00A937B9">
        <w:t>Una volta terminata con esito positivo la conversione non può essere ripetuta.</w:t>
      </w:r>
    </w:p>
    <w:p w:rsidR="009E2176" w:rsidRPr="00A937B9" w:rsidRDefault="009E2176" w:rsidP="009E2176">
      <w:pPr>
        <w:pStyle w:val="CorpoAltF0"/>
        <w:spacing w:before="120"/>
      </w:pPr>
      <w:r w:rsidRPr="00A937B9">
        <w:t>Si precisa che:</w:t>
      </w:r>
    </w:p>
    <w:p w:rsidR="009E2176" w:rsidRPr="00A937B9" w:rsidRDefault="009E2176" w:rsidP="009E2176">
      <w:pPr>
        <w:pStyle w:val="CorpoAltF0"/>
        <w:numPr>
          <w:ilvl w:val="0"/>
          <w:numId w:val="2"/>
        </w:numPr>
        <w:spacing w:before="60"/>
        <w:ind w:left="284" w:hanging="284"/>
      </w:pPr>
      <w:r w:rsidRPr="00A937B9">
        <w:t>se la conversione automatica viene interrotta in maniera imprevista, sarà necessaria l’esecuzione manuale (</w:t>
      </w:r>
      <w:r w:rsidRPr="00A937B9">
        <w:rPr>
          <w:b/>
        </w:rPr>
        <w:t>CONVERS</w:t>
      </w:r>
      <w:r w:rsidRPr="00A937B9">
        <w:t>), in tal caso il processo verrà ripreso dalla fase in cui è stato interrotto;</w:t>
      </w:r>
    </w:p>
    <w:p w:rsidR="009E2176" w:rsidRPr="00A937B9" w:rsidRDefault="009E2176" w:rsidP="009E2176">
      <w:pPr>
        <w:pStyle w:val="CorpoAltF0"/>
        <w:numPr>
          <w:ilvl w:val="0"/>
          <w:numId w:val="2"/>
        </w:numPr>
        <w:spacing w:before="60"/>
        <w:ind w:left="284" w:hanging="284"/>
      </w:pPr>
      <w:r w:rsidRPr="00A937B9">
        <w:t>nel caso di esecuzione manuale della conversione l’eventuale copia degli archivi è cura dell’utente;</w:t>
      </w:r>
    </w:p>
    <w:p w:rsidR="009E2176" w:rsidRPr="00A937B9" w:rsidRDefault="009E2176" w:rsidP="009E2176">
      <w:pPr>
        <w:pStyle w:val="CorpoAltF0"/>
        <w:numPr>
          <w:ilvl w:val="0"/>
          <w:numId w:val="2"/>
        </w:numPr>
        <w:spacing w:before="60"/>
        <w:ind w:left="284" w:hanging="284"/>
      </w:pPr>
      <w:r w:rsidRPr="00A937B9">
        <w:t>l’operazione di copia degli archivi interessati dalla conversione non sostituisce il backup periodico degli interi archivi che rimane a cura dell’utente;</w:t>
      </w:r>
    </w:p>
    <w:p w:rsidR="009E2176" w:rsidRPr="00A937B9" w:rsidRDefault="009E2176" w:rsidP="009E2176">
      <w:pPr>
        <w:pStyle w:val="CorpoAltF0"/>
        <w:numPr>
          <w:ilvl w:val="0"/>
          <w:numId w:val="2"/>
        </w:numPr>
        <w:spacing w:before="60"/>
        <w:ind w:left="284" w:hanging="284"/>
      </w:pPr>
      <w:bookmarkStart w:id="11" w:name="_Hlk496200108"/>
      <w:r w:rsidRPr="00A937B9">
        <w:t>l’esecuzione automatica della conversione potrebbe comportare tempi di installazione più lunghi.</w:t>
      </w:r>
    </w:p>
    <w:bookmarkEnd w:id="11"/>
    <w:p w:rsidR="00FB5239" w:rsidRPr="00A937B9" w:rsidRDefault="00D53339">
      <w:pPr>
        <w:pStyle w:val="CorpoAltF0"/>
      </w:pPr>
      <w:r w:rsidRPr="00A937B9">
        <w:br w:type="page"/>
      </w:r>
    </w:p>
    <w:p w:rsidR="00202B72" w:rsidRPr="00A937B9" w:rsidRDefault="00202B72" w:rsidP="00202B72">
      <w:pPr>
        <w:pStyle w:val="CorpoAltF0"/>
      </w:pPr>
    </w:p>
    <w:p w:rsidR="00202B72" w:rsidRPr="00A937B9" w:rsidRDefault="00202B72" w:rsidP="00202B72">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202B72" w:rsidRPr="00A937B9" w:rsidTr="002A4886">
        <w:trPr>
          <w:trHeight w:val="558"/>
        </w:trPr>
        <w:tc>
          <w:tcPr>
            <w:tcW w:w="6874" w:type="dxa"/>
            <w:tcBorders>
              <w:top w:val="nil"/>
              <w:left w:val="nil"/>
              <w:bottom w:val="single" w:sz="12" w:space="0" w:color="auto"/>
              <w:right w:val="nil"/>
            </w:tcBorders>
            <w:vAlign w:val="center"/>
          </w:tcPr>
          <w:p w:rsidR="00202B72" w:rsidRPr="00A937B9" w:rsidRDefault="00202B72" w:rsidP="002A4886">
            <w:pPr>
              <w:pStyle w:val="TS-titolo-01"/>
              <w:outlineLvl w:val="0"/>
            </w:pPr>
            <w:bookmarkStart w:id="12" w:name="Esonero_trasp_intern"/>
            <w:bookmarkStart w:id="13" w:name="_Toc488772380"/>
            <w:bookmarkStart w:id="14" w:name="_Toc488773437"/>
            <w:bookmarkStart w:id="15" w:name="_Toc499133383"/>
            <w:bookmarkStart w:id="16" w:name="_Toc499135129"/>
            <w:bookmarkEnd w:id="12"/>
            <w:r w:rsidRPr="00A937B9">
              <w:t xml:space="preserve">Esonero </w:t>
            </w:r>
            <w:proofErr w:type="spellStart"/>
            <w:r w:rsidRPr="00A937B9">
              <w:t>contrib</w:t>
            </w:r>
            <w:proofErr w:type="spellEnd"/>
            <w:r w:rsidRPr="00A937B9">
              <w:t xml:space="preserve">. </w:t>
            </w:r>
            <w:bookmarkEnd w:id="13"/>
            <w:bookmarkEnd w:id="14"/>
            <w:r w:rsidRPr="00A937B9">
              <w:t xml:space="preserve">conducenti trasporto </w:t>
            </w:r>
            <w:proofErr w:type="spellStart"/>
            <w:r w:rsidRPr="00A937B9">
              <w:t>internaz</w:t>
            </w:r>
            <w:proofErr w:type="spellEnd"/>
            <w:r w:rsidRPr="00A937B9">
              <w:t>.</w:t>
            </w:r>
            <w:bookmarkEnd w:id="15"/>
            <w:bookmarkEnd w:id="16"/>
          </w:p>
        </w:tc>
        <w:tc>
          <w:tcPr>
            <w:tcW w:w="2901" w:type="dxa"/>
            <w:tcBorders>
              <w:top w:val="single" w:sz="4" w:space="0" w:color="auto"/>
              <w:left w:val="nil"/>
              <w:bottom w:val="single" w:sz="4" w:space="0" w:color="auto"/>
              <w:right w:val="nil"/>
            </w:tcBorders>
            <w:shd w:val="clear" w:color="auto" w:fill="000000"/>
            <w:vAlign w:val="center"/>
          </w:tcPr>
          <w:p w:rsidR="00202B72" w:rsidRPr="00A937B9" w:rsidRDefault="00202B72" w:rsidP="002A4886">
            <w:pPr>
              <w:pStyle w:val="TS-titolo-02"/>
              <w:outlineLvl w:val="0"/>
            </w:pPr>
          </w:p>
        </w:tc>
      </w:tr>
    </w:tbl>
    <w:p w:rsidR="00202B72" w:rsidRPr="00A937B9" w:rsidRDefault="00202B72" w:rsidP="00202B72">
      <w:pPr>
        <w:pStyle w:val="CorpoAltF0"/>
      </w:pPr>
    </w:p>
    <w:tbl>
      <w:tblPr>
        <w:tblW w:w="0" w:type="auto"/>
        <w:tblBorders>
          <w:top w:val="single" w:sz="4" w:space="0" w:color="auto"/>
          <w:left w:val="single" w:sz="4" w:space="0" w:color="auto"/>
          <w:bottom w:val="single" w:sz="4" w:space="0" w:color="auto"/>
          <w:right w:val="single" w:sz="4" w:space="0" w:color="auto"/>
        </w:tblBorders>
        <w:shd w:val="clear" w:color="auto" w:fill="FFFFFF"/>
        <w:tblLook w:val="04A0" w:firstRow="1" w:lastRow="0" w:firstColumn="1" w:lastColumn="0" w:noHBand="0" w:noVBand="1"/>
      </w:tblPr>
      <w:tblGrid>
        <w:gridCol w:w="970"/>
        <w:gridCol w:w="8839"/>
      </w:tblGrid>
      <w:tr w:rsidR="00202B72" w:rsidRPr="00A937B9" w:rsidTr="002A4886">
        <w:tc>
          <w:tcPr>
            <w:tcW w:w="970" w:type="dxa"/>
            <w:shd w:val="clear" w:color="auto" w:fill="FFFFFF"/>
          </w:tcPr>
          <w:p w:rsidR="00202B72" w:rsidRPr="00A937B9" w:rsidRDefault="00202B72" w:rsidP="002A4886">
            <w:pPr>
              <w:pStyle w:val="CorpoAltF0"/>
              <w:spacing w:before="40" w:after="40"/>
              <w:jc w:val="center"/>
              <w:rPr>
                <w:rFonts w:cs="Arial"/>
              </w:rPr>
            </w:pPr>
            <w:r w:rsidRPr="00A937B9">
              <w:rPr>
                <w:noProof/>
              </w:rPr>
              <w:drawing>
                <wp:inline distT="0" distB="0" distL="0" distR="0" wp14:anchorId="6C173A69" wp14:editId="5228AF53">
                  <wp:extent cx="315595" cy="231775"/>
                  <wp:effectExtent l="0" t="0" r="8255" b="0"/>
                  <wp:docPr id="53" name="Immagine 53" descr="Regalami-un-lib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galami-un-libro[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595" cy="231775"/>
                          </a:xfrm>
                          <a:prstGeom prst="rect">
                            <a:avLst/>
                          </a:prstGeom>
                          <a:noFill/>
                          <a:ln>
                            <a:noFill/>
                          </a:ln>
                        </pic:spPr>
                      </pic:pic>
                    </a:graphicData>
                  </a:graphic>
                </wp:inline>
              </w:drawing>
            </w:r>
          </w:p>
        </w:tc>
        <w:tc>
          <w:tcPr>
            <w:tcW w:w="8839" w:type="dxa"/>
            <w:tcBorders>
              <w:top w:val="single" w:sz="4" w:space="0" w:color="auto"/>
              <w:bottom w:val="single" w:sz="4" w:space="0" w:color="auto"/>
            </w:tcBorders>
            <w:shd w:val="clear" w:color="auto" w:fill="95B3D7"/>
          </w:tcPr>
          <w:p w:rsidR="00202B72" w:rsidRPr="00A937B9" w:rsidRDefault="00202B72" w:rsidP="002A4886">
            <w:pPr>
              <w:pStyle w:val="WWNormativaSoftware"/>
            </w:pPr>
            <w:bookmarkStart w:id="17" w:name="_Toc480565372"/>
            <w:bookmarkStart w:id="18" w:name="_Toc480565604"/>
            <w:bookmarkStart w:id="19" w:name="_Toc488772381"/>
            <w:bookmarkStart w:id="20" w:name="_Toc488773438"/>
            <w:bookmarkStart w:id="21" w:name="_Toc499133384"/>
            <w:bookmarkStart w:id="22" w:name="_Toc499135130"/>
            <w:r w:rsidRPr="00A937B9">
              <w:t>Riferimenti normativi</w:t>
            </w:r>
            <w:bookmarkEnd w:id="17"/>
            <w:bookmarkEnd w:id="18"/>
            <w:bookmarkEnd w:id="19"/>
            <w:bookmarkEnd w:id="20"/>
            <w:bookmarkEnd w:id="21"/>
            <w:bookmarkEnd w:id="22"/>
          </w:p>
        </w:tc>
      </w:tr>
    </w:tbl>
    <w:p w:rsidR="00202B72" w:rsidRPr="00A937B9" w:rsidRDefault="00202B72" w:rsidP="00202B72">
      <w:pPr>
        <w:pStyle w:val="TS-titolo-04"/>
      </w:pPr>
      <w:bookmarkStart w:id="23" w:name="_Toc480565373"/>
      <w:bookmarkStart w:id="24" w:name="_Toc480565605"/>
      <w:bookmarkStart w:id="25" w:name="_Toc488772382"/>
      <w:bookmarkStart w:id="26" w:name="_Toc488773439"/>
      <w:bookmarkStart w:id="27" w:name="_Toc499133385"/>
      <w:bookmarkStart w:id="28" w:name="_Toc499135131"/>
      <w:r w:rsidRPr="00A937B9">
        <w:t>Quadro normativo</w:t>
      </w:r>
      <w:bookmarkEnd w:id="23"/>
      <w:bookmarkEnd w:id="24"/>
      <w:bookmarkEnd w:id="25"/>
      <w:bookmarkEnd w:id="26"/>
      <w:bookmarkEnd w:id="27"/>
      <w:bookmarkEnd w:id="28"/>
    </w:p>
    <w:p w:rsidR="00202B72" w:rsidRPr="00A937B9" w:rsidRDefault="00202B72" w:rsidP="00202B72">
      <w:pPr>
        <w:pStyle w:val="CorpoAltF0"/>
      </w:pPr>
    </w:p>
    <w:tbl>
      <w:tblPr>
        <w:tblW w:w="10349" w:type="dxa"/>
        <w:tblInd w:w="-426" w:type="dxa"/>
        <w:tblLayout w:type="fixed"/>
        <w:tblCellMar>
          <w:left w:w="0" w:type="dxa"/>
          <w:right w:w="0" w:type="dxa"/>
        </w:tblCellMar>
        <w:tblLook w:val="0000" w:firstRow="0" w:lastRow="0" w:firstColumn="0" w:lastColumn="0" w:noHBand="0" w:noVBand="0"/>
      </w:tblPr>
      <w:tblGrid>
        <w:gridCol w:w="1527"/>
        <w:gridCol w:w="8822"/>
      </w:tblGrid>
      <w:tr w:rsidR="00202B72" w:rsidRPr="00A937B9" w:rsidTr="002A4886">
        <w:tc>
          <w:tcPr>
            <w:tcW w:w="1527" w:type="dxa"/>
            <w:shd w:val="clear" w:color="auto" w:fill="auto"/>
          </w:tcPr>
          <w:p w:rsidR="00202B72" w:rsidRPr="00A937B9" w:rsidRDefault="00202B72" w:rsidP="002A4886">
            <w:pPr>
              <w:pStyle w:val="CorpoAltF0"/>
              <w:ind w:right="219"/>
              <w:jc w:val="right"/>
              <w:rPr>
                <w:b/>
                <w:sz w:val="16"/>
                <w:szCs w:val="16"/>
              </w:rPr>
            </w:pPr>
            <w:r w:rsidRPr="00A937B9">
              <w:rPr>
                <w:b/>
                <w:sz w:val="16"/>
                <w:szCs w:val="16"/>
              </w:rPr>
              <w:t>Riferimenti normativi</w:t>
            </w:r>
          </w:p>
        </w:tc>
        <w:tc>
          <w:tcPr>
            <w:tcW w:w="8822" w:type="dxa"/>
            <w:shd w:val="clear" w:color="auto" w:fill="auto"/>
          </w:tcPr>
          <w:p w:rsidR="00202B72" w:rsidRPr="00A937B9" w:rsidRDefault="00202B72" w:rsidP="00202B72">
            <w:pPr>
              <w:pStyle w:val="CorpoAltF0"/>
              <w:numPr>
                <w:ilvl w:val="0"/>
                <w:numId w:val="29"/>
              </w:numPr>
              <w:ind w:left="317" w:right="142" w:hanging="317"/>
            </w:pPr>
            <w:r w:rsidRPr="00A937B9">
              <w:t>Art. 1, co. 651, L. n. 208/2015;</w:t>
            </w:r>
          </w:p>
          <w:p w:rsidR="00202B72" w:rsidRPr="00A937B9" w:rsidRDefault="00202B72" w:rsidP="00202B72">
            <w:pPr>
              <w:pStyle w:val="CorpoAltF0"/>
              <w:numPr>
                <w:ilvl w:val="0"/>
                <w:numId w:val="29"/>
              </w:numPr>
              <w:ind w:left="317" w:right="142" w:hanging="317"/>
            </w:pPr>
            <w:r w:rsidRPr="00A937B9">
              <w:t>Circolare INPS n. 167 del 10/11/2017.</w:t>
            </w:r>
          </w:p>
          <w:p w:rsidR="00202B72" w:rsidRPr="00A937B9" w:rsidRDefault="00202B72" w:rsidP="002A4886">
            <w:pPr>
              <w:pStyle w:val="CorpoAltF0"/>
            </w:pPr>
          </w:p>
        </w:tc>
      </w:tr>
      <w:tr w:rsidR="00202B72" w:rsidRPr="00A937B9" w:rsidTr="002A4886">
        <w:tc>
          <w:tcPr>
            <w:tcW w:w="1527" w:type="dxa"/>
            <w:shd w:val="clear" w:color="auto" w:fill="auto"/>
          </w:tcPr>
          <w:p w:rsidR="00202B72" w:rsidRPr="00A937B9" w:rsidRDefault="00202B72" w:rsidP="002A4886">
            <w:pPr>
              <w:pStyle w:val="CorpoAltF0"/>
              <w:ind w:right="219"/>
              <w:jc w:val="right"/>
              <w:rPr>
                <w:b/>
                <w:sz w:val="16"/>
                <w:szCs w:val="16"/>
              </w:rPr>
            </w:pPr>
            <w:r w:rsidRPr="00A937B9">
              <w:rPr>
                <w:b/>
                <w:sz w:val="16"/>
                <w:szCs w:val="16"/>
              </w:rPr>
              <w:t>Natura dell’esonero</w:t>
            </w:r>
          </w:p>
        </w:tc>
        <w:tc>
          <w:tcPr>
            <w:tcW w:w="8822" w:type="dxa"/>
            <w:shd w:val="clear" w:color="auto" w:fill="auto"/>
          </w:tcPr>
          <w:p w:rsidR="00202B72" w:rsidRPr="00A937B9" w:rsidRDefault="00202B72" w:rsidP="002A4886">
            <w:pPr>
              <w:pStyle w:val="CorpoAltF0"/>
            </w:pPr>
            <w:r w:rsidRPr="00A937B9">
              <w:t>L’art. 1, comma 651, della L. n. 208/2015 (Legge di Stabilità 2016) ha introdotto l’</w:t>
            </w:r>
            <w:r w:rsidRPr="00A937B9">
              <w:rPr>
                <w:b/>
              </w:rPr>
              <w:t>esonero dal versamento dei contributi previdenziali a carico dei datori di lavoro per i conducenti di veicoli equipaggiati con tachigrafo digitale</w:t>
            </w:r>
            <w:r w:rsidRPr="00A937B9">
              <w:t>.</w:t>
            </w:r>
          </w:p>
          <w:p w:rsidR="00202B72" w:rsidRPr="00A937B9" w:rsidRDefault="00202B72" w:rsidP="002A4886">
            <w:pPr>
              <w:pStyle w:val="CorpoAltF0"/>
              <w:spacing w:before="60"/>
              <w:ind w:right="142"/>
            </w:pPr>
            <w:r w:rsidRPr="00A937B9">
              <w:t>L’esonero trova applicazione entro i limiti e secondo le disposizioni del Regolamento (UE) n. 1407/2013 della Commissione europea.</w:t>
            </w:r>
          </w:p>
          <w:p w:rsidR="00202B72" w:rsidRPr="00A937B9" w:rsidRDefault="00202B72" w:rsidP="002A4886">
            <w:pPr>
              <w:pStyle w:val="CorpoAltF0"/>
            </w:pPr>
          </w:p>
        </w:tc>
      </w:tr>
      <w:tr w:rsidR="00202B72" w:rsidRPr="00A937B9" w:rsidTr="002A4886">
        <w:tc>
          <w:tcPr>
            <w:tcW w:w="1527" w:type="dxa"/>
            <w:shd w:val="clear" w:color="auto" w:fill="auto"/>
          </w:tcPr>
          <w:p w:rsidR="00202B72" w:rsidRPr="00A937B9" w:rsidRDefault="00202B72" w:rsidP="002A4886">
            <w:pPr>
              <w:pStyle w:val="CorpoAltF0"/>
              <w:ind w:right="219"/>
              <w:jc w:val="right"/>
              <w:rPr>
                <w:b/>
                <w:sz w:val="16"/>
                <w:szCs w:val="16"/>
              </w:rPr>
            </w:pPr>
            <w:r w:rsidRPr="00A937B9">
              <w:rPr>
                <w:b/>
                <w:sz w:val="16"/>
                <w:szCs w:val="16"/>
              </w:rPr>
              <w:t>Datori di lavoro beneficiari dell’esonero</w:t>
            </w:r>
          </w:p>
        </w:tc>
        <w:tc>
          <w:tcPr>
            <w:tcW w:w="8822" w:type="dxa"/>
            <w:shd w:val="clear" w:color="auto" w:fill="auto"/>
          </w:tcPr>
          <w:p w:rsidR="00202B72" w:rsidRPr="00A937B9" w:rsidRDefault="00202B72" w:rsidP="002A4886">
            <w:pPr>
              <w:pStyle w:val="CorpoAltF0"/>
              <w:ind w:right="142"/>
            </w:pPr>
            <w:r w:rsidRPr="00A937B9">
              <w:t>L’agevolazione in oggetto è riconoscibile a tutti i datori di lavoro privati, a prescindere dal settore economico o produttivo in cui operano, non soltanto alle imprese che esercitano professionalmente l’attività di autotrasporto.</w:t>
            </w:r>
          </w:p>
          <w:p w:rsidR="00202B72" w:rsidRPr="00A937B9" w:rsidRDefault="00202B72" w:rsidP="002A4886">
            <w:pPr>
              <w:pStyle w:val="CorpoAltF0"/>
            </w:pPr>
          </w:p>
        </w:tc>
      </w:tr>
      <w:tr w:rsidR="00202B72" w:rsidRPr="00A937B9" w:rsidTr="002A4886">
        <w:tc>
          <w:tcPr>
            <w:tcW w:w="1527" w:type="dxa"/>
            <w:shd w:val="clear" w:color="auto" w:fill="auto"/>
          </w:tcPr>
          <w:p w:rsidR="00202B72" w:rsidRPr="00A937B9" w:rsidRDefault="00202B72" w:rsidP="002A4886">
            <w:pPr>
              <w:pStyle w:val="CorpoAltF0"/>
              <w:ind w:right="219"/>
              <w:jc w:val="right"/>
              <w:rPr>
                <w:b/>
                <w:sz w:val="16"/>
                <w:szCs w:val="16"/>
              </w:rPr>
            </w:pPr>
            <w:r w:rsidRPr="00A937B9">
              <w:rPr>
                <w:b/>
                <w:sz w:val="16"/>
                <w:szCs w:val="16"/>
              </w:rPr>
              <w:t>Condizioni per il diritto all’esonero</w:t>
            </w:r>
          </w:p>
        </w:tc>
        <w:tc>
          <w:tcPr>
            <w:tcW w:w="8822" w:type="dxa"/>
            <w:shd w:val="clear" w:color="auto" w:fill="auto"/>
          </w:tcPr>
          <w:p w:rsidR="00202B72" w:rsidRPr="00A937B9" w:rsidRDefault="00202B72" w:rsidP="002A4886">
            <w:pPr>
              <w:pStyle w:val="CorpoAltF0"/>
            </w:pPr>
            <w:r w:rsidRPr="00A937B9">
              <w:t xml:space="preserve">L’esonero spetta per i </w:t>
            </w:r>
            <w:r w:rsidRPr="00A937B9">
              <w:rPr>
                <w:b/>
              </w:rPr>
              <w:t>conducenti che effettuino servizi di trasporto internazionale per almeno 100 giorni annui</w:t>
            </w:r>
            <w:r w:rsidRPr="00A937B9">
              <w:t>.</w:t>
            </w:r>
          </w:p>
          <w:p w:rsidR="00202B72" w:rsidRPr="00A937B9" w:rsidRDefault="00202B72" w:rsidP="002A4886">
            <w:pPr>
              <w:pStyle w:val="CorpoAltF0"/>
              <w:spacing w:before="60"/>
              <w:ind w:right="142"/>
            </w:pPr>
            <w:r w:rsidRPr="00A937B9">
              <w:t>La verifica delle giornate deve essere effettuato a partire dal 1° gennaio 2016.</w:t>
            </w:r>
          </w:p>
          <w:p w:rsidR="00202B72" w:rsidRPr="00A937B9" w:rsidRDefault="00202B72" w:rsidP="002A4886">
            <w:pPr>
              <w:pStyle w:val="CorpoAltF0"/>
              <w:spacing w:before="60"/>
              <w:ind w:right="142"/>
              <w:rPr>
                <w:b/>
              </w:rPr>
            </w:pPr>
            <w:r w:rsidRPr="00A937B9">
              <w:rPr>
                <w:b/>
              </w:rPr>
              <w:t>L’agevolazione spetta a partire dal mese di paga successivo rispetto alla data di raggiungimento della soglia prevista di 100 giorni annui fino al periodo di paga di novembre 2018.</w:t>
            </w:r>
          </w:p>
          <w:p w:rsidR="00202B72" w:rsidRPr="00A937B9" w:rsidRDefault="00202B72" w:rsidP="002A4886">
            <w:pPr>
              <w:pStyle w:val="CorpoAltF0"/>
              <w:spacing w:before="60"/>
              <w:ind w:right="142"/>
            </w:pPr>
            <w:r w:rsidRPr="00A937B9">
              <w:t>La verifica dei presupposti legittimanti la fruizione dell’agevolazione verrà effettuata mediante attività di controllo da parte dell’Istituto, in collaborazione con l’Agenzia Ispettiva Nazionale e con il Ministero delle infrastrutture e dei Trasporti.</w:t>
            </w:r>
          </w:p>
          <w:p w:rsidR="00202B72" w:rsidRPr="00A937B9" w:rsidRDefault="00202B72" w:rsidP="002A4886">
            <w:pPr>
              <w:pStyle w:val="CorpoAltF0"/>
            </w:pPr>
          </w:p>
        </w:tc>
      </w:tr>
      <w:tr w:rsidR="00202B72" w:rsidRPr="00A937B9" w:rsidTr="002A4886">
        <w:tc>
          <w:tcPr>
            <w:tcW w:w="1527" w:type="dxa"/>
            <w:shd w:val="clear" w:color="auto" w:fill="auto"/>
          </w:tcPr>
          <w:p w:rsidR="00202B72" w:rsidRPr="00A937B9" w:rsidRDefault="00202B72" w:rsidP="002A4886">
            <w:pPr>
              <w:pStyle w:val="CorpoAltF0"/>
              <w:ind w:right="219"/>
              <w:jc w:val="right"/>
              <w:rPr>
                <w:b/>
                <w:sz w:val="16"/>
                <w:szCs w:val="16"/>
              </w:rPr>
            </w:pPr>
            <w:r w:rsidRPr="00A937B9">
              <w:rPr>
                <w:b/>
                <w:sz w:val="16"/>
                <w:szCs w:val="16"/>
              </w:rPr>
              <w:t>Compatibilità con altri incentivi</w:t>
            </w:r>
          </w:p>
          <w:p w:rsidR="00202B72" w:rsidRPr="00A937B9" w:rsidRDefault="00202B72" w:rsidP="002A4886">
            <w:pPr>
              <w:pStyle w:val="CorpoAltF0"/>
            </w:pPr>
          </w:p>
        </w:tc>
        <w:tc>
          <w:tcPr>
            <w:tcW w:w="8822" w:type="dxa"/>
            <w:shd w:val="clear" w:color="auto" w:fill="auto"/>
          </w:tcPr>
          <w:p w:rsidR="00202B72" w:rsidRPr="00A937B9" w:rsidRDefault="00202B72" w:rsidP="002A4886">
            <w:pPr>
              <w:pStyle w:val="CorpoAltF0"/>
              <w:ind w:right="142"/>
            </w:pPr>
            <w:r w:rsidRPr="00A937B9">
              <w:rPr>
                <w:b/>
              </w:rPr>
              <w:t>L’esonero non è cumulabile con altre agevolazioni contributive o economiche</w:t>
            </w:r>
            <w:r w:rsidRPr="00A937B9">
              <w:t>.</w:t>
            </w:r>
          </w:p>
          <w:p w:rsidR="00202B72" w:rsidRPr="00A937B9" w:rsidRDefault="00202B72" w:rsidP="002A4886">
            <w:pPr>
              <w:pStyle w:val="CorpoAltF0"/>
            </w:pPr>
          </w:p>
        </w:tc>
      </w:tr>
      <w:tr w:rsidR="00202B72" w:rsidRPr="00A937B9" w:rsidTr="002A4886">
        <w:tc>
          <w:tcPr>
            <w:tcW w:w="1527" w:type="dxa"/>
            <w:shd w:val="clear" w:color="auto" w:fill="auto"/>
          </w:tcPr>
          <w:p w:rsidR="00202B72" w:rsidRPr="00A937B9" w:rsidRDefault="00202B72" w:rsidP="002A4886">
            <w:pPr>
              <w:pStyle w:val="CorpoAltF0"/>
              <w:ind w:right="219"/>
              <w:jc w:val="right"/>
              <w:rPr>
                <w:b/>
                <w:sz w:val="16"/>
                <w:szCs w:val="16"/>
              </w:rPr>
            </w:pPr>
            <w:r w:rsidRPr="00A937B9">
              <w:rPr>
                <w:b/>
                <w:sz w:val="16"/>
                <w:szCs w:val="16"/>
              </w:rPr>
              <w:t>Assetto e misura dell’esonero</w:t>
            </w:r>
          </w:p>
        </w:tc>
        <w:tc>
          <w:tcPr>
            <w:tcW w:w="8822" w:type="dxa"/>
            <w:shd w:val="clear" w:color="auto" w:fill="auto"/>
          </w:tcPr>
          <w:p w:rsidR="00202B72" w:rsidRPr="00A937B9" w:rsidRDefault="00202B72" w:rsidP="002A4886">
            <w:pPr>
              <w:pStyle w:val="CorpoAltF0"/>
              <w:ind w:right="142"/>
            </w:pPr>
            <w:r w:rsidRPr="00A937B9">
              <w:rPr>
                <w:b/>
              </w:rPr>
              <w:t>Lo sgravio in esame è pari all’esonero dal versamento dell’80% dei complessivi contributi previdenziali a carico dei datori di lavoro</w:t>
            </w:r>
            <w:r w:rsidRPr="00A937B9">
              <w:t>.</w:t>
            </w:r>
          </w:p>
          <w:p w:rsidR="00202B72" w:rsidRPr="00A937B9" w:rsidRDefault="00202B72" w:rsidP="002A4886">
            <w:pPr>
              <w:pStyle w:val="CorpoAltF0"/>
              <w:spacing w:before="60"/>
              <w:ind w:right="142"/>
            </w:pPr>
            <w:r w:rsidRPr="00A937B9">
              <w:t>Sono esclusi dall’esonero:</w:t>
            </w:r>
          </w:p>
          <w:p w:rsidR="00202B72" w:rsidRPr="00A937B9" w:rsidRDefault="00202B72" w:rsidP="00202B72">
            <w:pPr>
              <w:pStyle w:val="CorpoAltF0"/>
              <w:numPr>
                <w:ilvl w:val="0"/>
                <w:numId w:val="31"/>
              </w:numPr>
              <w:ind w:left="317" w:right="142" w:hanging="317"/>
            </w:pPr>
            <w:r w:rsidRPr="00A937B9">
              <w:t>i premi e contributi dovuti all’INAIL;</w:t>
            </w:r>
          </w:p>
          <w:p w:rsidR="00202B72" w:rsidRPr="00A937B9" w:rsidRDefault="00202B72" w:rsidP="00202B72">
            <w:pPr>
              <w:pStyle w:val="CorpoAltF0"/>
              <w:numPr>
                <w:ilvl w:val="0"/>
                <w:numId w:val="31"/>
              </w:numPr>
              <w:ind w:left="317" w:right="142" w:hanging="317"/>
            </w:pPr>
            <w:r w:rsidRPr="00A937B9">
              <w:t>i contributi eventualmente dovuti al Fondo di Tesoreria INPS (ex comma 755, L. 296/2006);</w:t>
            </w:r>
          </w:p>
          <w:p w:rsidR="00202B72" w:rsidRPr="00A937B9" w:rsidRDefault="00202B72" w:rsidP="00202B72">
            <w:pPr>
              <w:pStyle w:val="CorpoAltF0"/>
              <w:numPr>
                <w:ilvl w:val="0"/>
                <w:numId w:val="31"/>
              </w:numPr>
              <w:ind w:left="317" w:right="142" w:hanging="317"/>
            </w:pPr>
            <w:r w:rsidRPr="00A937B9">
              <w:t xml:space="preserve">i contributi eventualmente dovuti ai fondi di cui agli art. 26, 27, 28 e 29 del </w:t>
            </w:r>
            <w:proofErr w:type="spellStart"/>
            <w:proofErr w:type="gramStart"/>
            <w:r w:rsidRPr="00A937B9">
              <w:t>D.Lgs</w:t>
            </w:r>
            <w:proofErr w:type="gramEnd"/>
            <w:r w:rsidRPr="00A937B9">
              <w:t>.</w:t>
            </w:r>
            <w:proofErr w:type="spellEnd"/>
            <w:r w:rsidRPr="00A937B9">
              <w:t xml:space="preserve"> n. 148/2015 (fondi di solidarietà bilaterali o fondo integrazione salariale per i settori non coperti dalla normativa in materia di integrazione salariale);</w:t>
            </w:r>
          </w:p>
          <w:p w:rsidR="00202B72" w:rsidRPr="00A937B9" w:rsidRDefault="00202B72" w:rsidP="00202B72">
            <w:pPr>
              <w:pStyle w:val="CorpoAltF0"/>
              <w:numPr>
                <w:ilvl w:val="0"/>
                <w:numId w:val="31"/>
              </w:numPr>
              <w:ind w:left="317" w:right="142" w:hanging="317"/>
            </w:pPr>
            <w:r w:rsidRPr="00A937B9">
              <w:t xml:space="preserve">il contributo per la garanzia sul finanziamento della </w:t>
            </w:r>
            <w:proofErr w:type="spellStart"/>
            <w:r w:rsidRPr="00A937B9">
              <w:t>Qu.I.R</w:t>
            </w:r>
            <w:proofErr w:type="spellEnd"/>
            <w:r w:rsidRPr="00A937B9">
              <w:t>., di cui all’art. 1, comma 29, della legge n. 190/2014;</w:t>
            </w:r>
          </w:p>
          <w:p w:rsidR="00202B72" w:rsidRPr="00A937B9" w:rsidRDefault="00202B72" w:rsidP="00202B72">
            <w:pPr>
              <w:pStyle w:val="CorpoAltF0"/>
              <w:numPr>
                <w:ilvl w:val="0"/>
                <w:numId w:val="31"/>
              </w:numPr>
              <w:ind w:left="318" w:right="142" w:hanging="318"/>
            </w:pPr>
            <w:r w:rsidRPr="00A937B9">
              <w:t>il contributo previsto dall’articolo 25, comma 4, della legge 21 dicembre 1978, n. 845, in misura pari allo 0,30% (finanziamento dei fondi interprofessionali per la formazione continua);</w:t>
            </w:r>
          </w:p>
          <w:p w:rsidR="00202B72" w:rsidRPr="00A937B9" w:rsidRDefault="00202B72" w:rsidP="00202B72">
            <w:pPr>
              <w:pStyle w:val="CorpoAltF0"/>
              <w:numPr>
                <w:ilvl w:val="0"/>
                <w:numId w:val="31"/>
              </w:numPr>
              <w:ind w:left="317" w:right="142" w:hanging="317"/>
            </w:pPr>
            <w:r w:rsidRPr="00A937B9">
              <w:t>il contributo di solidarietà sui versamenti destinati alla previdenza complementare e/o ai fondi di assistenza sanitaria di cui alla legge n. 166/1991;</w:t>
            </w:r>
          </w:p>
          <w:p w:rsidR="00202B72" w:rsidRPr="00A937B9" w:rsidRDefault="00202B72" w:rsidP="00202B72">
            <w:pPr>
              <w:pStyle w:val="CorpoAltF0"/>
              <w:numPr>
                <w:ilvl w:val="0"/>
                <w:numId w:val="31"/>
              </w:numPr>
              <w:ind w:left="317" w:right="142" w:hanging="317"/>
            </w:pPr>
            <w:r w:rsidRPr="00A937B9">
              <w:t>il contributo di solidarietà per i lavoratori dello spettacolo, di cui all’art. 1, commi 8 e 14, del d.lgs. n. 182/1997;</w:t>
            </w:r>
          </w:p>
          <w:p w:rsidR="00202B72" w:rsidRPr="00A937B9" w:rsidRDefault="00202B72" w:rsidP="00202B72">
            <w:pPr>
              <w:pStyle w:val="CorpoAltF0"/>
              <w:numPr>
                <w:ilvl w:val="0"/>
                <w:numId w:val="31"/>
              </w:numPr>
              <w:ind w:left="317" w:right="142" w:hanging="317"/>
            </w:pPr>
            <w:r w:rsidRPr="00A937B9">
              <w:t>il contributo di solidarietà per gli sportivi professionisti, di cui all’art. 1, commi 3 e 4 del d.lgs. n. 166/1997.</w:t>
            </w:r>
          </w:p>
          <w:p w:rsidR="00202B72" w:rsidRPr="00A937B9" w:rsidRDefault="00202B72" w:rsidP="002A4886">
            <w:pPr>
              <w:pStyle w:val="CorpoAltF0"/>
              <w:spacing w:before="60"/>
              <w:ind w:right="142"/>
            </w:pPr>
            <w:r w:rsidRPr="00A937B9">
              <w:t>L’esonero deve essere calcolato sui contributi al netto delle misure compensative di cui all’art. 10, commi 2 e 3, del D.lgs. n. 252/2005.</w:t>
            </w:r>
          </w:p>
          <w:p w:rsidR="00202B72" w:rsidRPr="00A937B9" w:rsidRDefault="00202B72" w:rsidP="002A4886">
            <w:pPr>
              <w:pStyle w:val="CorpoAltF0"/>
            </w:pPr>
          </w:p>
        </w:tc>
      </w:tr>
    </w:tbl>
    <w:p w:rsidR="00202B72" w:rsidRPr="00A937B9" w:rsidRDefault="00202B72" w:rsidP="00202B72">
      <w:pPr>
        <w:pStyle w:val="Ignora"/>
      </w:pPr>
      <w:r w:rsidRPr="00A937B9">
        <w:br w:type="page"/>
      </w:r>
    </w:p>
    <w:p w:rsidR="00202B72" w:rsidRPr="00A937B9" w:rsidRDefault="00202B72" w:rsidP="00202B72">
      <w:pPr>
        <w:pStyle w:val="Ignora"/>
      </w:pPr>
    </w:p>
    <w:tbl>
      <w:tblPr>
        <w:tblW w:w="10349" w:type="dxa"/>
        <w:tblInd w:w="-426" w:type="dxa"/>
        <w:tblLayout w:type="fixed"/>
        <w:tblCellMar>
          <w:left w:w="0" w:type="dxa"/>
          <w:right w:w="0" w:type="dxa"/>
        </w:tblCellMar>
        <w:tblLook w:val="0000" w:firstRow="0" w:lastRow="0" w:firstColumn="0" w:lastColumn="0" w:noHBand="0" w:noVBand="0"/>
      </w:tblPr>
      <w:tblGrid>
        <w:gridCol w:w="1527"/>
        <w:gridCol w:w="8822"/>
      </w:tblGrid>
      <w:tr w:rsidR="00202B72" w:rsidRPr="00A937B9" w:rsidTr="002A4886">
        <w:tc>
          <w:tcPr>
            <w:tcW w:w="1527" w:type="dxa"/>
            <w:shd w:val="clear" w:color="auto" w:fill="auto"/>
          </w:tcPr>
          <w:p w:rsidR="00202B72" w:rsidRPr="00A937B9" w:rsidRDefault="00202B72" w:rsidP="002A4886">
            <w:pPr>
              <w:pStyle w:val="CorpoAltF0"/>
              <w:ind w:right="219"/>
              <w:jc w:val="right"/>
              <w:rPr>
                <w:b/>
                <w:sz w:val="16"/>
                <w:szCs w:val="16"/>
              </w:rPr>
            </w:pPr>
            <w:r w:rsidRPr="00A937B9">
              <w:rPr>
                <w:b/>
                <w:sz w:val="16"/>
                <w:szCs w:val="16"/>
              </w:rPr>
              <w:t>Modalità di riconoscimento dell’esonero</w:t>
            </w:r>
          </w:p>
        </w:tc>
        <w:tc>
          <w:tcPr>
            <w:tcW w:w="8822" w:type="dxa"/>
            <w:shd w:val="clear" w:color="auto" w:fill="auto"/>
          </w:tcPr>
          <w:p w:rsidR="00202B72" w:rsidRPr="00A937B9" w:rsidRDefault="00202B72" w:rsidP="002A4886">
            <w:pPr>
              <w:pStyle w:val="CorpoAltF0"/>
              <w:ind w:right="142"/>
            </w:pPr>
            <w:r w:rsidRPr="00A937B9">
              <w:t>I datori devono inoltrare all’INPS - attraverso l’apposita procedura telematica “</w:t>
            </w:r>
            <w:r w:rsidRPr="00A937B9">
              <w:rPr>
                <w:b/>
              </w:rPr>
              <w:t>TRANS.INT</w:t>
            </w:r>
            <w:r w:rsidRPr="00A937B9">
              <w:t>”, disponibile all’interno dell’applicazione “</w:t>
            </w:r>
            <w:proofErr w:type="spellStart"/>
            <w:r w:rsidRPr="00A937B9">
              <w:t>DiResCo</w:t>
            </w:r>
            <w:proofErr w:type="spellEnd"/>
            <w:r w:rsidRPr="00A937B9">
              <w:t xml:space="preserve"> – Dichiarazioni di Responsabilità del Contribuente” - una richiesta indicando:</w:t>
            </w:r>
          </w:p>
          <w:p w:rsidR="00202B72" w:rsidRPr="00A937B9" w:rsidRDefault="00202B72" w:rsidP="00202B72">
            <w:pPr>
              <w:pStyle w:val="CorpoAltF0"/>
              <w:numPr>
                <w:ilvl w:val="0"/>
                <w:numId w:val="32"/>
              </w:numPr>
              <w:ind w:left="318" w:right="142" w:hanging="284"/>
            </w:pPr>
            <w:r w:rsidRPr="00A937B9">
              <w:t>il lavoratore che ha effettuato almeno 100 giorni annui di trasporto internazionale;</w:t>
            </w:r>
          </w:p>
          <w:p w:rsidR="00202B72" w:rsidRPr="00A937B9" w:rsidRDefault="00202B72" w:rsidP="00202B72">
            <w:pPr>
              <w:pStyle w:val="CorpoAltF0"/>
              <w:numPr>
                <w:ilvl w:val="0"/>
                <w:numId w:val="32"/>
              </w:numPr>
              <w:ind w:left="318" w:right="142" w:hanging="284"/>
            </w:pPr>
            <w:r w:rsidRPr="00A937B9">
              <w:t>la data di inizio e di raggiungimento dei 100 giorni annui di trasporto internazionale;</w:t>
            </w:r>
          </w:p>
          <w:p w:rsidR="00202B72" w:rsidRPr="00A937B9" w:rsidRDefault="00202B72" w:rsidP="00202B72">
            <w:pPr>
              <w:pStyle w:val="CorpoAltF0"/>
              <w:numPr>
                <w:ilvl w:val="0"/>
                <w:numId w:val="32"/>
              </w:numPr>
              <w:ind w:left="318" w:right="142" w:hanging="284"/>
            </w:pPr>
            <w:r w:rsidRPr="00A937B9">
              <w:t>l’importo della retribuzione mensile media, tenendo conto dei ratei delle mensilità aggiuntive;</w:t>
            </w:r>
          </w:p>
          <w:p w:rsidR="00202B72" w:rsidRPr="00A937B9" w:rsidRDefault="00202B72" w:rsidP="00202B72">
            <w:pPr>
              <w:pStyle w:val="CorpoAltF0"/>
              <w:numPr>
                <w:ilvl w:val="0"/>
                <w:numId w:val="32"/>
              </w:numPr>
              <w:ind w:left="318" w:right="142" w:hanging="284"/>
            </w:pPr>
            <w:r w:rsidRPr="00A937B9">
              <w:t>l’aliquota contributiva datoriale oggetto di esonero.</w:t>
            </w:r>
          </w:p>
          <w:p w:rsidR="00202B72" w:rsidRPr="00A937B9" w:rsidRDefault="00202B72" w:rsidP="002A4886">
            <w:pPr>
              <w:pStyle w:val="CorpoAltF0"/>
              <w:spacing w:before="60"/>
              <w:ind w:right="142"/>
            </w:pPr>
            <w:r w:rsidRPr="00A937B9">
              <w:t>L’agevolazione è riconosciuta dall’INPS in base all’ordine cronologico della presentazione delle istanze.</w:t>
            </w:r>
          </w:p>
          <w:p w:rsidR="00202B72" w:rsidRPr="00A937B9" w:rsidRDefault="00202B72" w:rsidP="002A4886">
            <w:pPr>
              <w:pStyle w:val="CorpoAltF0"/>
            </w:pPr>
          </w:p>
        </w:tc>
      </w:tr>
      <w:tr w:rsidR="00202B72" w:rsidRPr="00A937B9" w:rsidTr="002A4886">
        <w:tc>
          <w:tcPr>
            <w:tcW w:w="1527" w:type="dxa"/>
            <w:shd w:val="clear" w:color="auto" w:fill="auto"/>
          </w:tcPr>
          <w:p w:rsidR="00202B72" w:rsidRPr="00A937B9" w:rsidRDefault="00202B72" w:rsidP="002A4886">
            <w:pPr>
              <w:pStyle w:val="CorpoAltF0"/>
              <w:ind w:right="219"/>
              <w:jc w:val="right"/>
              <w:rPr>
                <w:b/>
                <w:sz w:val="16"/>
                <w:szCs w:val="16"/>
              </w:rPr>
            </w:pPr>
            <w:r w:rsidRPr="00A937B9">
              <w:rPr>
                <w:b/>
                <w:sz w:val="16"/>
                <w:szCs w:val="16"/>
              </w:rPr>
              <w:t>Datori di lavoro che operano con il sistema UNIEMENS</w:t>
            </w:r>
          </w:p>
        </w:tc>
        <w:tc>
          <w:tcPr>
            <w:tcW w:w="8822" w:type="dxa"/>
            <w:shd w:val="clear" w:color="auto" w:fill="auto"/>
          </w:tcPr>
          <w:p w:rsidR="00202B72" w:rsidRPr="00A937B9" w:rsidRDefault="00202B72" w:rsidP="002A4886">
            <w:pPr>
              <w:pStyle w:val="CorpoAltF0"/>
              <w:ind w:right="142"/>
            </w:pPr>
            <w:r w:rsidRPr="00A937B9">
              <w:t xml:space="preserve">I datori esporranno, </w:t>
            </w:r>
            <w:r w:rsidRPr="00A937B9">
              <w:rPr>
                <w:b/>
              </w:rPr>
              <w:t>a partire dal flusso UNIEMENS di competenza novembre 2017</w:t>
            </w:r>
            <w:r w:rsidRPr="00A937B9">
              <w:t xml:space="preserve">, i lavoratori per i quali spetta l’esonero valorizzando, nella sezione </w:t>
            </w:r>
            <w:r w:rsidRPr="00A937B9">
              <w:rPr>
                <w:b/>
              </w:rPr>
              <w:t>&lt;</w:t>
            </w:r>
            <w:proofErr w:type="spellStart"/>
            <w:r w:rsidRPr="00A937B9">
              <w:rPr>
                <w:b/>
              </w:rPr>
              <w:t>DenunciaIndividuale</w:t>
            </w:r>
            <w:proofErr w:type="spellEnd"/>
            <w:r w:rsidRPr="00A937B9">
              <w:rPr>
                <w:b/>
              </w:rPr>
              <w:t>&gt;</w:t>
            </w:r>
            <w:r w:rsidRPr="00A937B9">
              <w:t xml:space="preserve">, nell’elemento </w:t>
            </w:r>
            <w:r w:rsidRPr="00A937B9">
              <w:rPr>
                <w:b/>
              </w:rPr>
              <w:t>&lt;</w:t>
            </w:r>
            <w:proofErr w:type="spellStart"/>
            <w:r w:rsidRPr="00A937B9">
              <w:rPr>
                <w:b/>
              </w:rPr>
              <w:t>TipoContribuzione</w:t>
            </w:r>
            <w:proofErr w:type="spellEnd"/>
            <w:r w:rsidRPr="00A937B9">
              <w:rPr>
                <w:b/>
              </w:rPr>
              <w:t>&gt;</w:t>
            </w:r>
            <w:r w:rsidRPr="00A937B9">
              <w:t xml:space="preserve"> il nuovo codice “</w:t>
            </w:r>
            <w:r w:rsidRPr="00A937B9">
              <w:rPr>
                <w:b/>
              </w:rPr>
              <w:t>T1</w:t>
            </w:r>
            <w:r w:rsidRPr="00A937B9">
              <w:t>”, che assume il significato di “Esonero contributivo articolo unico, comma 651, della Legge 28 dicembre 2015, n. 208”.</w:t>
            </w:r>
          </w:p>
          <w:p w:rsidR="00202B72" w:rsidRPr="00A937B9" w:rsidRDefault="00202B72" w:rsidP="002A4886">
            <w:pPr>
              <w:pStyle w:val="CorpoAltF0"/>
              <w:spacing w:before="60"/>
              <w:ind w:right="142"/>
            </w:pPr>
            <w:r w:rsidRPr="00A937B9">
              <w:t>Nell’elemento &lt;Contributo&gt; dovrà essere indicata la contribuzione ridotta calcolata sull’imponibile previdenziale del mese.</w:t>
            </w:r>
          </w:p>
          <w:p w:rsidR="00202B72" w:rsidRPr="00A937B9" w:rsidRDefault="00202B72" w:rsidP="002A4886">
            <w:pPr>
              <w:pStyle w:val="CorpoAltF0"/>
              <w:spacing w:before="60"/>
              <w:ind w:right="142"/>
            </w:pPr>
            <w:r w:rsidRPr="00A937B9">
              <w:t xml:space="preserve">Per il recupero degli arretrati eventualmente spettanti, riferiti al periodo compreso tra gennaio 2016 e ottobre 2017, i datori di lavoro autorizzati valorizzeranno nel flusso UNIEMENS, all’interno di </w:t>
            </w:r>
            <w:r w:rsidRPr="00A937B9">
              <w:rPr>
                <w:b/>
              </w:rPr>
              <w:t>&lt;</w:t>
            </w:r>
            <w:proofErr w:type="spellStart"/>
            <w:r w:rsidRPr="00A937B9">
              <w:rPr>
                <w:b/>
              </w:rPr>
              <w:t>DenunciaIndividuale</w:t>
            </w:r>
            <w:proofErr w:type="spellEnd"/>
            <w:r w:rsidRPr="00A937B9">
              <w:rPr>
                <w:b/>
              </w:rPr>
              <w:t>&gt;, &lt;</w:t>
            </w:r>
            <w:proofErr w:type="spellStart"/>
            <w:r w:rsidRPr="00A937B9">
              <w:rPr>
                <w:b/>
              </w:rPr>
              <w:t>DatiRetributivi</w:t>
            </w:r>
            <w:proofErr w:type="spellEnd"/>
            <w:r w:rsidRPr="00A937B9">
              <w:rPr>
                <w:b/>
              </w:rPr>
              <w:t>&gt;, &lt;</w:t>
            </w:r>
            <w:proofErr w:type="spellStart"/>
            <w:r w:rsidRPr="00A937B9">
              <w:rPr>
                <w:b/>
              </w:rPr>
              <w:t>AltreACredito</w:t>
            </w:r>
            <w:proofErr w:type="spellEnd"/>
            <w:r w:rsidRPr="00A937B9">
              <w:rPr>
                <w:b/>
              </w:rPr>
              <w:t>&gt;</w:t>
            </w:r>
            <w:r w:rsidRPr="00A937B9">
              <w:t>, i seguenti elementi:</w:t>
            </w:r>
          </w:p>
          <w:p w:rsidR="00202B72" w:rsidRPr="00A937B9" w:rsidRDefault="00202B72" w:rsidP="00202B72">
            <w:pPr>
              <w:pStyle w:val="CorpoAltF0"/>
              <w:numPr>
                <w:ilvl w:val="0"/>
                <w:numId w:val="35"/>
              </w:numPr>
              <w:spacing w:before="60"/>
              <w:ind w:left="318" w:right="142" w:hanging="284"/>
            </w:pPr>
            <w:r w:rsidRPr="00A937B9">
              <w:rPr>
                <w:b/>
              </w:rPr>
              <w:t>&lt;</w:t>
            </w:r>
            <w:proofErr w:type="spellStart"/>
            <w:r w:rsidRPr="00A937B9">
              <w:rPr>
                <w:b/>
              </w:rPr>
              <w:t>CausaleACredito</w:t>
            </w:r>
            <w:proofErr w:type="spellEnd"/>
            <w:r w:rsidRPr="00A937B9">
              <w:rPr>
                <w:b/>
              </w:rPr>
              <w:t>&gt;</w:t>
            </w:r>
            <w:r w:rsidRPr="00A937B9">
              <w:t xml:space="preserve">, con l’indicazione del codice causale </w:t>
            </w:r>
            <w:r w:rsidRPr="00A937B9">
              <w:rPr>
                <w:b/>
              </w:rPr>
              <w:t>R668</w:t>
            </w:r>
            <w:r w:rsidRPr="00A937B9">
              <w:t>” avente il significato di “arretrati esonero contributivo articolo unico, comma 651, della Legge 28 dicembre 2015, n. 208”;</w:t>
            </w:r>
          </w:p>
          <w:p w:rsidR="00202B72" w:rsidRPr="00A937B9" w:rsidRDefault="00202B72" w:rsidP="00202B72">
            <w:pPr>
              <w:pStyle w:val="CorpoAltF0"/>
              <w:numPr>
                <w:ilvl w:val="0"/>
                <w:numId w:val="35"/>
              </w:numPr>
              <w:spacing w:before="60"/>
              <w:ind w:left="318" w:right="142" w:hanging="284"/>
            </w:pPr>
            <w:r w:rsidRPr="00A937B9">
              <w:rPr>
                <w:b/>
              </w:rPr>
              <w:t>&lt;</w:t>
            </w:r>
            <w:proofErr w:type="spellStart"/>
            <w:r w:rsidRPr="00A937B9">
              <w:rPr>
                <w:b/>
              </w:rPr>
              <w:t>ImportoACredito</w:t>
            </w:r>
            <w:proofErr w:type="spellEnd"/>
            <w:r w:rsidRPr="00A937B9">
              <w:rPr>
                <w:b/>
              </w:rPr>
              <w:t>&gt;</w:t>
            </w:r>
            <w:r w:rsidRPr="00A937B9">
              <w:t>, l’importo da recuperare.</w:t>
            </w:r>
          </w:p>
          <w:p w:rsidR="00202B72" w:rsidRPr="00A937B9" w:rsidRDefault="00202B72" w:rsidP="002A4886">
            <w:pPr>
              <w:pStyle w:val="CorpoAltF0"/>
              <w:spacing w:before="60"/>
              <w:ind w:right="142"/>
            </w:pPr>
            <w:r w:rsidRPr="00A937B9">
              <w:t>La valorizzazione del predetto elemento potrà essere effettuata esclusivamente nelle denunce contributive relative ai mesi di competenza novembre e dicembre 2017, nonché gennaio 2018.</w:t>
            </w:r>
          </w:p>
        </w:tc>
      </w:tr>
    </w:tbl>
    <w:p w:rsidR="00202B72" w:rsidRPr="00A937B9" w:rsidRDefault="00202B72" w:rsidP="00202B72">
      <w:pPr>
        <w:pStyle w:val="CorpoAltF0"/>
      </w:pPr>
    </w:p>
    <w:p w:rsidR="00202B72" w:rsidRPr="00A937B9" w:rsidRDefault="00202B72" w:rsidP="00202B72">
      <w:pPr>
        <w:pStyle w:val="CorpoAltF0"/>
      </w:pPr>
    </w:p>
    <w:p w:rsidR="00202B72" w:rsidRPr="00A937B9" w:rsidRDefault="00202B72" w:rsidP="00202B72">
      <w:pPr>
        <w:pStyle w:val="CorpoAltF0"/>
      </w:pPr>
    </w:p>
    <w:tbl>
      <w:tblPr>
        <w:tblW w:w="0" w:type="auto"/>
        <w:tblBorders>
          <w:top w:val="single" w:sz="4" w:space="0" w:color="auto"/>
          <w:left w:val="single" w:sz="4" w:space="0" w:color="auto"/>
          <w:bottom w:val="single" w:sz="4" w:space="0" w:color="auto"/>
          <w:right w:val="single" w:sz="4" w:space="0" w:color="auto"/>
        </w:tblBorders>
        <w:shd w:val="clear" w:color="auto" w:fill="FFFFFF"/>
        <w:tblLayout w:type="fixed"/>
        <w:tblLook w:val="04A0" w:firstRow="1" w:lastRow="0" w:firstColumn="1" w:lastColumn="0" w:noHBand="0" w:noVBand="1"/>
      </w:tblPr>
      <w:tblGrid>
        <w:gridCol w:w="970"/>
        <w:gridCol w:w="8839"/>
      </w:tblGrid>
      <w:tr w:rsidR="00202B72" w:rsidRPr="00A937B9" w:rsidTr="002A4886">
        <w:tc>
          <w:tcPr>
            <w:tcW w:w="970" w:type="dxa"/>
            <w:shd w:val="clear" w:color="auto" w:fill="FFFFFF"/>
          </w:tcPr>
          <w:p w:rsidR="00202B72" w:rsidRPr="00A937B9" w:rsidRDefault="00202B72" w:rsidP="002A4886">
            <w:pPr>
              <w:pStyle w:val="CorpoAltF0"/>
              <w:spacing w:before="40" w:after="40"/>
              <w:jc w:val="center"/>
              <w:rPr>
                <w:rFonts w:cs="Arial"/>
              </w:rPr>
            </w:pPr>
            <w:r w:rsidRPr="00A937B9">
              <w:rPr>
                <w:rFonts w:cs="Arial"/>
                <w:noProof/>
              </w:rPr>
              <w:drawing>
                <wp:inline distT="0" distB="0" distL="0" distR="0" wp14:anchorId="7DDAF39E" wp14:editId="53C0E6E3">
                  <wp:extent cx="231775" cy="231775"/>
                  <wp:effectExtent l="0" t="0" r="0" b="0"/>
                  <wp:docPr id="44" name="Immagine 44" desc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8839" w:type="dxa"/>
            <w:tcBorders>
              <w:top w:val="single" w:sz="4" w:space="0" w:color="auto"/>
              <w:bottom w:val="single" w:sz="4" w:space="0" w:color="auto"/>
            </w:tcBorders>
            <w:shd w:val="clear" w:color="auto" w:fill="95B3D7"/>
          </w:tcPr>
          <w:p w:rsidR="00202B72" w:rsidRPr="00A937B9" w:rsidRDefault="00202B72" w:rsidP="002A4886">
            <w:pPr>
              <w:pStyle w:val="WWNormativaSoftware"/>
            </w:pPr>
            <w:bookmarkStart w:id="29" w:name="_Toc488772383"/>
            <w:bookmarkStart w:id="30" w:name="_Toc488773440"/>
            <w:bookmarkStart w:id="31" w:name="_Toc499133386"/>
            <w:bookmarkStart w:id="32" w:name="_Toc499135132"/>
            <w:r w:rsidRPr="00A937B9">
              <w:t>Implementazioni Software</w:t>
            </w:r>
            <w:bookmarkEnd w:id="29"/>
            <w:bookmarkEnd w:id="30"/>
            <w:bookmarkEnd w:id="31"/>
            <w:bookmarkEnd w:id="32"/>
          </w:p>
        </w:tc>
      </w:tr>
    </w:tbl>
    <w:p w:rsidR="00202B72" w:rsidRPr="00A937B9" w:rsidRDefault="00202B72" w:rsidP="00202B72">
      <w:pPr>
        <w:pStyle w:val="CorpoAltF0"/>
      </w:pPr>
    </w:p>
    <w:p w:rsidR="00202B72" w:rsidRPr="00A937B9" w:rsidRDefault="00202B72" w:rsidP="00202B72">
      <w:pPr>
        <w:pStyle w:val="CorpoAltF0"/>
      </w:pPr>
      <w:r w:rsidRPr="00A937B9">
        <w:t>Il programma è stato implementato per:</w:t>
      </w:r>
    </w:p>
    <w:p w:rsidR="00202B72" w:rsidRPr="00A937B9" w:rsidRDefault="00202B72" w:rsidP="00202B72">
      <w:pPr>
        <w:pStyle w:val="CorpoAltF0"/>
        <w:numPr>
          <w:ilvl w:val="0"/>
          <w:numId w:val="28"/>
        </w:numPr>
        <w:spacing w:before="60"/>
        <w:ind w:left="284" w:hanging="284"/>
      </w:pPr>
      <w:r w:rsidRPr="00A937B9">
        <w:t>consentire l’identificazione dei dipendenti agevolabili;</w:t>
      </w:r>
    </w:p>
    <w:p w:rsidR="00202B72" w:rsidRPr="00A937B9" w:rsidRDefault="00202B72" w:rsidP="00202B72">
      <w:pPr>
        <w:pStyle w:val="CorpoAltF0"/>
        <w:numPr>
          <w:ilvl w:val="0"/>
          <w:numId w:val="28"/>
        </w:numPr>
        <w:spacing w:before="60"/>
        <w:ind w:left="284" w:hanging="284"/>
      </w:pPr>
      <w:r w:rsidRPr="00A937B9">
        <w:t>calcolare l’importo di esonero corrente;</w:t>
      </w:r>
    </w:p>
    <w:p w:rsidR="00202B72" w:rsidRPr="00A937B9" w:rsidRDefault="00202B72" w:rsidP="00202B72">
      <w:pPr>
        <w:pStyle w:val="CorpoAltF0"/>
        <w:numPr>
          <w:ilvl w:val="0"/>
          <w:numId w:val="28"/>
        </w:numPr>
        <w:spacing w:before="60"/>
        <w:ind w:left="284" w:hanging="284"/>
      </w:pPr>
      <w:r w:rsidRPr="00A937B9">
        <w:t>valorizzare la denuncia contributiva mensile.</w:t>
      </w:r>
    </w:p>
    <w:p w:rsidR="00202B72" w:rsidRPr="00A937B9" w:rsidRDefault="00202B72" w:rsidP="00202B72">
      <w:pPr>
        <w:pStyle w:val="CorpoAltF0"/>
      </w:pPr>
    </w:p>
    <w:p w:rsidR="00202B72" w:rsidRPr="00A937B9" w:rsidRDefault="00202B72" w:rsidP="00202B72">
      <w:pPr>
        <w:pStyle w:val="CorpoAltF0"/>
      </w:pPr>
      <w:r w:rsidRPr="00A937B9">
        <w:t>Si precisa che, per il calcolo dell’importo di esonero relativo al periodo arretrato (gennaio 2016 - ottobre 2017), il programma verrà successivamente implementato.</w:t>
      </w:r>
    </w:p>
    <w:p w:rsidR="00202B72" w:rsidRPr="00A937B9" w:rsidRDefault="00202B72" w:rsidP="00202B72">
      <w:pPr>
        <w:pStyle w:val="Ignora"/>
      </w:pPr>
      <w:r w:rsidRPr="00A937B9">
        <w:br w:type="page"/>
      </w:r>
    </w:p>
    <w:p w:rsidR="00202B72" w:rsidRPr="00A937B9" w:rsidRDefault="00202B72" w:rsidP="00202B72">
      <w:pPr>
        <w:pStyle w:val="CorpoAltF0"/>
      </w:pPr>
    </w:p>
    <w:p w:rsidR="00202B72" w:rsidRPr="00A937B9" w:rsidRDefault="00202B72" w:rsidP="00202B72">
      <w:pPr>
        <w:pStyle w:val="TS-titolo-04"/>
      </w:pPr>
      <w:bookmarkStart w:id="33" w:name="_Toc480565375"/>
      <w:bookmarkStart w:id="34" w:name="_Toc480565607"/>
      <w:bookmarkStart w:id="35" w:name="_Toc488772384"/>
      <w:bookmarkStart w:id="36" w:name="_Toc488773441"/>
      <w:bookmarkStart w:id="37" w:name="_Toc499133387"/>
      <w:bookmarkStart w:id="38" w:name="_Toc499135133"/>
      <w:r w:rsidRPr="00A937B9">
        <w:t>Sequenza operativa</w:t>
      </w:r>
      <w:bookmarkEnd w:id="33"/>
      <w:bookmarkEnd w:id="34"/>
      <w:bookmarkEnd w:id="35"/>
      <w:bookmarkEnd w:id="36"/>
      <w:bookmarkEnd w:id="37"/>
      <w:bookmarkEnd w:id="38"/>
    </w:p>
    <w:p w:rsidR="00202B72" w:rsidRPr="00A937B9" w:rsidRDefault="00202B72" w:rsidP="00202B72">
      <w:pPr>
        <w:pStyle w:val="CorpoAltF0"/>
        <w:spacing w:before="120"/>
      </w:pPr>
      <w:r w:rsidRPr="00A937B9">
        <w:t>Di seguito si riepilogano le operazioni che l’utente deve eseguire per l’applicazione dell’esonero in oggetto.</w:t>
      </w:r>
    </w:p>
    <w:p w:rsidR="00202B72" w:rsidRPr="00A937B9" w:rsidRDefault="00202B72" w:rsidP="00202B72">
      <w:pPr>
        <w:pStyle w:val="CorpoAltF0"/>
        <w:numPr>
          <w:ilvl w:val="0"/>
          <w:numId w:val="36"/>
        </w:numPr>
        <w:spacing w:before="120"/>
        <w:ind w:left="284" w:hanging="284"/>
      </w:pPr>
      <w:r w:rsidRPr="00A937B9">
        <w:t>Per i dipendenti agevolabili inserire il codice “</w:t>
      </w:r>
      <w:r w:rsidRPr="00A937B9">
        <w:rPr>
          <w:b/>
        </w:rPr>
        <w:t>T</w:t>
      </w:r>
      <w:r w:rsidRPr="00A937B9">
        <w:t>” al campo “</w:t>
      </w:r>
      <w:r w:rsidRPr="00A937B9">
        <w:rPr>
          <w:i/>
        </w:rPr>
        <w:t>Tipo incentivo</w:t>
      </w:r>
      <w:r w:rsidRPr="00A937B9">
        <w:t>” della sezione “</w:t>
      </w:r>
      <w:r w:rsidRPr="00A937B9">
        <w:rPr>
          <w:i/>
        </w:rPr>
        <w:t>F4 Agevolazioni</w:t>
      </w:r>
      <w:r w:rsidRPr="00A937B9">
        <w:t xml:space="preserve">” di </w:t>
      </w:r>
      <w:r w:rsidRPr="00A937B9">
        <w:rPr>
          <w:b/>
        </w:rPr>
        <w:t>DIPE</w:t>
      </w:r>
      <w:r w:rsidRPr="00A937B9">
        <w:t>.</w:t>
      </w:r>
    </w:p>
    <w:p w:rsidR="00202B72" w:rsidRPr="00A937B9" w:rsidRDefault="00202B72" w:rsidP="00202B72">
      <w:pPr>
        <w:pStyle w:val="CorpoAltF0"/>
        <w:numPr>
          <w:ilvl w:val="0"/>
          <w:numId w:val="36"/>
        </w:numPr>
        <w:spacing w:before="120"/>
        <w:ind w:left="284" w:hanging="284"/>
      </w:pPr>
      <w:r w:rsidRPr="00A937B9">
        <w:t>All’interno della medesima sezione compilare il campo “</w:t>
      </w:r>
      <w:r w:rsidRPr="00A937B9">
        <w:rPr>
          <w:i/>
        </w:rPr>
        <w:t>Data inizio agevolazione</w:t>
      </w:r>
      <w:r w:rsidRPr="00A937B9">
        <w:t>” con il mese/anno a partire dal quale spetta lo sgravio (mese successivo rispetto alla data di raggiungimento della soglia prevista di 100 giorni annui di trasporto internazionale).</w:t>
      </w:r>
    </w:p>
    <w:p w:rsidR="00202B72" w:rsidRPr="00A937B9" w:rsidRDefault="00202B72" w:rsidP="00202B72">
      <w:pPr>
        <w:pStyle w:val="CorpoAltF0"/>
        <w:numPr>
          <w:ilvl w:val="0"/>
          <w:numId w:val="36"/>
        </w:numPr>
        <w:spacing w:before="120"/>
        <w:ind w:left="284" w:hanging="284"/>
      </w:pPr>
      <w:r w:rsidRPr="00A937B9">
        <w:t>All’interno della medesima sezione compilare il campo “</w:t>
      </w:r>
      <w:r w:rsidRPr="00A937B9">
        <w:rPr>
          <w:i/>
        </w:rPr>
        <w:t>Importo massimo agevolazione</w:t>
      </w:r>
      <w:r w:rsidRPr="00A937B9">
        <w:t>” indicando l’importo comunicato dall’INPS.</w:t>
      </w:r>
    </w:p>
    <w:p w:rsidR="00202B72" w:rsidRPr="00A937B9" w:rsidRDefault="00202B72" w:rsidP="00202B72">
      <w:pPr>
        <w:pStyle w:val="CorpoAltF0"/>
        <w:numPr>
          <w:ilvl w:val="0"/>
          <w:numId w:val="36"/>
        </w:numPr>
        <w:spacing w:before="120"/>
        <w:ind w:left="284" w:hanging="284"/>
      </w:pPr>
      <w:r w:rsidRPr="00A937B9">
        <w:t>Elaborare i cedolini.</w:t>
      </w:r>
    </w:p>
    <w:p w:rsidR="00202B72" w:rsidRPr="00A937B9" w:rsidRDefault="00202B72" w:rsidP="00202B72">
      <w:pPr>
        <w:pStyle w:val="CorpoAltF0"/>
        <w:spacing w:before="60"/>
        <w:ind w:left="284"/>
      </w:pPr>
      <w:r w:rsidRPr="00A937B9">
        <w:t>Il programma in automatico valorizzerà il “</w:t>
      </w:r>
      <w:r w:rsidRPr="00A937B9">
        <w:rPr>
          <w:i/>
        </w:rPr>
        <w:t>Tipo contribuzione</w:t>
      </w:r>
      <w:r w:rsidRPr="00A937B9">
        <w:t xml:space="preserve">” </w:t>
      </w:r>
      <w:r w:rsidRPr="00A937B9">
        <w:rPr>
          <w:b/>
        </w:rPr>
        <w:t>T1</w:t>
      </w:r>
      <w:r w:rsidRPr="00A937B9">
        <w:t>, evidenziato nel corrispondente campo della sezione “</w:t>
      </w:r>
      <w:r w:rsidRPr="00A937B9">
        <w:rPr>
          <w:i/>
        </w:rPr>
        <w:t>Totali &gt; Parametri – Retribuzione</w:t>
      </w:r>
      <w:r w:rsidRPr="00A937B9">
        <w:t>”.</w:t>
      </w:r>
    </w:p>
    <w:p w:rsidR="00202B72" w:rsidRPr="00A937B9" w:rsidRDefault="00202B72" w:rsidP="00202B72">
      <w:pPr>
        <w:pStyle w:val="CorpoAltF0"/>
        <w:numPr>
          <w:ilvl w:val="0"/>
          <w:numId w:val="36"/>
        </w:numPr>
        <w:spacing w:before="120"/>
        <w:ind w:left="284" w:hanging="284"/>
      </w:pPr>
      <w:r w:rsidRPr="00A937B9">
        <w:t>Eseguire la quadratura.</w:t>
      </w:r>
    </w:p>
    <w:p w:rsidR="00202B72" w:rsidRPr="00A937B9" w:rsidRDefault="00202B72" w:rsidP="00202B72">
      <w:pPr>
        <w:pStyle w:val="CorpoAltF0"/>
        <w:spacing w:before="60"/>
        <w:ind w:left="284"/>
      </w:pPr>
      <w:r w:rsidRPr="00A937B9">
        <w:t>Il programma di quadratura calcolerà l’esonero corrente:</w:t>
      </w:r>
    </w:p>
    <w:p w:rsidR="00202B72" w:rsidRPr="00A937B9" w:rsidRDefault="00202B72" w:rsidP="00202B72">
      <w:pPr>
        <w:pStyle w:val="CorpoAltF0"/>
        <w:numPr>
          <w:ilvl w:val="0"/>
          <w:numId w:val="31"/>
        </w:numPr>
        <w:spacing w:before="60"/>
      </w:pPr>
      <w:r w:rsidRPr="00A937B9">
        <w:t>a partire dal mese di novembre 2017, nel caso di compilazione del campo “</w:t>
      </w:r>
      <w:r w:rsidRPr="00A937B9">
        <w:rPr>
          <w:i/>
        </w:rPr>
        <w:t>Data inizio agevolazione</w:t>
      </w:r>
      <w:r w:rsidRPr="00A937B9">
        <w:t>” con il mese 11/2017 o con un mese precedente;</w:t>
      </w:r>
    </w:p>
    <w:p w:rsidR="00202B72" w:rsidRPr="00A937B9" w:rsidRDefault="00202B72" w:rsidP="00202B72">
      <w:pPr>
        <w:pStyle w:val="CorpoAltF0"/>
        <w:numPr>
          <w:ilvl w:val="0"/>
          <w:numId w:val="31"/>
        </w:numPr>
        <w:spacing w:before="60"/>
      </w:pPr>
      <w:r w:rsidRPr="00A937B9">
        <w:t>a partire dal mese indicato nel suddetto campo, nel caso di compilazione con un mese successivo a novembre 2017.</w:t>
      </w:r>
    </w:p>
    <w:p w:rsidR="00202B72" w:rsidRPr="00A937B9" w:rsidRDefault="00202B72" w:rsidP="00202B72">
      <w:pPr>
        <w:pStyle w:val="CorpoAltF0"/>
      </w:pPr>
    </w:p>
    <w:p w:rsidR="00202B72" w:rsidRPr="00A937B9" w:rsidRDefault="00202B72" w:rsidP="00202B72">
      <w:pPr>
        <w:pStyle w:val="CorpoAltF0"/>
      </w:pPr>
      <w:r w:rsidRPr="00A937B9">
        <w:t>Nei successivi paragrafi viene illustrato il dettaglio delle elaborazioni eseguite dal programma.</w:t>
      </w:r>
    </w:p>
    <w:p w:rsidR="00202B72" w:rsidRPr="00A937B9" w:rsidRDefault="00202B72" w:rsidP="00202B72">
      <w:pPr>
        <w:pStyle w:val="CorpoAltF0"/>
      </w:pPr>
    </w:p>
    <w:p w:rsidR="00202B72" w:rsidRPr="00A937B9" w:rsidRDefault="00202B72" w:rsidP="00202B72">
      <w:pPr>
        <w:pStyle w:val="TS-titolo-05"/>
      </w:pPr>
      <w:bookmarkStart w:id="39" w:name="_Toc499133388"/>
      <w:bookmarkStart w:id="40" w:name="_Toc480565378"/>
      <w:bookmarkStart w:id="41" w:name="_Toc480565610"/>
      <w:bookmarkStart w:id="42" w:name="_Toc488772386"/>
      <w:bookmarkStart w:id="43" w:name="_Toc488773443"/>
      <w:bookmarkStart w:id="44" w:name="_Toc499135134"/>
      <w:r w:rsidRPr="00A937B9">
        <w:t>Dipendenti ex-INPDAP / DMAG / INPGI</w:t>
      </w:r>
      <w:bookmarkEnd w:id="39"/>
      <w:bookmarkEnd w:id="44"/>
      <w:r w:rsidRPr="00A937B9">
        <w:t xml:space="preserve"> </w:t>
      </w:r>
      <w:bookmarkEnd w:id="40"/>
      <w:bookmarkEnd w:id="41"/>
      <w:bookmarkEnd w:id="42"/>
      <w:bookmarkEnd w:id="43"/>
    </w:p>
    <w:p w:rsidR="00202B72" w:rsidRPr="00A937B9" w:rsidRDefault="00202B72" w:rsidP="00202B72">
      <w:pPr>
        <w:pStyle w:val="CorpoAltF0"/>
        <w:spacing w:before="120"/>
      </w:pPr>
      <w:r w:rsidRPr="00A937B9">
        <w:t>Pur potendo accedere all’esonero, quanto meno a livello teorico, ogni datore di lavoro privato, il programma non lo determinerà né per i dipendenti di aziende privatizzate ex-DMA, né per lavoratori da esporre nella denuncia DMAG, né, infine, per lavoratori assicurati all’INPGI: nella Circolare n. 167 l’Istituto fornisce indicazioni utili esclusivamente a compilare la denuncia individuale UNIEMENS e non prospetta la pubblicazione di successivi documenti di prassi in materia.</w:t>
      </w:r>
    </w:p>
    <w:p w:rsidR="00202B72" w:rsidRPr="00A937B9" w:rsidRDefault="00202B72" w:rsidP="00202B72">
      <w:pPr>
        <w:pStyle w:val="CorpoAltF0"/>
      </w:pPr>
    </w:p>
    <w:p w:rsidR="00202B72" w:rsidRPr="00A937B9" w:rsidRDefault="00202B72" w:rsidP="00202B72">
      <w:pPr>
        <w:pStyle w:val="CorpoAltF0"/>
      </w:pPr>
    </w:p>
    <w:p w:rsidR="00202B72" w:rsidRPr="00A937B9" w:rsidRDefault="00202B72" w:rsidP="00202B72">
      <w:pPr>
        <w:pStyle w:val="TS-titolo-04"/>
      </w:pPr>
      <w:bookmarkStart w:id="45" w:name="_Toc480565379"/>
      <w:bookmarkStart w:id="46" w:name="_Toc480565611"/>
      <w:bookmarkStart w:id="47" w:name="_Toc488772387"/>
      <w:bookmarkStart w:id="48" w:name="_Toc488773444"/>
      <w:bookmarkStart w:id="49" w:name="_Toc499133389"/>
      <w:bookmarkStart w:id="50" w:name="_Toc499135135"/>
      <w:r w:rsidRPr="00A937B9">
        <w:t>DIPE &gt; Dati generali</w:t>
      </w:r>
      <w:bookmarkEnd w:id="45"/>
      <w:bookmarkEnd w:id="46"/>
      <w:bookmarkEnd w:id="47"/>
      <w:bookmarkEnd w:id="48"/>
      <w:bookmarkEnd w:id="49"/>
      <w:bookmarkEnd w:id="50"/>
    </w:p>
    <w:p w:rsidR="00202B72" w:rsidRPr="00A937B9" w:rsidRDefault="00202B72" w:rsidP="00202B72">
      <w:pPr>
        <w:pStyle w:val="CorpoAltF0"/>
        <w:spacing w:before="120"/>
      </w:pPr>
      <w:r w:rsidRPr="00A937B9">
        <w:t xml:space="preserve">Al fine di identificare i dipendenti agevolabili tra i valori ammessi al campo </w:t>
      </w:r>
      <w:r w:rsidRPr="00A937B9">
        <w:rPr>
          <w:bCs/>
        </w:rPr>
        <w:t>“</w:t>
      </w:r>
      <w:r w:rsidRPr="00A937B9">
        <w:rPr>
          <w:bCs/>
          <w:i/>
        </w:rPr>
        <w:t>Tipo incentivo</w:t>
      </w:r>
      <w:r w:rsidRPr="00A937B9">
        <w:rPr>
          <w:bCs/>
        </w:rPr>
        <w:t xml:space="preserve">” della </w:t>
      </w:r>
      <w:r w:rsidRPr="00A937B9">
        <w:t xml:space="preserve">sezione </w:t>
      </w:r>
      <w:r w:rsidRPr="00A937B9">
        <w:rPr>
          <w:bCs/>
        </w:rPr>
        <w:t>“</w:t>
      </w:r>
      <w:r w:rsidRPr="00A937B9">
        <w:rPr>
          <w:bCs/>
          <w:i/>
        </w:rPr>
        <w:t>Agevolazioni</w:t>
      </w:r>
      <w:r w:rsidRPr="00A937B9">
        <w:rPr>
          <w:bCs/>
        </w:rPr>
        <w:t>”</w:t>
      </w:r>
      <w:r w:rsidRPr="00A937B9">
        <w:t xml:space="preserve"> (</w:t>
      </w:r>
      <w:r w:rsidRPr="00A937B9">
        <w:rPr>
          <w:bCs/>
        </w:rPr>
        <w:t xml:space="preserve">pulsante funzione F4 in corrispondenza del suddetto campo) è stato previsto il nuovo codice </w:t>
      </w:r>
      <w:r w:rsidRPr="00A937B9">
        <w:rPr>
          <w:b/>
        </w:rPr>
        <w:t>T</w:t>
      </w:r>
      <w:r w:rsidRPr="00A937B9">
        <w:t xml:space="preserve"> </w:t>
      </w:r>
      <w:r w:rsidRPr="00A937B9">
        <w:rPr>
          <w:bCs/>
        </w:rPr>
        <w:t>“</w:t>
      </w:r>
      <w:r w:rsidRPr="00A937B9">
        <w:rPr>
          <w:bCs/>
          <w:i/>
        </w:rPr>
        <w:t>Sgravio Trasporti Internazionali</w:t>
      </w:r>
      <w:r w:rsidRPr="00A937B9">
        <w:rPr>
          <w:bCs/>
        </w:rPr>
        <w:t>”:</w:t>
      </w:r>
    </w:p>
    <w:p w:rsidR="00202B72" w:rsidRPr="00A937B9" w:rsidRDefault="00202B72" w:rsidP="00202B72">
      <w:pPr>
        <w:pStyle w:val="CorpoAltF0"/>
      </w:pPr>
    </w:p>
    <w:p w:rsidR="00202B72" w:rsidRPr="00A937B9" w:rsidRDefault="00202B72" w:rsidP="00202B72">
      <w:pPr>
        <w:pStyle w:val="CorpoAltF0"/>
        <w:jc w:val="center"/>
      </w:pPr>
      <w:r w:rsidRPr="00A937B9">
        <w:rPr>
          <w:noProof/>
        </w:rPr>
        <w:drawing>
          <wp:inline distT="0" distB="0" distL="0" distR="0" wp14:anchorId="2A668149" wp14:editId="397A99CC">
            <wp:extent cx="4320000" cy="2668586"/>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0000" cy="2668586"/>
                    </a:xfrm>
                    <a:prstGeom prst="rect">
                      <a:avLst/>
                    </a:prstGeom>
                  </pic:spPr>
                </pic:pic>
              </a:graphicData>
            </a:graphic>
          </wp:inline>
        </w:drawing>
      </w:r>
    </w:p>
    <w:p w:rsidR="00202B72" w:rsidRPr="00A937B9" w:rsidRDefault="00202B72" w:rsidP="00202B72">
      <w:pPr>
        <w:pStyle w:val="CorpoAltF0"/>
      </w:pPr>
    </w:p>
    <w:p w:rsidR="00202B72" w:rsidRPr="00A937B9" w:rsidRDefault="00202B72" w:rsidP="00202B72">
      <w:pPr>
        <w:pStyle w:val="CorpoAltF0"/>
      </w:pPr>
      <w:r w:rsidRPr="00A937B9">
        <w:t xml:space="preserve">In presenza del codice </w:t>
      </w:r>
      <w:r w:rsidRPr="00A937B9">
        <w:rPr>
          <w:b/>
        </w:rPr>
        <w:t>T</w:t>
      </w:r>
      <w:r w:rsidRPr="00A937B9">
        <w:t xml:space="preserve"> nel suddetto campo, verrà attivata la sezione “</w:t>
      </w:r>
      <w:r w:rsidRPr="00A937B9">
        <w:rPr>
          <w:i/>
        </w:rPr>
        <w:t>Sgravio</w:t>
      </w:r>
      <w:r w:rsidRPr="00A937B9">
        <w:rPr>
          <w:bCs/>
          <w:i/>
        </w:rPr>
        <w:t xml:space="preserve"> </w:t>
      </w:r>
      <w:proofErr w:type="gramStart"/>
      <w:r w:rsidRPr="00A937B9">
        <w:rPr>
          <w:bCs/>
          <w:i/>
        </w:rPr>
        <w:t>conducenti</w:t>
      </w:r>
      <w:r w:rsidRPr="00A937B9">
        <w:t>“</w:t>
      </w:r>
      <w:proofErr w:type="gramEnd"/>
      <w:r w:rsidRPr="00A937B9">
        <w:t>, all’interno della quale sarà cura dell’utente compilare i seguenti campi:</w:t>
      </w:r>
    </w:p>
    <w:tbl>
      <w:tblPr>
        <w:tblStyle w:val="Grigliatabella"/>
        <w:tblW w:w="9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7363"/>
      </w:tblGrid>
      <w:tr w:rsidR="00202B72" w:rsidRPr="00A937B9" w:rsidTr="002A4886">
        <w:tc>
          <w:tcPr>
            <w:tcW w:w="2614" w:type="dxa"/>
          </w:tcPr>
          <w:p w:rsidR="00202B72" w:rsidRPr="00A937B9" w:rsidRDefault="00202B72" w:rsidP="002A4886">
            <w:pPr>
              <w:pStyle w:val="CorpoAltF0"/>
              <w:spacing w:before="60"/>
              <w:rPr>
                <w:i/>
              </w:rPr>
            </w:pPr>
            <w:r w:rsidRPr="00A937B9">
              <w:rPr>
                <w:i/>
              </w:rPr>
              <w:t>Data inizio agevolazione:</w:t>
            </w:r>
          </w:p>
        </w:tc>
        <w:tc>
          <w:tcPr>
            <w:tcW w:w="7363" w:type="dxa"/>
          </w:tcPr>
          <w:p w:rsidR="00202B72" w:rsidRPr="00A937B9" w:rsidRDefault="00202B72" w:rsidP="002A4886">
            <w:pPr>
              <w:pStyle w:val="CorpoAltF0"/>
              <w:spacing w:before="60"/>
            </w:pPr>
            <w:r w:rsidRPr="00A937B9">
              <w:t>indicare obbligatoriamente il mese/anno a partire dal quale spetta lo sgravio.</w:t>
            </w:r>
          </w:p>
          <w:p w:rsidR="00202B72" w:rsidRPr="00A937B9" w:rsidRDefault="00202B72" w:rsidP="002A4886">
            <w:pPr>
              <w:pStyle w:val="CorpoAltF0"/>
              <w:spacing w:before="60"/>
            </w:pPr>
            <w:r w:rsidRPr="00A937B9">
              <w:t>Nel caso di raggiungimento delle 100 giornate nei mesi da gennaio 2016 a ottobre 2017, la compilazione di tale campo consente di effettuare il calcolo dell’esonero arretrato.</w:t>
            </w:r>
          </w:p>
        </w:tc>
      </w:tr>
      <w:tr w:rsidR="00202B72" w:rsidRPr="00A937B9" w:rsidTr="002A4886">
        <w:tc>
          <w:tcPr>
            <w:tcW w:w="2614" w:type="dxa"/>
          </w:tcPr>
          <w:p w:rsidR="00202B72" w:rsidRPr="00A937B9" w:rsidRDefault="00202B72" w:rsidP="002A4886">
            <w:pPr>
              <w:pStyle w:val="CorpoAltF0"/>
              <w:spacing w:before="60"/>
              <w:rPr>
                <w:i/>
              </w:rPr>
            </w:pPr>
            <w:r w:rsidRPr="00A937B9">
              <w:rPr>
                <w:i/>
              </w:rPr>
              <w:t>Importo massimo agevolazione:</w:t>
            </w:r>
          </w:p>
          <w:p w:rsidR="00202B72" w:rsidRPr="00A937B9" w:rsidRDefault="00202B72" w:rsidP="002A4886">
            <w:pPr>
              <w:pStyle w:val="CorpoAltF0"/>
              <w:spacing w:before="60"/>
            </w:pPr>
          </w:p>
        </w:tc>
        <w:tc>
          <w:tcPr>
            <w:tcW w:w="7363" w:type="dxa"/>
          </w:tcPr>
          <w:p w:rsidR="00202B72" w:rsidRPr="00A937B9" w:rsidRDefault="00202B72" w:rsidP="002A4886">
            <w:pPr>
              <w:pStyle w:val="CorpoAltF0"/>
              <w:spacing w:before="60"/>
            </w:pPr>
            <w:r w:rsidRPr="00A937B9">
              <w:t>importo di esonero spettante comunicato dall’INPS.</w:t>
            </w:r>
          </w:p>
          <w:p w:rsidR="00202B72" w:rsidRPr="00A937B9" w:rsidRDefault="00202B72" w:rsidP="002A4886">
            <w:pPr>
              <w:pStyle w:val="CorpoAltF0"/>
              <w:spacing w:before="60"/>
            </w:pPr>
            <w:r w:rsidRPr="00A937B9">
              <w:t>Per evitare il superamento dell’importo concesso, con l’elaborazione mensile il valore indicato in tale campo verrà raffrontato con la somma dello sgravio calcolato nel mese ed il totale già fruito, memorizzato nel successivo campo “</w:t>
            </w:r>
            <w:r w:rsidRPr="00A937B9">
              <w:rPr>
                <w:i/>
              </w:rPr>
              <w:t>Importo agevolazione goduto</w:t>
            </w:r>
            <w:r w:rsidRPr="00A937B9">
              <w:t>”.</w:t>
            </w:r>
          </w:p>
        </w:tc>
      </w:tr>
    </w:tbl>
    <w:p w:rsidR="00202B72" w:rsidRPr="00A937B9" w:rsidRDefault="00202B72" w:rsidP="00202B72">
      <w:pPr>
        <w:pStyle w:val="CorpoAltF0"/>
      </w:pPr>
    </w:p>
    <w:p w:rsidR="00202B72" w:rsidRPr="00A937B9" w:rsidRDefault="00202B72" w:rsidP="00202B72">
      <w:pPr>
        <w:pStyle w:val="CorpoAltF0"/>
      </w:pPr>
      <w:r w:rsidRPr="00A937B9">
        <w:t>I seguenti campi, di sola visualizzazione, vengono compilati automaticamente dal programma:</w:t>
      </w:r>
    </w:p>
    <w:tbl>
      <w:tblPr>
        <w:tblStyle w:val="Grigliatabella"/>
        <w:tblW w:w="9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7363"/>
      </w:tblGrid>
      <w:tr w:rsidR="00202B72" w:rsidRPr="00A937B9" w:rsidTr="002A4886">
        <w:tc>
          <w:tcPr>
            <w:tcW w:w="2614" w:type="dxa"/>
          </w:tcPr>
          <w:p w:rsidR="00202B72" w:rsidRPr="00A937B9" w:rsidRDefault="00202B72" w:rsidP="002A4886">
            <w:pPr>
              <w:pStyle w:val="CorpoAltF0"/>
              <w:spacing w:before="60"/>
              <w:rPr>
                <w:i/>
              </w:rPr>
            </w:pPr>
            <w:r w:rsidRPr="00A937B9">
              <w:rPr>
                <w:i/>
              </w:rPr>
              <w:t>Importo agevolazione goduto:</w:t>
            </w:r>
          </w:p>
          <w:p w:rsidR="00202B72" w:rsidRPr="00A937B9" w:rsidRDefault="00202B72" w:rsidP="002A4886">
            <w:pPr>
              <w:pStyle w:val="CorpoAltF0"/>
            </w:pPr>
          </w:p>
        </w:tc>
        <w:tc>
          <w:tcPr>
            <w:tcW w:w="7363" w:type="dxa"/>
          </w:tcPr>
          <w:p w:rsidR="00202B72" w:rsidRPr="00A937B9" w:rsidRDefault="00202B72" w:rsidP="002A4886">
            <w:pPr>
              <w:pStyle w:val="CorpoAltF0"/>
              <w:spacing w:before="60"/>
            </w:pPr>
            <w:r w:rsidRPr="00A937B9">
              <w:t>importo totale di esonero già fruito.</w:t>
            </w:r>
          </w:p>
        </w:tc>
      </w:tr>
      <w:tr w:rsidR="00202B72" w:rsidRPr="00A937B9" w:rsidTr="002A4886">
        <w:tc>
          <w:tcPr>
            <w:tcW w:w="2614" w:type="dxa"/>
          </w:tcPr>
          <w:p w:rsidR="00202B72" w:rsidRPr="00A937B9" w:rsidRDefault="00202B72" w:rsidP="002A4886">
            <w:pPr>
              <w:pStyle w:val="CorpoAltF0"/>
              <w:spacing w:before="60"/>
              <w:rPr>
                <w:i/>
              </w:rPr>
            </w:pPr>
            <w:r w:rsidRPr="00A937B9">
              <w:rPr>
                <w:i/>
              </w:rPr>
              <w:t>Arretrati recuperati:</w:t>
            </w:r>
          </w:p>
        </w:tc>
        <w:tc>
          <w:tcPr>
            <w:tcW w:w="7363" w:type="dxa"/>
          </w:tcPr>
          <w:p w:rsidR="00202B72" w:rsidRPr="00A937B9" w:rsidRDefault="00202B72" w:rsidP="002A4886">
            <w:pPr>
              <w:pStyle w:val="CorpoAltF0"/>
              <w:spacing w:before="60"/>
            </w:pPr>
            <w:r w:rsidRPr="00A937B9">
              <w:t>tale campo verrà compilato in seguito al calcolo dello sgravio arretrato spettante (gennaio 2016 - ottobre 2017).</w:t>
            </w:r>
          </w:p>
          <w:p w:rsidR="00202B72" w:rsidRPr="00A937B9" w:rsidRDefault="00202B72" w:rsidP="002A4886">
            <w:pPr>
              <w:pStyle w:val="CorpoAltF0"/>
              <w:spacing w:before="60"/>
            </w:pPr>
            <w:r w:rsidRPr="00A937B9">
              <w:t>A tal fine si sottolinea che il programma verrà successivamente implementato.</w:t>
            </w:r>
          </w:p>
        </w:tc>
      </w:tr>
    </w:tbl>
    <w:p w:rsidR="00202B72" w:rsidRPr="00A937B9" w:rsidRDefault="00202B72" w:rsidP="00202B72">
      <w:pPr>
        <w:pStyle w:val="CorpoAltF0"/>
      </w:pPr>
    </w:p>
    <w:p w:rsidR="00202B72" w:rsidRPr="00A937B9" w:rsidRDefault="00202B72" w:rsidP="00202B72">
      <w:pPr>
        <w:pStyle w:val="CorpoAltF0"/>
      </w:pPr>
      <w:r w:rsidRPr="00A937B9">
        <w:t xml:space="preserve">Si precisa che, nel caso d’inserimento del </w:t>
      </w:r>
      <w:r w:rsidRPr="00A937B9">
        <w:rPr>
          <w:bCs/>
        </w:rPr>
        <w:t xml:space="preserve">codice </w:t>
      </w:r>
      <w:r w:rsidRPr="00A937B9">
        <w:rPr>
          <w:b/>
        </w:rPr>
        <w:t>T</w:t>
      </w:r>
      <w:r w:rsidRPr="00A937B9">
        <w:t xml:space="preserve"> al campo </w:t>
      </w:r>
      <w:r w:rsidRPr="00A937B9">
        <w:rPr>
          <w:bCs/>
        </w:rPr>
        <w:t>“</w:t>
      </w:r>
      <w:r w:rsidRPr="00A937B9">
        <w:rPr>
          <w:bCs/>
          <w:i/>
        </w:rPr>
        <w:t>Tipo incentivo</w:t>
      </w:r>
      <w:r w:rsidRPr="00A937B9">
        <w:rPr>
          <w:bCs/>
        </w:rPr>
        <w:t xml:space="preserve">” per dipendenti </w:t>
      </w:r>
      <w:r w:rsidRPr="00A937B9">
        <w:t>ex-INPDAP, DMAG o INPGI il programma provvederà ad esporre un’apposita segnalazione.</w:t>
      </w:r>
    </w:p>
    <w:p w:rsidR="00202B72" w:rsidRPr="00A937B9" w:rsidRDefault="00202B72" w:rsidP="00202B72">
      <w:pPr>
        <w:pStyle w:val="CorpoAltF0"/>
      </w:pPr>
    </w:p>
    <w:p w:rsidR="00202B72" w:rsidRPr="00A937B9" w:rsidRDefault="00202B72" w:rsidP="00202B72">
      <w:pPr>
        <w:pStyle w:val="CorpoAltF0"/>
      </w:pPr>
      <w:r w:rsidRPr="00A937B9">
        <w:t xml:space="preserve">Per i dipendenti per i quali è stato compilato il </w:t>
      </w:r>
      <w:r w:rsidRPr="00A937B9">
        <w:rPr>
          <w:bCs/>
        </w:rPr>
        <w:t>campo “</w:t>
      </w:r>
      <w:r w:rsidRPr="00A937B9">
        <w:rPr>
          <w:bCs/>
          <w:i/>
        </w:rPr>
        <w:t>Tipo incentivo</w:t>
      </w:r>
      <w:r w:rsidRPr="00A937B9">
        <w:rPr>
          <w:bCs/>
        </w:rPr>
        <w:t xml:space="preserve">” di </w:t>
      </w:r>
      <w:r w:rsidRPr="00A937B9">
        <w:rPr>
          <w:b/>
          <w:bCs/>
        </w:rPr>
        <w:t>DIPE</w:t>
      </w:r>
      <w:r w:rsidRPr="00A937B9">
        <w:rPr>
          <w:bCs/>
        </w:rPr>
        <w:t xml:space="preserve"> con il codice </w:t>
      </w:r>
      <w:r w:rsidRPr="00A937B9">
        <w:rPr>
          <w:b/>
        </w:rPr>
        <w:t>T</w:t>
      </w:r>
      <w:r w:rsidRPr="00A937B9">
        <w:rPr>
          <w:bCs/>
        </w:rPr>
        <w:t xml:space="preserve">, </w:t>
      </w:r>
      <w:r w:rsidRPr="00A937B9">
        <w:t xml:space="preserve">nella sezione relativa ai dati identificativi del dipendente della maschera principale di </w:t>
      </w:r>
      <w:r w:rsidRPr="00A937B9">
        <w:rPr>
          <w:b/>
        </w:rPr>
        <w:t>DIPE</w:t>
      </w:r>
      <w:r w:rsidRPr="00A937B9">
        <w:t>, in corrispondenza della “</w:t>
      </w:r>
      <w:proofErr w:type="spellStart"/>
      <w:r w:rsidRPr="00A937B9">
        <w:rPr>
          <w:i/>
        </w:rPr>
        <w:t>Pos.assicurativa</w:t>
      </w:r>
      <w:proofErr w:type="spellEnd"/>
      <w:r w:rsidRPr="00A937B9">
        <w:t>” verrà evidenziata la descrizione “</w:t>
      </w:r>
      <w:r w:rsidRPr="00A937B9">
        <w:rPr>
          <w:bCs/>
          <w:i/>
        </w:rPr>
        <w:t>Sgravio trasporti internazionali</w:t>
      </w:r>
      <w:r w:rsidRPr="00A937B9">
        <w:rPr>
          <w:i/>
        </w:rPr>
        <w:t>”.</w:t>
      </w:r>
    </w:p>
    <w:p w:rsidR="00202B72" w:rsidRPr="00A937B9" w:rsidRDefault="00202B72" w:rsidP="00202B72">
      <w:pPr>
        <w:pStyle w:val="CorpoAltF0"/>
      </w:pPr>
    </w:p>
    <w:p w:rsidR="00202B72" w:rsidRPr="00A937B9" w:rsidRDefault="00202B72" w:rsidP="00202B72">
      <w:pPr>
        <w:pStyle w:val="CorpoAltF0"/>
      </w:pPr>
    </w:p>
    <w:p w:rsidR="00202B72" w:rsidRPr="00A937B9" w:rsidRDefault="00202B72" w:rsidP="00202B72">
      <w:pPr>
        <w:pStyle w:val="TS-titolo-04"/>
      </w:pPr>
      <w:bookmarkStart w:id="51" w:name="_Toc414033905"/>
      <w:bookmarkStart w:id="52" w:name="_Toc414035228"/>
      <w:bookmarkStart w:id="53" w:name="_Toc444276039"/>
      <w:bookmarkStart w:id="54" w:name="_Toc448330145"/>
      <w:bookmarkStart w:id="55" w:name="_Toc448342804"/>
      <w:bookmarkStart w:id="56" w:name="_Toc480565385"/>
      <w:bookmarkStart w:id="57" w:name="_Toc480565617"/>
      <w:bookmarkStart w:id="58" w:name="_Toc488772388"/>
      <w:bookmarkStart w:id="59" w:name="_Toc488773445"/>
      <w:bookmarkStart w:id="60" w:name="_Toc499133390"/>
      <w:bookmarkStart w:id="61" w:name="_Toc499135136"/>
      <w:r w:rsidRPr="00A937B9">
        <w:t>Calcolo incentivo del mese</w:t>
      </w:r>
      <w:bookmarkEnd w:id="51"/>
      <w:bookmarkEnd w:id="52"/>
      <w:bookmarkEnd w:id="53"/>
      <w:bookmarkEnd w:id="54"/>
      <w:bookmarkEnd w:id="55"/>
      <w:bookmarkEnd w:id="56"/>
      <w:bookmarkEnd w:id="57"/>
      <w:bookmarkEnd w:id="58"/>
      <w:bookmarkEnd w:id="59"/>
      <w:bookmarkEnd w:id="60"/>
      <w:bookmarkEnd w:id="61"/>
    </w:p>
    <w:p w:rsidR="00202B72" w:rsidRPr="00A937B9" w:rsidRDefault="00202B72" w:rsidP="00202B72">
      <w:pPr>
        <w:pStyle w:val="CorpoAltF0"/>
        <w:spacing w:before="120"/>
      </w:pPr>
      <w:r w:rsidRPr="00A937B9">
        <w:rPr>
          <w:bCs/>
        </w:rPr>
        <w:t xml:space="preserve">In presenza del codice </w:t>
      </w:r>
      <w:r w:rsidRPr="00A937B9">
        <w:rPr>
          <w:rFonts w:cs="Arial"/>
          <w:b/>
        </w:rPr>
        <w:t>T</w:t>
      </w:r>
      <w:r w:rsidRPr="00A937B9">
        <w:rPr>
          <w:rFonts w:cs="Arial"/>
        </w:rPr>
        <w:t xml:space="preserve"> </w:t>
      </w:r>
      <w:r w:rsidRPr="00A937B9">
        <w:rPr>
          <w:bCs/>
        </w:rPr>
        <w:t>al campo “</w:t>
      </w:r>
      <w:r w:rsidRPr="00A937B9">
        <w:rPr>
          <w:bCs/>
          <w:i/>
        </w:rPr>
        <w:t>Tipo incentivo</w:t>
      </w:r>
      <w:r w:rsidRPr="00A937B9">
        <w:rPr>
          <w:bCs/>
        </w:rPr>
        <w:t xml:space="preserve">” di </w:t>
      </w:r>
      <w:r w:rsidRPr="00A937B9">
        <w:rPr>
          <w:b/>
          <w:bCs/>
        </w:rPr>
        <w:t>DIPE</w:t>
      </w:r>
      <w:r w:rsidRPr="00A937B9">
        <w:rPr>
          <w:bCs/>
        </w:rPr>
        <w:t xml:space="preserve"> il </w:t>
      </w:r>
      <w:r w:rsidRPr="00A937B9">
        <w:t>programma di quadratura calcolerà l’esonero corrente:</w:t>
      </w:r>
    </w:p>
    <w:p w:rsidR="00202B72" w:rsidRPr="00A937B9" w:rsidRDefault="00202B72" w:rsidP="00202B72">
      <w:pPr>
        <w:pStyle w:val="CorpoAltF0"/>
        <w:numPr>
          <w:ilvl w:val="0"/>
          <w:numId w:val="39"/>
        </w:numPr>
        <w:spacing w:before="60"/>
        <w:ind w:left="284" w:hanging="284"/>
        <w:rPr>
          <w:bCs/>
        </w:rPr>
      </w:pPr>
      <w:r w:rsidRPr="00A937B9">
        <w:t>a partire dal mese di novembre 2017, nel caso di compilazione del campo “</w:t>
      </w:r>
      <w:r w:rsidRPr="00A937B9">
        <w:rPr>
          <w:i/>
        </w:rPr>
        <w:t>Data inizio agevolazione</w:t>
      </w:r>
      <w:r w:rsidRPr="00A937B9">
        <w:t>” con il mese 11/2017, o con un mese precedente, e di valorizzazione del campo “</w:t>
      </w:r>
      <w:r w:rsidRPr="00A937B9">
        <w:rPr>
          <w:i/>
        </w:rPr>
        <w:t>Importo massimo agevolazione</w:t>
      </w:r>
      <w:r w:rsidRPr="00A937B9">
        <w:t>”;</w:t>
      </w:r>
    </w:p>
    <w:p w:rsidR="00202B72" w:rsidRPr="00A937B9" w:rsidRDefault="00202B72" w:rsidP="00202B72">
      <w:pPr>
        <w:pStyle w:val="CorpoAltF0"/>
        <w:numPr>
          <w:ilvl w:val="0"/>
          <w:numId w:val="39"/>
        </w:numPr>
        <w:spacing w:before="60"/>
        <w:ind w:left="284" w:hanging="284"/>
        <w:rPr>
          <w:bCs/>
        </w:rPr>
      </w:pPr>
      <w:r w:rsidRPr="00A937B9">
        <w:t>a partire dal mese indicato nel suddetto campo, nel caso di compilazione con un mese successivo a novembre 2017.</w:t>
      </w:r>
    </w:p>
    <w:p w:rsidR="00202B72" w:rsidRPr="00A937B9" w:rsidRDefault="00202B72" w:rsidP="00202B72">
      <w:pPr>
        <w:pStyle w:val="CorpoAltF0"/>
        <w:spacing w:before="60"/>
      </w:pPr>
      <w:r w:rsidRPr="00A937B9">
        <w:rPr>
          <w:bCs/>
        </w:rPr>
        <w:t xml:space="preserve">Lo sgravio spettante sarà pari all’80% della </w:t>
      </w:r>
      <w:r w:rsidRPr="00A937B9">
        <w:t>contribuzione previdenziale</w:t>
      </w:r>
      <w:r w:rsidRPr="00A937B9">
        <w:rPr>
          <w:bCs/>
        </w:rPr>
        <w:t xml:space="preserve"> a carico dell’azienda, determinata al netto delle contribuzioni non esonerabili</w:t>
      </w:r>
      <w:r w:rsidRPr="00A937B9">
        <w:t>.</w:t>
      </w:r>
    </w:p>
    <w:p w:rsidR="00202B72" w:rsidRPr="00A937B9" w:rsidRDefault="00202B72" w:rsidP="00202B72">
      <w:pPr>
        <w:pStyle w:val="CorpoAltF0"/>
      </w:pPr>
    </w:p>
    <w:p w:rsidR="00202B72" w:rsidRPr="00A937B9" w:rsidRDefault="00202B72" w:rsidP="00202B72">
      <w:pPr>
        <w:pStyle w:val="TS-titolo-05"/>
      </w:pPr>
      <w:bookmarkStart w:id="62" w:name="_Toc414033906"/>
      <w:bookmarkStart w:id="63" w:name="_Toc414035229"/>
      <w:bookmarkStart w:id="64" w:name="_Toc444276040"/>
      <w:bookmarkStart w:id="65" w:name="_Toc448330146"/>
      <w:bookmarkStart w:id="66" w:name="_Toc448342805"/>
      <w:bookmarkStart w:id="67" w:name="_Toc480565386"/>
      <w:bookmarkStart w:id="68" w:name="_Toc480565618"/>
      <w:bookmarkStart w:id="69" w:name="_Toc488772389"/>
      <w:bookmarkStart w:id="70" w:name="_Toc488773446"/>
      <w:bookmarkStart w:id="71" w:name="_Toc499133391"/>
      <w:bookmarkStart w:id="72" w:name="_Toc499135137"/>
      <w:r w:rsidRPr="00A937B9">
        <w:t>Contributo aggiuntivo IVS 0,50% e TFR</w:t>
      </w:r>
      <w:bookmarkEnd w:id="62"/>
      <w:bookmarkEnd w:id="63"/>
      <w:bookmarkEnd w:id="64"/>
      <w:bookmarkEnd w:id="65"/>
      <w:bookmarkEnd w:id="66"/>
      <w:bookmarkEnd w:id="67"/>
      <w:bookmarkEnd w:id="68"/>
      <w:bookmarkEnd w:id="69"/>
      <w:bookmarkEnd w:id="70"/>
      <w:bookmarkEnd w:id="71"/>
      <w:bookmarkEnd w:id="72"/>
    </w:p>
    <w:p w:rsidR="00202B72" w:rsidRPr="00A937B9" w:rsidRDefault="00202B72" w:rsidP="00202B72">
      <w:pPr>
        <w:pStyle w:val="CorpoAltF0"/>
        <w:spacing w:before="120"/>
      </w:pPr>
      <w:r w:rsidRPr="00A937B9">
        <w:t>Per i dipendenti interessati dall’esonero contributivo in oggetto il recupero sul TFR verrà effettuato sul 20% dell’imponibile contributi sociali, in quanto l’80 % è stato ricompreso nell’esonero.</w:t>
      </w:r>
    </w:p>
    <w:p w:rsidR="00202B72" w:rsidRPr="00A937B9" w:rsidRDefault="00202B72" w:rsidP="00202B72">
      <w:pPr>
        <w:pStyle w:val="Ignora"/>
        <w:spacing w:before="60"/>
      </w:pPr>
      <w:r w:rsidRPr="00A937B9">
        <w:t>Pertanto l’importo del relativo imponibile memorizzato nel corrispondente campo della sezione “</w:t>
      </w:r>
      <w:r w:rsidRPr="00A937B9">
        <w:rPr>
          <w:i/>
        </w:rPr>
        <w:t>Progressivi &gt; TFR</w:t>
      </w:r>
      <w:r w:rsidRPr="00A937B9">
        <w:t xml:space="preserve">” di </w:t>
      </w:r>
      <w:r w:rsidRPr="00A937B9">
        <w:rPr>
          <w:b/>
        </w:rPr>
        <w:t>DIPE</w:t>
      </w:r>
      <w:r w:rsidRPr="00A937B9">
        <w:t xml:space="preserve"> sarà riproporzionato in funzione della suddetta percentuale.</w:t>
      </w:r>
    </w:p>
    <w:p w:rsidR="00202B72" w:rsidRPr="00A937B9" w:rsidRDefault="00202B72" w:rsidP="00202B72">
      <w:pPr>
        <w:pStyle w:val="CorpoAltF0"/>
      </w:pPr>
    </w:p>
    <w:p w:rsidR="00202B72" w:rsidRPr="00A937B9" w:rsidRDefault="00202B72" w:rsidP="00202B72">
      <w:pPr>
        <w:pStyle w:val="TS-titolo-05"/>
      </w:pPr>
      <w:bookmarkStart w:id="73" w:name="_Toc414033907"/>
      <w:bookmarkStart w:id="74" w:name="_Toc414035230"/>
      <w:bookmarkStart w:id="75" w:name="_Toc444276041"/>
      <w:bookmarkStart w:id="76" w:name="_Toc448330147"/>
      <w:bookmarkStart w:id="77" w:name="_Toc448342806"/>
      <w:bookmarkStart w:id="78" w:name="_Toc480565387"/>
      <w:bookmarkStart w:id="79" w:name="_Toc480565619"/>
      <w:bookmarkStart w:id="80" w:name="_Toc499133392"/>
      <w:bookmarkStart w:id="81" w:name="_Toc499135138"/>
      <w:r w:rsidRPr="00A937B9">
        <w:t>Contribuzione oggetto di esonero</w:t>
      </w:r>
      <w:bookmarkEnd w:id="73"/>
      <w:bookmarkEnd w:id="74"/>
      <w:bookmarkEnd w:id="75"/>
      <w:bookmarkEnd w:id="76"/>
      <w:bookmarkEnd w:id="77"/>
      <w:bookmarkEnd w:id="78"/>
      <w:bookmarkEnd w:id="79"/>
      <w:bookmarkEnd w:id="80"/>
      <w:bookmarkEnd w:id="81"/>
    </w:p>
    <w:p w:rsidR="00202B72" w:rsidRPr="00A937B9" w:rsidRDefault="00202B72" w:rsidP="00202B72">
      <w:pPr>
        <w:pStyle w:val="CorpoAltF0"/>
        <w:spacing w:before="120"/>
      </w:pPr>
      <w:r w:rsidRPr="00A937B9">
        <w:rPr>
          <w:bCs/>
        </w:rPr>
        <w:t xml:space="preserve">Nella contribuzione agevolabile non </w:t>
      </w:r>
      <w:r w:rsidRPr="00A937B9">
        <w:t xml:space="preserve">viene considerato il </w:t>
      </w:r>
      <w:r w:rsidRPr="00A937B9">
        <w:rPr>
          <w:bCs/>
        </w:rPr>
        <w:t>contributo</w:t>
      </w:r>
      <w:r w:rsidRPr="00A937B9">
        <w:t xml:space="preserve"> ex articolo 25, comma 4, della legge n. 845/78 (0,30%) integrativo del contributo ordinario NASPI (1,31%).</w:t>
      </w:r>
    </w:p>
    <w:p w:rsidR="00202B72" w:rsidRPr="00A937B9" w:rsidRDefault="00202B72" w:rsidP="00202B72">
      <w:pPr>
        <w:pStyle w:val="CorpoAltF0"/>
        <w:spacing w:before="60"/>
      </w:pPr>
      <w:r w:rsidRPr="00A937B9">
        <w:t xml:space="preserve">Pertanto, in presenza di un’aliquota nel rigo ASPI della tabella </w:t>
      </w:r>
      <w:r w:rsidRPr="00A937B9">
        <w:rPr>
          <w:i/>
        </w:rPr>
        <w:t>“Contributi Inps azienda / dipendente”</w:t>
      </w:r>
      <w:r w:rsidRPr="00A937B9">
        <w:t xml:space="preserve"> (</w:t>
      </w:r>
      <w:r w:rsidRPr="00A937B9">
        <w:rPr>
          <w:b/>
        </w:rPr>
        <w:t>TB0304</w:t>
      </w:r>
      <w:r w:rsidRPr="00A937B9">
        <w:t>), il programma non considererà la percentuale dello 0,30%, anche nel caso di allineamento graduale all’aliquota contributiva dell’1,31% (Circ. INPS n. 140/2012).</w:t>
      </w:r>
    </w:p>
    <w:p w:rsidR="00202B72" w:rsidRPr="00A937B9" w:rsidRDefault="00202B72" w:rsidP="00202B72">
      <w:pPr>
        <w:pStyle w:val="Ignora"/>
      </w:pPr>
      <w:r w:rsidRPr="00A937B9">
        <w:br w:type="page"/>
      </w:r>
    </w:p>
    <w:p w:rsidR="00202B72" w:rsidRPr="00A937B9" w:rsidRDefault="00202B72" w:rsidP="00202B72">
      <w:pPr>
        <w:pStyle w:val="CorpoAltF0"/>
      </w:pPr>
    </w:p>
    <w:p w:rsidR="00202B72" w:rsidRPr="00A937B9" w:rsidRDefault="00202B72" w:rsidP="00202B72">
      <w:pPr>
        <w:pStyle w:val="CorpoAltF0"/>
      </w:pPr>
      <w:r w:rsidRPr="00A937B9">
        <w:t xml:space="preserve">Per i rapporti a termine viene incluso nella </w:t>
      </w:r>
      <w:r w:rsidRPr="00A937B9">
        <w:rPr>
          <w:bCs/>
        </w:rPr>
        <w:t>contribuzione agevolabile</w:t>
      </w:r>
      <w:r w:rsidRPr="00A937B9">
        <w:t xml:space="preserve"> il contributo addizionale ASPI (1,40%).</w:t>
      </w:r>
    </w:p>
    <w:p w:rsidR="00202B72" w:rsidRPr="00A937B9" w:rsidRDefault="00202B72" w:rsidP="00202B72">
      <w:pPr>
        <w:pStyle w:val="CorpoAltF0"/>
        <w:spacing w:before="60"/>
      </w:pPr>
      <w:r w:rsidRPr="00A937B9">
        <w:t>Nel caso di stabilizzazione del rapporto, l’importo del contributo restituito sarà ridotto della quota che è stata oggetto di sgravio (80%); il programma provvede a memorizzare nel campo “</w:t>
      </w:r>
      <w:r w:rsidRPr="00A937B9">
        <w:rPr>
          <w:i/>
        </w:rPr>
        <w:t>Contributo addizionale ASPI – Contributo c/azienda</w:t>
      </w:r>
      <w:r w:rsidRPr="00A937B9">
        <w:t>” della sezione “</w:t>
      </w:r>
      <w:r w:rsidRPr="00A937B9">
        <w:rPr>
          <w:i/>
        </w:rPr>
        <w:t>Progressivi &gt; Contributi sociali</w:t>
      </w:r>
      <w:r w:rsidRPr="00A937B9">
        <w:t xml:space="preserve">” di </w:t>
      </w:r>
      <w:r w:rsidRPr="00A937B9">
        <w:rPr>
          <w:b/>
        </w:rPr>
        <w:t>DIPE</w:t>
      </w:r>
      <w:r w:rsidRPr="00A937B9">
        <w:t>, quinta pagina, solo la quota del contributo addizionale non oggetto di esonero.</w:t>
      </w:r>
    </w:p>
    <w:p w:rsidR="00202B72" w:rsidRPr="00A937B9" w:rsidRDefault="00202B72" w:rsidP="00202B72">
      <w:pPr>
        <w:pStyle w:val="CorpoAltF0"/>
      </w:pPr>
    </w:p>
    <w:p w:rsidR="00202B72" w:rsidRPr="00A937B9" w:rsidRDefault="00202B72" w:rsidP="00202B72">
      <w:pPr>
        <w:pStyle w:val="TS-titolo-05"/>
      </w:pPr>
      <w:bookmarkStart w:id="82" w:name="_Toc414033910"/>
      <w:bookmarkStart w:id="83" w:name="_Toc414035233"/>
      <w:bookmarkStart w:id="84" w:name="_Toc444276045"/>
      <w:bookmarkStart w:id="85" w:name="_Toc448330150"/>
      <w:bookmarkStart w:id="86" w:name="_Toc448342809"/>
      <w:bookmarkStart w:id="87" w:name="_Toc480565389"/>
      <w:bookmarkStart w:id="88" w:name="_Toc480565621"/>
      <w:bookmarkStart w:id="89" w:name="_Toc488772392"/>
      <w:bookmarkStart w:id="90" w:name="_Toc488773449"/>
      <w:bookmarkStart w:id="91" w:name="_Toc499133393"/>
      <w:bookmarkStart w:id="92" w:name="_Toc499135139"/>
      <w:r w:rsidRPr="00A937B9">
        <w:t>Passaggio di qualifica</w:t>
      </w:r>
      <w:bookmarkEnd w:id="82"/>
      <w:bookmarkEnd w:id="83"/>
      <w:bookmarkEnd w:id="84"/>
      <w:bookmarkEnd w:id="85"/>
      <w:bookmarkEnd w:id="86"/>
      <w:bookmarkEnd w:id="87"/>
      <w:bookmarkEnd w:id="88"/>
      <w:bookmarkEnd w:id="89"/>
      <w:bookmarkEnd w:id="90"/>
      <w:bookmarkEnd w:id="91"/>
      <w:bookmarkEnd w:id="92"/>
    </w:p>
    <w:p w:rsidR="00202B72" w:rsidRPr="00A937B9" w:rsidRDefault="00202B72" w:rsidP="00202B72">
      <w:pPr>
        <w:pStyle w:val="CorpoAltF0"/>
        <w:spacing w:before="120"/>
        <w:rPr>
          <w:bCs/>
        </w:rPr>
      </w:pPr>
      <w:r w:rsidRPr="00A937B9">
        <w:rPr>
          <w:bCs/>
        </w:rPr>
        <w:t>In caso di passaggio di qualifica il calcolo dell’esonero spettante viene eseguito sia nel cedolino fiscale che nel cedolino aggiuntivo, in funzione della relativa contribuzione agevolabile.</w:t>
      </w:r>
    </w:p>
    <w:p w:rsidR="00202B72" w:rsidRPr="00A937B9" w:rsidRDefault="00202B72" w:rsidP="00202B72">
      <w:pPr>
        <w:pStyle w:val="CorpoAltF0"/>
      </w:pPr>
    </w:p>
    <w:p w:rsidR="00202B72" w:rsidRPr="00A937B9" w:rsidRDefault="00202B72" w:rsidP="00202B72">
      <w:pPr>
        <w:pStyle w:val="TS-titolo-05"/>
      </w:pPr>
      <w:bookmarkStart w:id="93" w:name="_Toc414033911"/>
      <w:bookmarkStart w:id="94" w:name="_Toc414035234"/>
      <w:bookmarkStart w:id="95" w:name="_Toc444276046"/>
      <w:bookmarkStart w:id="96" w:name="_Toc448330151"/>
      <w:bookmarkStart w:id="97" w:name="_Toc448342810"/>
      <w:bookmarkStart w:id="98" w:name="_Toc480565390"/>
      <w:bookmarkStart w:id="99" w:name="_Toc480565622"/>
      <w:bookmarkStart w:id="100" w:name="_Toc488772393"/>
      <w:bookmarkStart w:id="101" w:name="_Toc488773450"/>
      <w:bookmarkStart w:id="102" w:name="_Toc499133394"/>
      <w:bookmarkStart w:id="103" w:name="_Toc499135140"/>
      <w:r w:rsidRPr="00A937B9">
        <w:t>Elaborazione mensilità aggiuntive</w:t>
      </w:r>
      <w:bookmarkEnd w:id="93"/>
      <w:bookmarkEnd w:id="94"/>
      <w:bookmarkEnd w:id="95"/>
      <w:bookmarkEnd w:id="96"/>
      <w:bookmarkEnd w:id="97"/>
      <w:bookmarkEnd w:id="98"/>
      <w:bookmarkEnd w:id="99"/>
      <w:bookmarkEnd w:id="100"/>
      <w:bookmarkEnd w:id="101"/>
      <w:bookmarkEnd w:id="102"/>
      <w:bookmarkEnd w:id="103"/>
    </w:p>
    <w:p w:rsidR="00202B72" w:rsidRPr="00A937B9" w:rsidRDefault="00202B72" w:rsidP="00202B72">
      <w:pPr>
        <w:pStyle w:val="CorpoAltF0"/>
        <w:spacing w:before="120"/>
      </w:pPr>
      <w:r w:rsidRPr="00A937B9">
        <w:t xml:space="preserve">In presenza di un cedolino di mensilità aggiuntiva il programma calcola </w:t>
      </w:r>
      <w:r w:rsidRPr="00A937B9">
        <w:rPr>
          <w:bCs/>
        </w:rPr>
        <w:t xml:space="preserve">l’esonero spettante </w:t>
      </w:r>
      <w:r w:rsidRPr="00A937B9">
        <w:t>nei limiti dei contributi dovuti per tale mensilità.</w:t>
      </w:r>
    </w:p>
    <w:p w:rsidR="00202B72" w:rsidRPr="00A937B9" w:rsidRDefault="00202B72" w:rsidP="00202B72">
      <w:pPr>
        <w:pStyle w:val="CorpoAltF0"/>
        <w:spacing w:before="60"/>
      </w:pPr>
      <w:r w:rsidRPr="00A937B9">
        <w:t xml:space="preserve">Nella mensilità fiscale viene eseguito il calcolo dell’esonero </w:t>
      </w:r>
      <w:r w:rsidRPr="00A937B9">
        <w:rPr>
          <w:bCs/>
        </w:rPr>
        <w:t>in funzione della relativa contribuzione agevolabile</w:t>
      </w:r>
      <w:r w:rsidRPr="00A937B9">
        <w:t>.</w:t>
      </w:r>
    </w:p>
    <w:p w:rsidR="00202B72" w:rsidRPr="00A937B9" w:rsidRDefault="00202B72" w:rsidP="00202B72">
      <w:pPr>
        <w:pStyle w:val="CorpoAltF0"/>
        <w:spacing w:before="60"/>
        <w:rPr>
          <w:bCs/>
        </w:rPr>
      </w:pPr>
      <w:r w:rsidRPr="00A937B9">
        <w:rPr>
          <w:bCs/>
        </w:rPr>
        <w:t xml:space="preserve">In UNIEMENS verrà riportata </w:t>
      </w:r>
      <w:r w:rsidRPr="00A937B9">
        <w:t xml:space="preserve">la contribuzione ridotta della </w:t>
      </w:r>
      <w:r w:rsidRPr="00A937B9">
        <w:rPr>
          <w:bCs/>
        </w:rPr>
        <w:t>somma degli sgravi calcolati nelle 2 mensilità.</w:t>
      </w:r>
    </w:p>
    <w:p w:rsidR="00202B72" w:rsidRPr="00A937B9" w:rsidRDefault="00202B72" w:rsidP="00202B72">
      <w:pPr>
        <w:pStyle w:val="CorpoAltF0"/>
      </w:pPr>
    </w:p>
    <w:p w:rsidR="00202B72" w:rsidRPr="00A937B9" w:rsidRDefault="00202B72" w:rsidP="00202B72">
      <w:pPr>
        <w:pStyle w:val="CorpoAltF0"/>
      </w:pPr>
    </w:p>
    <w:p w:rsidR="00202B72" w:rsidRPr="00A937B9" w:rsidRDefault="00202B72" w:rsidP="00202B72">
      <w:pPr>
        <w:pStyle w:val="TS-titolo-04"/>
      </w:pPr>
      <w:bookmarkStart w:id="104" w:name="_Toc414033916"/>
      <w:bookmarkStart w:id="105" w:name="_Toc414035239"/>
      <w:bookmarkStart w:id="106" w:name="_Toc444276050"/>
      <w:bookmarkStart w:id="107" w:name="_Toc448330156"/>
      <w:bookmarkStart w:id="108" w:name="_Toc448342815"/>
      <w:bookmarkStart w:id="109" w:name="_Toc480565394"/>
      <w:bookmarkStart w:id="110" w:name="_Toc480565626"/>
      <w:bookmarkStart w:id="111" w:name="_Toc488772398"/>
      <w:bookmarkStart w:id="112" w:name="_Toc488773455"/>
      <w:bookmarkStart w:id="113" w:name="_Toc499133395"/>
      <w:bookmarkStart w:id="114" w:name="_Toc499135141"/>
      <w:r w:rsidRPr="00A937B9">
        <w:t>CEDOL</w:t>
      </w:r>
      <w:bookmarkEnd w:id="104"/>
      <w:bookmarkEnd w:id="105"/>
      <w:bookmarkEnd w:id="106"/>
      <w:bookmarkEnd w:id="107"/>
      <w:bookmarkEnd w:id="108"/>
      <w:bookmarkEnd w:id="109"/>
      <w:bookmarkEnd w:id="110"/>
      <w:bookmarkEnd w:id="111"/>
      <w:bookmarkEnd w:id="112"/>
      <w:bookmarkEnd w:id="113"/>
      <w:bookmarkEnd w:id="114"/>
    </w:p>
    <w:p w:rsidR="00202B72" w:rsidRPr="00A937B9" w:rsidRDefault="00202B72" w:rsidP="00202B72">
      <w:pPr>
        <w:pStyle w:val="CorpoAltF0"/>
        <w:spacing w:before="120"/>
      </w:pPr>
      <w:r w:rsidRPr="00A937B9">
        <w:t xml:space="preserve">Per i dipendenti per i quali è stato compilato il </w:t>
      </w:r>
      <w:r w:rsidRPr="00A937B9">
        <w:rPr>
          <w:bCs/>
        </w:rPr>
        <w:t>campo “</w:t>
      </w:r>
      <w:r w:rsidRPr="00A937B9">
        <w:rPr>
          <w:bCs/>
          <w:i/>
        </w:rPr>
        <w:t>Tipo incentivo</w:t>
      </w:r>
      <w:r w:rsidRPr="00A937B9">
        <w:rPr>
          <w:bCs/>
        </w:rPr>
        <w:t xml:space="preserve">” di </w:t>
      </w:r>
      <w:r w:rsidRPr="00A937B9">
        <w:rPr>
          <w:b/>
          <w:bCs/>
        </w:rPr>
        <w:t>DIPE</w:t>
      </w:r>
      <w:r w:rsidRPr="00A937B9">
        <w:rPr>
          <w:bCs/>
        </w:rPr>
        <w:t xml:space="preserve"> con il codice </w:t>
      </w:r>
      <w:r w:rsidRPr="00A937B9">
        <w:rPr>
          <w:b/>
          <w:bCs/>
        </w:rPr>
        <w:t>T</w:t>
      </w:r>
      <w:r w:rsidRPr="00A937B9">
        <w:rPr>
          <w:bCs/>
        </w:rPr>
        <w:t xml:space="preserve">, </w:t>
      </w:r>
      <w:r w:rsidRPr="00A937B9">
        <w:t>l’elaborazione del cedolino delle mensilità interessate dallo sgravio provvede alla memorizzazione del “</w:t>
      </w:r>
      <w:r w:rsidRPr="00A937B9">
        <w:rPr>
          <w:i/>
        </w:rPr>
        <w:t>Tipo contribuzione</w:t>
      </w:r>
      <w:r w:rsidRPr="00A937B9">
        <w:t xml:space="preserve">” </w:t>
      </w:r>
      <w:r w:rsidRPr="00A937B9">
        <w:rPr>
          <w:b/>
        </w:rPr>
        <w:t>T1</w:t>
      </w:r>
      <w:r w:rsidRPr="00A937B9">
        <w:t>, evidenziato nel corrispondente campo della sezione “</w:t>
      </w:r>
      <w:r w:rsidRPr="00A937B9">
        <w:rPr>
          <w:i/>
        </w:rPr>
        <w:t>Totali &gt; Parametri – Retribuzione</w:t>
      </w:r>
      <w:r w:rsidRPr="00A937B9">
        <w:t>”.</w:t>
      </w:r>
    </w:p>
    <w:p w:rsidR="00202B72" w:rsidRPr="00A937B9" w:rsidRDefault="00202B72" w:rsidP="00202B72">
      <w:pPr>
        <w:pStyle w:val="CorpoAltF0"/>
        <w:spacing w:before="60"/>
      </w:pPr>
      <w:r w:rsidRPr="00A937B9">
        <w:t>Il calcolo dell’esonero spettante viene effettuato dal programma di quadratura.</w:t>
      </w:r>
    </w:p>
    <w:p w:rsidR="00202B72" w:rsidRPr="00A937B9" w:rsidRDefault="00202B72" w:rsidP="00202B72">
      <w:pPr>
        <w:pStyle w:val="CorpoAltF0"/>
      </w:pPr>
    </w:p>
    <w:p w:rsidR="00202B72" w:rsidRPr="00A937B9" w:rsidRDefault="00202B72" w:rsidP="00202B72">
      <w:pPr>
        <w:pStyle w:val="CorpoAltF0"/>
      </w:pPr>
      <w:r w:rsidRPr="00A937B9">
        <w:t xml:space="preserve">Dopo aver eseguito il comando </w:t>
      </w:r>
      <w:r w:rsidRPr="00A937B9">
        <w:rPr>
          <w:b/>
        </w:rPr>
        <w:t>QUADR</w:t>
      </w:r>
      <w:r w:rsidRPr="00A937B9">
        <w:t>, accedendo al cedolino in sola visualizzazione (o dopo l’aggiornamento), l’importo dell’incentivo calcolato nel mese verrà esposto nel campo “</w:t>
      </w:r>
      <w:r w:rsidRPr="00A937B9">
        <w:rPr>
          <w:i/>
        </w:rPr>
        <w:t>Incentivo/Sgravio</w:t>
      </w:r>
      <w:r w:rsidRPr="00A937B9">
        <w:t>” della sezione “</w:t>
      </w:r>
      <w:r w:rsidRPr="00A937B9">
        <w:rPr>
          <w:i/>
        </w:rPr>
        <w:t>Contributi</w:t>
      </w:r>
      <w:r w:rsidRPr="00A937B9">
        <w:t>” della scheda “</w:t>
      </w:r>
      <w:r w:rsidRPr="00A937B9">
        <w:rPr>
          <w:i/>
        </w:rPr>
        <w:t>Totali</w:t>
      </w:r>
      <w:r w:rsidRPr="00A937B9">
        <w:t>”.</w:t>
      </w:r>
    </w:p>
    <w:p w:rsidR="00202B72" w:rsidRPr="00A937B9" w:rsidRDefault="00202B72" w:rsidP="00202B72">
      <w:pPr>
        <w:pStyle w:val="CorpoAltF0"/>
      </w:pPr>
    </w:p>
    <w:p w:rsidR="00202B72" w:rsidRPr="00A937B9" w:rsidRDefault="00202B72" w:rsidP="00202B72">
      <w:pPr>
        <w:pStyle w:val="CorpoAltF0"/>
        <w:jc w:val="center"/>
      </w:pPr>
      <w:r w:rsidRPr="00A937B9">
        <w:rPr>
          <w:noProof/>
        </w:rPr>
        <w:drawing>
          <wp:inline distT="0" distB="0" distL="0" distR="0" wp14:anchorId="2F6AFD81" wp14:editId="368C01E6">
            <wp:extent cx="5040000" cy="2482127"/>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0000" cy="2482127"/>
                    </a:xfrm>
                    <a:prstGeom prst="rect">
                      <a:avLst/>
                    </a:prstGeom>
                  </pic:spPr>
                </pic:pic>
              </a:graphicData>
            </a:graphic>
          </wp:inline>
        </w:drawing>
      </w:r>
    </w:p>
    <w:p w:rsidR="00202B72" w:rsidRPr="00A937B9" w:rsidRDefault="00202B72" w:rsidP="00202B72">
      <w:pPr>
        <w:pStyle w:val="CorpoAltF0"/>
      </w:pPr>
    </w:p>
    <w:p w:rsidR="00202B72" w:rsidRPr="00A937B9" w:rsidRDefault="00202B72" w:rsidP="00202B72">
      <w:pPr>
        <w:pStyle w:val="CorpoAltF0"/>
        <w:rPr>
          <w:i/>
        </w:rPr>
      </w:pPr>
      <w:r w:rsidRPr="00A937B9">
        <w:t>Per i dipendenti in esame nella sezione relativa ai dati identificativi del dipendente della scheda “</w:t>
      </w:r>
      <w:r w:rsidRPr="00A937B9">
        <w:rPr>
          <w:i/>
        </w:rPr>
        <w:t>Dati generali</w:t>
      </w:r>
      <w:r w:rsidRPr="00A937B9">
        <w:t>”</w:t>
      </w:r>
      <w:r w:rsidRPr="00A937B9">
        <w:rPr>
          <w:i/>
        </w:rPr>
        <w:t xml:space="preserve"> </w:t>
      </w:r>
      <w:r w:rsidRPr="00A937B9">
        <w:t xml:space="preserve">di </w:t>
      </w:r>
      <w:r w:rsidRPr="00A937B9">
        <w:rPr>
          <w:b/>
        </w:rPr>
        <w:t>CEDOL</w:t>
      </w:r>
      <w:r w:rsidRPr="00A937B9">
        <w:t>, in corrispondenza della “</w:t>
      </w:r>
      <w:r w:rsidRPr="00A937B9">
        <w:rPr>
          <w:i/>
        </w:rPr>
        <w:t>Posizione assicurativa</w:t>
      </w:r>
      <w:r w:rsidRPr="00A937B9">
        <w:t>” verrà evidenziata la descrizione “</w:t>
      </w:r>
      <w:r w:rsidRPr="00A937B9">
        <w:rPr>
          <w:bCs/>
          <w:i/>
        </w:rPr>
        <w:t>Sgravio trasporti internazionali</w:t>
      </w:r>
      <w:r w:rsidRPr="00A937B9">
        <w:t>”</w:t>
      </w:r>
      <w:r w:rsidRPr="00A937B9">
        <w:rPr>
          <w:i/>
        </w:rPr>
        <w:t>.</w:t>
      </w:r>
    </w:p>
    <w:p w:rsidR="00202B72" w:rsidRPr="00A937B9" w:rsidRDefault="00202B72" w:rsidP="00202B72">
      <w:pPr>
        <w:pStyle w:val="Ignora"/>
      </w:pPr>
      <w:bookmarkStart w:id="115" w:name="_Toc414033917"/>
      <w:bookmarkStart w:id="116" w:name="_Toc414035240"/>
      <w:bookmarkStart w:id="117" w:name="_Toc444276051"/>
      <w:bookmarkStart w:id="118" w:name="_Toc448330157"/>
      <w:bookmarkStart w:id="119" w:name="_Toc448342816"/>
      <w:bookmarkStart w:id="120" w:name="_Toc480565395"/>
      <w:bookmarkStart w:id="121" w:name="_Toc480565627"/>
      <w:bookmarkStart w:id="122" w:name="_Toc488772399"/>
      <w:bookmarkStart w:id="123" w:name="_Toc488773456"/>
      <w:r w:rsidRPr="00A937B9">
        <w:br w:type="page"/>
      </w:r>
    </w:p>
    <w:p w:rsidR="00202B72" w:rsidRPr="00A937B9" w:rsidRDefault="00202B72" w:rsidP="00202B72">
      <w:pPr>
        <w:pStyle w:val="CorpoAltF0"/>
      </w:pPr>
    </w:p>
    <w:p w:rsidR="00202B72" w:rsidRPr="00A937B9" w:rsidRDefault="00202B72" w:rsidP="00202B72">
      <w:pPr>
        <w:pStyle w:val="TS-titolo-04"/>
      </w:pPr>
      <w:bookmarkStart w:id="124" w:name="_Toc499133396"/>
      <w:bookmarkStart w:id="125" w:name="_Toc499135142"/>
      <w:r w:rsidRPr="00A937B9">
        <w:t>QUADR</w:t>
      </w:r>
      <w:bookmarkEnd w:id="115"/>
      <w:bookmarkEnd w:id="116"/>
      <w:bookmarkEnd w:id="117"/>
      <w:bookmarkEnd w:id="118"/>
      <w:bookmarkEnd w:id="119"/>
      <w:bookmarkEnd w:id="120"/>
      <w:bookmarkEnd w:id="121"/>
      <w:bookmarkEnd w:id="122"/>
      <w:bookmarkEnd w:id="123"/>
      <w:bookmarkEnd w:id="124"/>
      <w:bookmarkEnd w:id="125"/>
    </w:p>
    <w:p w:rsidR="00202B72" w:rsidRPr="00A937B9" w:rsidRDefault="00202B72" w:rsidP="00202B72">
      <w:pPr>
        <w:pStyle w:val="CorpoAltF0"/>
        <w:spacing w:before="120"/>
      </w:pPr>
      <w:r w:rsidRPr="00A937B9">
        <w:t>Con l’esecuzione del comando di quadratura viene calcolato l’importo di esonero spettante.</w:t>
      </w:r>
    </w:p>
    <w:p w:rsidR="00202B72" w:rsidRPr="00A937B9" w:rsidRDefault="00202B72" w:rsidP="00202B72">
      <w:pPr>
        <w:pStyle w:val="CorpoAltF0"/>
        <w:spacing w:before="60"/>
      </w:pPr>
      <w:r w:rsidRPr="00A937B9">
        <w:t>Il riconoscimento dello sgravio calcolato è subordinato al non superamento dell’importo concesso dall’INPS.</w:t>
      </w:r>
    </w:p>
    <w:p w:rsidR="00202B72" w:rsidRPr="00A937B9" w:rsidRDefault="00202B72" w:rsidP="00202B72">
      <w:pPr>
        <w:pStyle w:val="CorpoAltF0"/>
        <w:spacing w:before="60"/>
      </w:pPr>
      <w:r w:rsidRPr="00A937B9">
        <w:t>Pertanto il programma provvede a verificare che, il valore calcolato nel mese sommato allo sgravio già fruito (campo “</w:t>
      </w:r>
      <w:r w:rsidRPr="00A937B9">
        <w:rPr>
          <w:i/>
        </w:rPr>
        <w:t>Importo agevolazione goduto</w:t>
      </w:r>
      <w:r w:rsidRPr="00A937B9">
        <w:t>”</w:t>
      </w:r>
      <w:r w:rsidRPr="00A937B9">
        <w:rPr>
          <w:rFonts w:cs="Arial"/>
        </w:rPr>
        <w:t xml:space="preserve"> della sezione “</w:t>
      </w:r>
      <w:r w:rsidRPr="00A937B9">
        <w:rPr>
          <w:rFonts w:cs="Arial"/>
          <w:i/>
        </w:rPr>
        <w:t>F4 Agevolazioni</w:t>
      </w:r>
      <w:r w:rsidRPr="00A937B9">
        <w:rPr>
          <w:rFonts w:cs="Arial"/>
        </w:rPr>
        <w:t xml:space="preserve">” di </w:t>
      </w:r>
      <w:r w:rsidRPr="00A937B9">
        <w:rPr>
          <w:rFonts w:cs="Arial"/>
          <w:b/>
        </w:rPr>
        <w:t>DIPE</w:t>
      </w:r>
      <w:r w:rsidRPr="00A937B9">
        <w:rPr>
          <w:rFonts w:cs="Arial"/>
        </w:rPr>
        <w:t xml:space="preserve">), non sia maggiore dell’importo concesso (campo </w:t>
      </w:r>
      <w:r w:rsidRPr="00A937B9">
        <w:t>“</w:t>
      </w:r>
      <w:r w:rsidRPr="00A937B9">
        <w:rPr>
          <w:i/>
        </w:rPr>
        <w:t>Importo massimo agevolazione</w:t>
      </w:r>
      <w:r w:rsidRPr="00A937B9">
        <w:t>”), in tal caso lo sgravio verrà riconosciuto solo fino al raggiungimento di tale importo.</w:t>
      </w:r>
    </w:p>
    <w:p w:rsidR="00202B72" w:rsidRPr="00A937B9" w:rsidRDefault="00202B72" w:rsidP="00202B72">
      <w:pPr>
        <w:pStyle w:val="CorpoAltF0"/>
        <w:spacing w:before="120"/>
      </w:pPr>
      <w:r w:rsidRPr="00A937B9">
        <w:t>La quadratura provvede altresì alla compilazione nella denuncia UNIEMENS della sezione &lt;</w:t>
      </w:r>
      <w:proofErr w:type="spellStart"/>
      <w:r w:rsidRPr="00A937B9">
        <w:t>DenunciaIndividuale</w:t>
      </w:r>
      <w:proofErr w:type="spellEnd"/>
      <w:r w:rsidRPr="00A937B9">
        <w:t>&gt; con le modalità richieste, in particolare verranno compilati gli elementi:</w:t>
      </w:r>
    </w:p>
    <w:p w:rsidR="00202B72" w:rsidRPr="00A937B9" w:rsidRDefault="00202B72" w:rsidP="00202B72">
      <w:pPr>
        <w:pStyle w:val="CorpoAltF0"/>
        <w:numPr>
          <w:ilvl w:val="0"/>
          <w:numId w:val="26"/>
        </w:numPr>
        <w:spacing w:before="60"/>
        <w:ind w:left="284" w:hanging="284"/>
      </w:pPr>
      <w:r w:rsidRPr="00A937B9">
        <w:t>&lt;</w:t>
      </w:r>
      <w:proofErr w:type="spellStart"/>
      <w:r w:rsidRPr="00A937B9">
        <w:t>TipoContribuzione</w:t>
      </w:r>
      <w:proofErr w:type="spellEnd"/>
      <w:r w:rsidRPr="00A937B9">
        <w:t>&gt; con il valore “</w:t>
      </w:r>
      <w:r w:rsidRPr="00A937B9">
        <w:rPr>
          <w:b/>
        </w:rPr>
        <w:t>T1</w:t>
      </w:r>
      <w:r w:rsidRPr="00A937B9">
        <w:t>”;</w:t>
      </w:r>
    </w:p>
    <w:p w:rsidR="00202B72" w:rsidRPr="00A937B9" w:rsidRDefault="00202B72" w:rsidP="00202B72">
      <w:pPr>
        <w:pStyle w:val="CorpoAltF0"/>
        <w:numPr>
          <w:ilvl w:val="0"/>
          <w:numId w:val="26"/>
        </w:numPr>
        <w:spacing w:before="60"/>
        <w:ind w:left="284" w:hanging="284"/>
      </w:pPr>
      <w:r w:rsidRPr="00A937B9">
        <w:t>&lt;Contributo&gt; con il valore della contribuzione al netto dell’esonero spettante;</w:t>
      </w:r>
    </w:p>
    <w:p w:rsidR="00202B72" w:rsidRPr="00A937B9" w:rsidRDefault="00202B72" w:rsidP="00202B72">
      <w:pPr>
        <w:pStyle w:val="CorpoAltF0"/>
        <w:spacing w:before="120"/>
        <w:rPr>
          <w:i/>
        </w:rPr>
      </w:pPr>
      <w:r w:rsidRPr="00A937B9">
        <w:t xml:space="preserve">Per l’esposizione dell’importo di esonero calcolato nel mese nel tabulato generato dal comando </w:t>
      </w:r>
      <w:r w:rsidRPr="00A937B9">
        <w:rPr>
          <w:b/>
        </w:rPr>
        <w:t>QUADR</w:t>
      </w:r>
      <w:r w:rsidRPr="00A937B9">
        <w:t xml:space="preserve"> è stato previsto un apposito rigo nella sezione “</w:t>
      </w:r>
      <w:r w:rsidRPr="00A937B9">
        <w:rPr>
          <w:i/>
        </w:rPr>
        <w:t>Somme a credito</w:t>
      </w:r>
      <w:r w:rsidRPr="00A937B9">
        <w:t>”:</w:t>
      </w:r>
    </w:p>
    <w:p w:rsidR="00202B72" w:rsidRPr="00A937B9" w:rsidRDefault="00202B72" w:rsidP="00202B72">
      <w:pPr>
        <w:pStyle w:val="CorpoAltF0"/>
      </w:pPr>
    </w:p>
    <w:p w:rsidR="00202B72" w:rsidRPr="00A937B9" w:rsidRDefault="00202B72" w:rsidP="00202B72">
      <w:pPr>
        <w:pStyle w:val="CorpoAltF0"/>
        <w:jc w:val="center"/>
      </w:pPr>
      <w:r w:rsidRPr="00A937B9">
        <w:rPr>
          <w:noProof/>
        </w:rPr>
        <w:drawing>
          <wp:inline distT="0" distB="0" distL="0" distR="0" wp14:anchorId="3431ABB3" wp14:editId="7094AF04">
            <wp:extent cx="3600000" cy="816697"/>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0000" cy="816697"/>
                    </a:xfrm>
                    <a:prstGeom prst="rect">
                      <a:avLst/>
                    </a:prstGeom>
                  </pic:spPr>
                </pic:pic>
              </a:graphicData>
            </a:graphic>
          </wp:inline>
        </w:drawing>
      </w:r>
    </w:p>
    <w:p w:rsidR="00202B72" w:rsidRPr="00A937B9" w:rsidRDefault="00202B72" w:rsidP="00202B72">
      <w:pPr>
        <w:pStyle w:val="CorpoAltF0"/>
      </w:pPr>
    </w:p>
    <w:p w:rsidR="00202B72" w:rsidRPr="00A937B9" w:rsidRDefault="00202B72" w:rsidP="00202B72">
      <w:pPr>
        <w:pStyle w:val="CorpoAltF0"/>
      </w:pPr>
      <w:r w:rsidRPr="00A937B9">
        <w:t>Si sottolinea che, la contribuzione c/azienda verrà comunque esposta in misura piena.</w:t>
      </w:r>
    </w:p>
    <w:p w:rsidR="00202B72" w:rsidRPr="00A937B9" w:rsidRDefault="00202B72" w:rsidP="00202B72">
      <w:pPr>
        <w:pStyle w:val="CorpoAltF0"/>
      </w:pPr>
    </w:p>
    <w:p w:rsidR="00202B72" w:rsidRPr="00A937B9" w:rsidRDefault="00202B72" w:rsidP="00202B72">
      <w:pPr>
        <w:pStyle w:val="CorpoAltF0"/>
        <w:rPr>
          <w:bCs/>
        </w:rPr>
      </w:pPr>
      <w:r w:rsidRPr="00A937B9">
        <w:t>Nel dettaglio dei costi (“</w:t>
      </w:r>
      <w:r w:rsidRPr="00A937B9">
        <w:rPr>
          <w:i/>
          <w:iCs/>
        </w:rPr>
        <w:t>Progressivi &gt; Ratei</w:t>
      </w:r>
      <w:r w:rsidRPr="00A937B9">
        <w:t xml:space="preserve">” di </w:t>
      </w:r>
      <w:r w:rsidRPr="00A937B9">
        <w:rPr>
          <w:b/>
          <w:bCs/>
        </w:rPr>
        <w:t>DIPE</w:t>
      </w:r>
      <w:r w:rsidRPr="00A937B9">
        <w:t xml:space="preserve">) e nella stampa di </w:t>
      </w:r>
      <w:proofErr w:type="spellStart"/>
      <w:r w:rsidRPr="00A937B9">
        <w:t>primanota</w:t>
      </w:r>
      <w:proofErr w:type="spellEnd"/>
      <w:r w:rsidRPr="00A937B9">
        <w:t>, gli importi di sgravio fruiti verranno portati in diminuzione dei contributi c/azienda su retribuzione.</w:t>
      </w:r>
    </w:p>
    <w:p w:rsidR="00202B72" w:rsidRPr="00A937B9" w:rsidRDefault="00202B72" w:rsidP="00202B72">
      <w:pPr>
        <w:pStyle w:val="CorpoAltF0"/>
        <w:spacing w:before="120"/>
        <w:rPr>
          <w:bCs/>
        </w:rPr>
      </w:pPr>
      <w:r w:rsidRPr="00A937B9">
        <w:t>Nel dettaglio dei costi, inoltre, l’importo dei contributi sui ratei maturati verrà ridotto dell’80%.</w:t>
      </w:r>
    </w:p>
    <w:p w:rsidR="00202B72" w:rsidRPr="00A937B9" w:rsidRDefault="00202B72" w:rsidP="00202B72">
      <w:pPr>
        <w:pStyle w:val="CorpoAltF0"/>
      </w:pPr>
    </w:p>
    <w:p w:rsidR="00202B72" w:rsidRPr="00A937B9" w:rsidRDefault="00202B72" w:rsidP="00202B72">
      <w:pPr>
        <w:pStyle w:val="CorpoAltF0"/>
      </w:pPr>
    </w:p>
    <w:p w:rsidR="00202B72" w:rsidRPr="00A937B9" w:rsidRDefault="00202B72" w:rsidP="00202B72">
      <w:pPr>
        <w:pStyle w:val="TS-titolo-04"/>
      </w:pPr>
      <w:bookmarkStart w:id="126" w:name="_Toc414033918"/>
      <w:bookmarkStart w:id="127" w:name="_Toc414035241"/>
      <w:bookmarkStart w:id="128" w:name="_Toc444276052"/>
      <w:bookmarkStart w:id="129" w:name="_Toc448330161"/>
      <w:bookmarkStart w:id="130" w:name="_Toc448342820"/>
      <w:bookmarkStart w:id="131" w:name="_Toc480565396"/>
      <w:bookmarkStart w:id="132" w:name="_Toc480565628"/>
      <w:bookmarkStart w:id="133" w:name="_Toc488772400"/>
      <w:bookmarkStart w:id="134" w:name="_Toc488773457"/>
      <w:bookmarkStart w:id="135" w:name="_Toc499133397"/>
      <w:bookmarkStart w:id="136" w:name="_Toc499135143"/>
      <w:r w:rsidRPr="00A937B9">
        <w:t>DIPE &gt; Progressivi &gt; Contributi sociali</w:t>
      </w:r>
      <w:bookmarkEnd w:id="126"/>
      <w:bookmarkEnd w:id="127"/>
      <w:bookmarkEnd w:id="128"/>
      <w:bookmarkEnd w:id="129"/>
      <w:bookmarkEnd w:id="130"/>
      <w:bookmarkEnd w:id="131"/>
      <w:bookmarkEnd w:id="132"/>
      <w:bookmarkEnd w:id="133"/>
      <w:bookmarkEnd w:id="134"/>
      <w:bookmarkEnd w:id="135"/>
      <w:bookmarkEnd w:id="136"/>
    </w:p>
    <w:p w:rsidR="00202B72" w:rsidRPr="00A937B9" w:rsidRDefault="00202B72" w:rsidP="00202B72">
      <w:pPr>
        <w:pStyle w:val="CorpoAltF0"/>
        <w:spacing w:before="120"/>
        <w:rPr>
          <w:bCs/>
        </w:rPr>
      </w:pPr>
      <w:r w:rsidRPr="00A937B9">
        <w:rPr>
          <w:bCs/>
        </w:rPr>
        <w:t>L’aggiornamento della mensilità effettua la memorizzazione degli importi di esonero nella quarta pagina della sezione “</w:t>
      </w:r>
      <w:r w:rsidRPr="00A937B9">
        <w:rPr>
          <w:bCs/>
          <w:i/>
        </w:rPr>
        <w:t>Progressivi &gt; Contributi sociali</w:t>
      </w:r>
      <w:r w:rsidRPr="00A937B9">
        <w:rPr>
          <w:bCs/>
        </w:rPr>
        <w:t xml:space="preserve">” di </w:t>
      </w:r>
      <w:r w:rsidRPr="00A937B9">
        <w:rPr>
          <w:b/>
          <w:bCs/>
        </w:rPr>
        <w:t>DIPE</w:t>
      </w:r>
      <w:r w:rsidRPr="00A937B9">
        <w:rPr>
          <w:bCs/>
        </w:rPr>
        <w:t>.</w:t>
      </w:r>
    </w:p>
    <w:p w:rsidR="00202B72" w:rsidRPr="00A937B9" w:rsidRDefault="00202B72" w:rsidP="00202B72">
      <w:pPr>
        <w:pStyle w:val="CorpoAltF0"/>
        <w:spacing w:before="60"/>
      </w:pPr>
      <w:r w:rsidRPr="00A937B9">
        <w:t xml:space="preserve">A tal fine nella suddetta pagina è stato inserito il nuovo campo </w:t>
      </w:r>
      <w:r w:rsidRPr="00A937B9">
        <w:rPr>
          <w:rFonts w:cs="Arial"/>
          <w:iCs/>
        </w:rPr>
        <w:t>“</w:t>
      </w:r>
      <w:r w:rsidRPr="00A937B9">
        <w:rPr>
          <w:rFonts w:cs="Arial"/>
          <w:i/>
          <w:iCs/>
        </w:rPr>
        <w:t>Sgravio trasporti internazionali</w:t>
      </w:r>
      <w:r w:rsidRPr="00A937B9">
        <w:rPr>
          <w:rFonts w:cs="Arial"/>
          <w:iCs/>
        </w:rPr>
        <w:t>”, nel quale il programma di aggiornamento (</w:t>
      </w:r>
      <w:r w:rsidRPr="00A937B9">
        <w:rPr>
          <w:rFonts w:cs="Arial"/>
          <w:b/>
          <w:iCs/>
        </w:rPr>
        <w:t>AGGI</w:t>
      </w:r>
      <w:r w:rsidRPr="00A937B9">
        <w:rPr>
          <w:rFonts w:cs="Arial"/>
          <w:iCs/>
        </w:rPr>
        <w:t>) memorizzerà l’importo di esonero riconosciuto nel mese.</w:t>
      </w:r>
    </w:p>
    <w:p w:rsidR="00202B72" w:rsidRPr="00A937B9" w:rsidRDefault="00202B72" w:rsidP="00202B72">
      <w:pPr>
        <w:pStyle w:val="CorpoAltF0"/>
      </w:pPr>
    </w:p>
    <w:p w:rsidR="00202B72" w:rsidRPr="00A937B9" w:rsidRDefault="00202B72" w:rsidP="00202B72">
      <w:pPr>
        <w:pStyle w:val="CorpoAltF0"/>
        <w:jc w:val="center"/>
      </w:pPr>
      <w:r w:rsidRPr="00A937B9">
        <w:rPr>
          <w:noProof/>
        </w:rPr>
        <w:drawing>
          <wp:inline distT="0" distB="0" distL="0" distR="0" wp14:anchorId="130B271D" wp14:editId="2DE84459">
            <wp:extent cx="5040000" cy="2540354"/>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0000" cy="2540354"/>
                    </a:xfrm>
                    <a:prstGeom prst="rect">
                      <a:avLst/>
                    </a:prstGeom>
                  </pic:spPr>
                </pic:pic>
              </a:graphicData>
            </a:graphic>
          </wp:inline>
        </w:drawing>
      </w:r>
    </w:p>
    <w:p w:rsidR="00202B72" w:rsidRPr="00A937B9" w:rsidRDefault="00202B72" w:rsidP="00202B72">
      <w:pPr>
        <w:pStyle w:val="CorpoAltF0"/>
      </w:pPr>
      <w:r w:rsidRPr="00A937B9">
        <w:br w:type="page"/>
      </w:r>
    </w:p>
    <w:p w:rsidR="00202B72" w:rsidRPr="00A937B9" w:rsidRDefault="00202B72" w:rsidP="00202B72">
      <w:pPr>
        <w:pStyle w:val="CorpoAltF0"/>
      </w:pPr>
    </w:p>
    <w:p w:rsidR="00202B72" w:rsidRPr="00A937B9" w:rsidRDefault="00202B72" w:rsidP="00202B72">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202B72" w:rsidRPr="00A937B9" w:rsidTr="002A4886">
        <w:trPr>
          <w:trHeight w:val="558"/>
        </w:trPr>
        <w:tc>
          <w:tcPr>
            <w:tcW w:w="6874" w:type="dxa"/>
            <w:tcBorders>
              <w:top w:val="nil"/>
              <w:left w:val="nil"/>
              <w:bottom w:val="single" w:sz="12" w:space="0" w:color="auto"/>
              <w:right w:val="nil"/>
            </w:tcBorders>
            <w:vAlign w:val="center"/>
          </w:tcPr>
          <w:p w:rsidR="00202B72" w:rsidRPr="00A937B9" w:rsidRDefault="00202B72" w:rsidP="002A4886">
            <w:pPr>
              <w:pStyle w:val="TS-titolo-01"/>
              <w:outlineLvl w:val="0"/>
            </w:pPr>
            <w:bookmarkStart w:id="137" w:name="DMAG_PrelievoDMAG"/>
            <w:bookmarkStart w:id="138" w:name="_Toc499135144"/>
            <w:bookmarkEnd w:id="137"/>
            <w:r w:rsidRPr="00A937B9">
              <w:t>INPS</w:t>
            </w:r>
            <w:bookmarkEnd w:id="138"/>
          </w:p>
        </w:tc>
        <w:tc>
          <w:tcPr>
            <w:tcW w:w="2901" w:type="dxa"/>
            <w:tcBorders>
              <w:top w:val="single" w:sz="4" w:space="0" w:color="auto"/>
              <w:left w:val="nil"/>
              <w:bottom w:val="single" w:sz="4" w:space="0" w:color="auto"/>
              <w:right w:val="nil"/>
            </w:tcBorders>
            <w:shd w:val="clear" w:color="auto" w:fill="000000"/>
            <w:vAlign w:val="center"/>
          </w:tcPr>
          <w:p w:rsidR="00202B72" w:rsidRPr="00A937B9" w:rsidRDefault="00202B72" w:rsidP="002A4886">
            <w:pPr>
              <w:pStyle w:val="TS-titolo-02"/>
              <w:outlineLvl w:val="0"/>
            </w:pPr>
          </w:p>
        </w:tc>
      </w:tr>
    </w:tbl>
    <w:p w:rsidR="00202B72" w:rsidRPr="00A937B9" w:rsidRDefault="00202B72" w:rsidP="00202B72">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202B72" w:rsidRPr="00A937B9" w:rsidTr="002A4886">
        <w:trPr>
          <w:trHeight w:val="545"/>
        </w:trPr>
        <w:tc>
          <w:tcPr>
            <w:tcW w:w="6874" w:type="dxa"/>
            <w:tcBorders>
              <w:top w:val="single" w:sz="12" w:space="0" w:color="auto"/>
              <w:left w:val="nil"/>
              <w:bottom w:val="nil"/>
              <w:right w:val="nil"/>
            </w:tcBorders>
          </w:tcPr>
          <w:p w:rsidR="00202B72" w:rsidRPr="00A937B9" w:rsidRDefault="00202B72" w:rsidP="002A4886">
            <w:pPr>
              <w:pStyle w:val="Intestazione"/>
              <w:outlineLvl w:val="1"/>
              <w:rPr>
                <w:rFonts w:ascii="Arial" w:hAnsi="Arial" w:cs="Arial"/>
                <w:b/>
                <w:i/>
                <w:sz w:val="24"/>
                <w:szCs w:val="24"/>
              </w:rPr>
            </w:pPr>
            <w:r w:rsidRPr="00A937B9">
              <w:rPr>
                <w:rFonts w:ascii="Arial" w:hAnsi="Arial" w:cs="Arial"/>
                <w:b/>
                <w:i/>
                <w:sz w:val="24"/>
                <w:szCs w:val="24"/>
              </w:rPr>
              <w:t>Agricoltura</w:t>
            </w:r>
          </w:p>
        </w:tc>
        <w:tc>
          <w:tcPr>
            <w:tcW w:w="2901" w:type="dxa"/>
            <w:tcBorders>
              <w:top w:val="single" w:sz="4" w:space="0" w:color="auto"/>
              <w:left w:val="nil"/>
              <w:bottom w:val="nil"/>
              <w:right w:val="nil"/>
            </w:tcBorders>
            <w:shd w:val="clear" w:color="auto" w:fill="D9D9D9" w:themeFill="background1" w:themeFillShade="D9"/>
            <w:vAlign w:val="center"/>
          </w:tcPr>
          <w:p w:rsidR="00202B72" w:rsidRPr="00A937B9" w:rsidRDefault="00202B72" w:rsidP="002A4886">
            <w:pPr>
              <w:pStyle w:val="TS-titolo-Comando"/>
              <w:outlineLvl w:val="1"/>
            </w:pPr>
            <w:bookmarkStart w:id="139" w:name="_Toc499135145"/>
            <w:r w:rsidRPr="00A937B9">
              <w:t>DMAG</w:t>
            </w:r>
            <w:bookmarkEnd w:id="139"/>
          </w:p>
        </w:tc>
      </w:tr>
    </w:tbl>
    <w:p w:rsidR="00202B72" w:rsidRPr="00A937B9" w:rsidRDefault="00202B72" w:rsidP="00202B72">
      <w:pPr>
        <w:pStyle w:val="CorpoAltF0"/>
      </w:pPr>
    </w:p>
    <w:p w:rsidR="00202B72" w:rsidRPr="00A937B9" w:rsidRDefault="00202B72" w:rsidP="00202B72">
      <w:pPr>
        <w:pStyle w:val="TS-titolo-04"/>
      </w:pPr>
      <w:bookmarkStart w:id="140" w:name="_Toc499135146"/>
      <w:r w:rsidRPr="00A937B9">
        <w:t>Gestione modello DMAG</w:t>
      </w:r>
      <w:bookmarkEnd w:id="140"/>
    </w:p>
    <w:p w:rsidR="00202B72" w:rsidRPr="00A937B9" w:rsidRDefault="00202B72" w:rsidP="00202B72">
      <w:pPr>
        <w:pStyle w:val="TS-titolo-05"/>
      </w:pPr>
      <w:bookmarkStart w:id="141" w:name="_Toc499135147"/>
      <w:r w:rsidRPr="00A937B9">
        <w:t>Prelievo dati DMAG</w:t>
      </w:r>
      <w:bookmarkEnd w:id="141"/>
    </w:p>
    <w:p w:rsidR="00202B72" w:rsidRPr="00A937B9" w:rsidRDefault="00202B72" w:rsidP="00202B72">
      <w:pPr>
        <w:pStyle w:val="CorpoAltF0"/>
        <w:spacing w:before="120"/>
      </w:pPr>
      <w:r w:rsidRPr="00A937B9">
        <w:rPr>
          <w:u w:val="single"/>
        </w:rPr>
        <w:t>A partire dalla mensilità di novembre 2017</w:t>
      </w:r>
      <w:r w:rsidRPr="00A937B9">
        <w:t>, in fase di quadratura della mensilità (</w:t>
      </w:r>
      <w:r w:rsidRPr="00A937B9">
        <w:rPr>
          <w:b/>
        </w:rPr>
        <w:t>QUADR</w:t>
      </w:r>
      <w:r w:rsidRPr="00A937B9">
        <w:t>), per le aziende agricole</w:t>
      </w:r>
      <w:r w:rsidRPr="00A937B9">
        <w:rPr>
          <w:rFonts w:cs="Arial"/>
        </w:rPr>
        <w:t>,</w:t>
      </w:r>
      <w:r w:rsidRPr="00A937B9">
        <w:t xml:space="preserve"> il programma provvederà automaticamente al prelievo e trasferimento in “</w:t>
      </w:r>
      <w:r w:rsidRPr="00A937B9">
        <w:rPr>
          <w:i/>
        </w:rPr>
        <w:t>Gestione modello DMAG</w:t>
      </w:r>
      <w:r w:rsidRPr="00A937B9">
        <w:t>” dei dati mensili relativi ai lavoratori agricoli.</w:t>
      </w:r>
    </w:p>
    <w:p w:rsidR="00202B72" w:rsidRPr="00A937B9" w:rsidRDefault="00202B72" w:rsidP="00202B72">
      <w:pPr>
        <w:pStyle w:val="CorpoAltF0"/>
        <w:spacing w:before="120"/>
      </w:pPr>
      <w:r w:rsidRPr="00A937B9">
        <w:t>Tale prelievo può essere effettuato anche mediante l’apposita funzione “</w:t>
      </w:r>
      <w:r w:rsidRPr="00A937B9">
        <w:rPr>
          <w:i/>
        </w:rPr>
        <w:t>Prelievo dati dai cedolini</w:t>
      </w:r>
      <w:r w:rsidRPr="00A937B9">
        <w:t xml:space="preserve">” del comando </w:t>
      </w:r>
      <w:r w:rsidRPr="00A937B9">
        <w:rPr>
          <w:b/>
        </w:rPr>
        <w:t>DMAG</w:t>
      </w:r>
      <w:r w:rsidRPr="00A937B9">
        <w:t>, nella quale è stato inserito il nuovo campo “</w:t>
      </w:r>
      <w:r w:rsidRPr="00A937B9">
        <w:rPr>
          <w:b/>
          <w:i/>
        </w:rPr>
        <w:t>Tipologia prelievo</w:t>
      </w:r>
      <w:r w:rsidRPr="00A937B9">
        <w:t>”:</w:t>
      </w:r>
    </w:p>
    <w:p w:rsidR="00202B72" w:rsidRPr="00A937B9" w:rsidRDefault="00202B72" w:rsidP="00202B72">
      <w:pPr>
        <w:pStyle w:val="CorpoAltF0"/>
        <w:spacing w:before="120"/>
        <w:jc w:val="center"/>
      </w:pPr>
      <w:r w:rsidRPr="00A937B9">
        <w:rPr>
          <w:noProof/>
        </w:rPr>
        <w:drawing>
          <wp:inline distT="0" distB="0" distL="0" distR="0" wp14:anchorId="101C9FCA" wp14:editId="352AD0EA">
            <wp:extent cx="5040000" cy="1814318"/>
            <wp:effectExtent l="0" t="0" r="0" b="0"/>
            <wp:docPr id="2" name="Immagine 2"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789956.tmp"/>
                    <pic:cNvPicPr/>
                  </pic:nvPicPr>
                  <pic:blipFill>
                    <a:blip r:embed="rId18">
                      <a:extLst>
                        <a:ext uri="{28A0092B-C50C-407E-A947-70E740481C1C}">
                          <a14:useLocalDpi xmlns:a14="http://schemas.microsoft.com/office/drawing/2010/main" val="0"/>
                        </a:ext>
                      </a:extLst>
                    </a:blip>
                    <a:stretch>
                      <a:fillRect/>
                    </a:stretch>
                  </pic:blipFill>
                  <pic:spPr>
                    <a:xfrm>
                      <a:off x="0" y="0"/>
                      <a:ext cx="5040000" cy="1814318"/>
                    </a:xfrm>
                    <a:prstGeom prst="rect">
                      <a:avLst/>
                    </a:prstGeom>
                  </pic:spPr>
                </pic:pic>
              </a:graphicData>
            </a:graphic>
          </wp:inline>
        </w:drawing>
      </w:r>
    </w:p>
    <w:p w:rsidR="00202B72" w:rsidRPr="00A937B9" w:rsidRDefault="00202B72" w:rsidP="00202B72">
      <w:pPr>
        <w:pStyle w:val="CorpoAltF0"/>
        <w:spacing w:before="120"/>
      </w:pPr>
      <w:r w:rsidRPr="00A937B9">
        <w:t>In tale campo è possibile indicare il valore “</w:t>
      </w:r>
      <w:r w:rsidRPr="00A937B9">
        <w:rPr>
          <w:b/>
        </w:rPr>
        <w:t>T</w:t>
      </w:r>
      <w:r w:rsidRPr="00A937B9">
        <w:t>” se si intende effettuare (come in precedenza) il prelievo dei dati relativi all’intero trimestre, oppure il valore “</w:t>
      </w:r>
      <w:r w:rsidRPr="00A937B9">
        <w:rPr>
          <w:b/>
        </w:rPr>
        <w:t>M</w:t>
      </w:r>
      <w:r w:rsidRPr="00A937B9">
        <w:t>” per il prelievo dei dati relativi ad un singolo mese:</w:t>
      </w:r>
    </w:p>
    <w:p w:rsidR="00202B72" w:rsidRPr="00A937B9" w:rsidRDefault="00202B72" w:rsidP="00202B72">
      <w:pPr>
        <w:pStyle w:val="CorpoAltF0"/>
        <w:spacing w:before="120"/>
      </w:pPr>
      <w:r w:rsidRPr="00A937B9">
        <w:t>Conseguentemente, nel successivo campo “</w:t>
      </w:r>
      <w:r w:rsidRPr="00A937B9">
        <w:rPr>
          <w:i/>
        </w:rPr>
        <w:t>Mese / Trimestre</w:t>
      </w:r>
      <w:r w:rsidRPr="00A937B9">
        <w:t>” dovrà essere indicato rispettivamente il trimestre oppure il singolo mese dal quale procedere al prelievo dei dati.</w:t>
      </w:r>
    </w:p>
    <w:p w:rsidR="00202B72" w:rsidRPr="00A937B9" w:rsidRDefault="00202B72" w:rsidP="00202B72">
      <w:pPr>
        <w:pStyle w:val="CorpoAltF0"/>
        <w:spacing w:before="120"/>
      </w:pPr>
      <w:r w:rsidRPr="00A937B9">
        <w:t>In funzione di quanto sopra, si sottolinea che sarà cura dell’utente effettuare il prelievo dei dati relativi alla mensilità di ottobre 2017 mediante la suddetta funzione “</w:t>
      </w:r>
      <w:r w:rsidRPr="00A937B9">
        <w:rPr>
          <w:i/>
        </w:rPr>
        <w:t>Prelievo dati dai cedolini</w:t>
      </w:r>
      <w:r w:rsidRPr="00A937B9">
        <w:t xml:space="preserve">” di </w:t>
      </w:r>
      <w:r w:rsidRPr="00A937B9">
        <w:rPr>
          <w:b/>
        </w:rPr>
        <w:t>DMAG</w:t>
      </w:r>
      <w:r w:rsidRPr="00A937B9">
        <w:t xml:space="preserve"> (eseguito con riferimento alla singola mensilità oppure, successivamente, con riferimento all’intero 4° trimestre 2017).</w:t>
      </w:r>
    </w:p>
    <w:p w:rsidR="00202B72" w:rsidRPr="00A937B9" w:rsidRDefault="00202B72" w:rsidP="00202B72">
      <w:pPr>
        <w:pStyle w:val="CorpoAltF0"/>
      </w:pPr>
    </w:p>
    <w:p w:rsidR="00202B72" w:rsidRPr="00A937B9" w:rsidRDefault="00202B72" w:rsidP="00202B72">
      <w:pPr>
        <w:pStyle w:val="TS-titolo-05"/>
      </w:pPr>
      <w:bookmarkStart w:id="142" w:name="_Toc499135148"/>
      <w:r w:rsidRPr="00A937B9">
        <w:t>Calcolo Retribuzione teorica giornaliera e Retribuzione persa giornaliera</w:t>
      </w:r>
      <w:bookmarkEnd w:id="142"/>
    </w:p>
    <w:p w:rsidR="00202B72" w:rsidRPr="00A937B9" w:rsidRDefault="00202B72" w:rsidP="00202B72">
      <w:pPr>
        <w:pStyle w:val="CorpoAltF0"/>
        <w:spacing w:before="120"/>
      </w:pPr>
      <w:r w:rsidRPr="00A937B9">
        <w:t xml:space="preserve">Ai fini del calcolo dei valori di Retribuzione teorica giornaliera e Retribuzione persa giornaliera da riportare in denuncia DMAG il programma di prelievo dati DMAG è stato modificato al fine di considerare la retribuzione determinata per lo specifico fondo agricolo di riferimento (retribuzione determinata considerando gli elementi economici territoriali previsti per la provincia/regione di riferimento del fondo), a condizione che tale modalità di calcolo della retribuzione risulti applicata nell’elaborazione della mensilità interessata dal prelievo dati DMAG (vedi </w:t>
      </w:r>
      <w:proofErr w:type="spellStart"/>
      <w:r w:rsidRPr="00A937B9">
        <w:t>vers</w:t>
      </w:r>
      <w:proofErr w:type="spellEnd"/>
      <w:r w:rsidRPr="00A937B9">
        <w:t>. PAGHE 2017.2.0).</w:t>
      </w:r>
    </w:p>
    <w:p w:rsidR="00202B72" w:rsidRPr="00A937B9" w:rsidRDefault="00202B72" w:rsidP="00202B72">
      <w:pPr>
        <w:rPr>
          <w:rFonts w:ascii="Arial" w:hAnsi="Arial"/>
          <w:sz w:val="20"/>
          <w:szCs w:val="20"/>
        </w:rPr>
      </w:pPr>
      <w:r w:rsidRPr="00A937B9">
        <w:br w:type="page"/>
      </w:r>
    </w:p>
    <w:p w:rsidR="00202B72" w:rsidRPr="00A937B9" w:rsidRDefault="00202B72" w:rsidP="00202B72">
      <w:pPr>
        <w:pStyle w:val="CorpoAltF0"/>
      </w:pPr>
    </w:p>
    <w:p w:rsidR="00202B72" w:rsidRPr="00A937B9" w:rsidRDefault="00202B72" w:rsidP="00202B72">
      <w:pPr>
        <w:pStyle w:val="TS-titolo-05"/>
      </w:pPr>
      <w:bookmarkStart w:id="143" w:name="_Toc499135149"/>
      <w:r w:rsidRPr="00A937B9">
        <w:t>Prelievo dati eventi CISOA</w:t>
      </w:r>
      <w:bookmarkEnd w:id="143"/>
    </w:p>
    <w:p w:rsidR="00202B72" w:rsidRPr="00A937B9" w:rsidRDefault="00202B72" w:rsidP="00202B72">
      <w:pPr>
        <w:pStyle w:val="CorpoAltF0"/>
        <w:spacing w:before="120"/>
      </w:pPr>
      <w:r w:rsidRPr="00A937B9">
        <w:t xml:space="preserve">Il programma di prelievo dei dati DMAG (comando </w:t>
      </w:r>
      <w:r w:rsidRPr="00A937B9">
        <w:rPr>
          <w:b/>
        </w:rPr>
        <w:t>QUADR</w:t>
      </w:r>
      <w:r w:rsidRPr="00A937B9">
        <w:t xml:space="preserve"> o funzione “</w:t>
      </w:r>
      <w:r w:rsidRPr="00A937B9">
        <w:rPr>
          <w:i/>
        </w:rPr>
        <w:t>Prelievo dati dai cedolini</w:t>
      </w:r>
      <w:r w:rsidRPr="00A937B9">
        <w:t xml:space="preserve">” di </w:t>
      </w:r>
      <w:r w:rsidRPr="00A937B9">
        <w:rPr>
          <w:b/>
        </w:rPr>
        <w:t>DMAG</w:t>
      </w:r>
      <w:r w:rsidRPr="00A937B9">
        <w:t>) è stato implementato al fine di prelevare e trasferire in denuncia DMAG le informazioni richieste con riferimento agli eventi di CISOA autorizzati.</w:t>
      </w:r>
    </w:p>
    <w:p w:rsidR="00202B72" w:rsidRPr="00A937B9" w:rsidRDefault="00202B72" w:rsidP="00202B72">
      <w:pPr>
        <w:pStyle w:val="CorpoAltF0"/>
        <w:spacing w:before="120"/>
      </w:pPr>
      <w:r w:rsidRPr="00A937B9">
        <w:t>A tal fine, con il prelievo del mese di liquidazione dell’autorizzazione (campo “</w:t>
      </w:r>
      <w:r w:rsidRPr="00A937B9">
        <w:rPr>
          <w:i/>
        </w:rPr>
        <w:t xml:space="preserve">Mese / anno inizio </w:t>
      </w:r>
      <w:proofErr w:type="spellStart"/>
      <w:r w:rsidRPr="00A937B9">
        <w:rPr>
          <w:i/>
        </w:rPr>
        <w:t>rec</w:t>
      </w:r>
      <w:proofErr w:type="spellEnd"/>
      <w:r w:rsidRPr="00A937B9">
        <w:rPr>
          <w:i/>
        </w:rPr>
        <w:t xml:space="preserve">. </w:t>
      </w:r>
      <w:proofErr w:type="spellStart"/>
      <w:r w:rsidRPr="00A937B9">
        <w:rPr>
          <w:i/>
        </w:rPr>
        <w:t>int</w:t>
      </w:r>
      <w:proofErr w:type="spellEnd"/>
      <w:r w:rsidRPr="00A937B9">
        <w:rPr>
          <w:i/>
        </w:rPr>
        <w:t>.</w:t>
      </w:r>
      <w:r w:rsidRPr="00A937B9">
        <w:t>” in “</w:t>
      </w:r>
      <w:r w:rsidRPr="00A937B9">
        <w:rPr>
          <w:i/>
        </w:rPr>
        <w:t>Gestione domanda CISOA</w:t>
      </w:r>
      <w:r w:rsidRPr="00A937B9">
        <w:t>”), il programma provvederà a riportare in denuncia DMAG, con riferimento al mese di competenza dell’evento di CISOA, un rigo con le seguenti informazioni: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686"/>
      </w:tblGrid>
      <w:tr w:rsidR="00202B72" w:rsidRPr="00A937B9" w:rsidTr="002A4886">
        <w:tc>
          <w:tcPr>
            <w:tcW w:w="2235" w:type="dxa"/>
          </w:tcPr>
          <w:p w:rsidR="00202B72" w:rsidRPr="00A937B9" w:rsidRDefault="00202B72" w:rsidP="002A4886">
            <w:pPr>
              <w:pStyle w:val="CorpoAltF0"/>
              <w:spacing w:before="120"/>
              <w:rPr>
                <w:i/>
              </w:rPr>
            </w:pPr>
            <w:r w:rsidRPr="00A937B9">
              <w:rPr>
                <w:i/>
              </w:rPr>
              <w:t>Tipo retribuzione:</w:t>
            </w:r>
          </w:p>
        </w:tc>
        <w:tc>
          <w:tcPr>
            <w:tcW w:w="7686" w:type="dxa"/>
          </w:tcPr>
          <w:p w:rsidR="00202B72" w:rsidRPr="00A937B9" w:rsidRDefault="00202B72" w:rsidP="002A4886">
            <w:pPr>
              <w:pStyle w:val="CorpoAltF0"/>
              <w:spacing w:before="120"/>
            </w:pPr>
            <w:r w:rsidRPr="00A937B9">
              <w:t>valore “</w:t>
            </w:r>
            <w:r w:rsidRPr="00A937B9">
              <w:rPr>
                <w:b/>
              </w:rPr>
              <w:t>C</w:t>
            </w:r>
            <w:r w:rsidRPr="00A937B9">
              <w:t>”;</w:t>
            </w:r>
          </w:p>
          <w:p w:rsidR="00202B72" w:rsidRPr="00A937B9" w:rsidRDefault="00202B72" w:rsidP="002A4886">
            <w:pPr>
              <w:pStyle w:val="CorpoAltF0"/>
            </w:pPr>
          </w:p>
        </w:tc>
      </w:tr>
      <w:tr w:rsidR="00202B72" w:rsidRPr="00A937B9" w:rsidTr="002A4886">
        <w:tc>
          <w:tcPr>
            <w:tcW w:w="2235" w:type="dxa"/>
          </w:tcPr>
          <w:p w:rsidR="00202B72" w:rsidRPr="00A937B9" w:rsidRDefault="00202B72" w:rsidP="002A4886">
            <w:pPr>
              <w:pStyle w:val="CorpoAltF0"/>
              <w:spacing w:before="120"/>
              <w:rPr>
                <w:i/>
              </w:rPr>
            </w:pPr>
            <w:r w:rsidRPr="00A937B9">
              <w:rPr>
                <w:i/>
              </w:rPr>
              <w:t>Numero giornate:</w:t>
            </w:r>
          </w:p>
        </w:tc>
        <w:tc>
          <w:tcPr>
            <w:tcW w:w="7686" w:type="dxa"/>
          </w:tcPr>
          <w:p w:rsidR="00202B72" w:rsidRPr="00A937B9" w:rsidRDefault="00202B72" w:rsidP="002A4886">
            <w:pPr>
              <w:pStyle w:val="CorpoAltF0"/>
              <w:spacing w:before="120"/>
            </w:pPr>
            <w:r w:rsidRPr="00A937B9">
              <w:t>numero di giornate indennizzate (autorizzate) per CISOA, evidenziato nel prospetto di liquidazione dell’autorizzazione dell’evento.</w:t>
            </w:r>
          </w:p>
          <w:p w:rsidR="00202B72" w:rsidRPr="00A937B9" w:rsidRDefault="00202B72" w:rsidP="002A4886">
            <w:pPr>
              <w:pStyle w:val="CorpoAltF0"/>
            </w:pPr>
          </w:p>
        </w:tc>
      </w:tr>
      <w:tr w:rsidR="00202B72" w:rsidRPr="00A937B9" w:rsidTr="002A4886">
        <w:tc>
          <w:tcPr>
            <w:tcW w:w="2235" w:type="dxa"/>
          </w:tcPr>
          <w:p w:rsidR="00202B72" w:rsidRPr="00A937B9" w:rsidRDefault="00202B72" w:rsidP="002A4886">
            <w:pPr>
              <w:pStyle w:val="CorpoAltF0"/>
              <w:spacing w:before="120"/>
              <w:jc w:val="left"/>
              <w:rPr>
                <w:i/>
              </w:rPr>
            </w:pPr>
            <w:r w:rsidRPr="00A937B9">
              <w:rPr>
                <w:i/>
              </w:rPr>
              <w:t>Retribuzione Teorica giornaliera:</w:t>
            </w:r>
          </w:p>
          <w:p w:rsidR="00202B72" w:rsidRPr="00A937B9" w:rsidRDefault="00202B72" w:rsidP="002A4886">
            <w:pPr>
              <w:pStyle w:val="CorpoAltF0"/>
              <w:jc w:val="left"/>
              <w:rPr>
                <w:i/>
              </w:rPr>
            </w:pPr>
          </w:p>
        </w:tc>
        <w:tc>
          <w:tcPr>
            <w:tcW w:w="7686" w:type="dxa"/>
          </w:tcPr>
          <w:p w:rsidR="00202B72" w:rsidRPr="00A937B9" w:rsidRDefault="00202B72" w:rsidP="002A4886">
            <w:pPr>
              <w:pStyle w:val="CorpoAltF0"/>
              <w:spacing w:before="120"/>
            </w:pPr>
            <w:r w:rsidRPr="00A937B9">
              <w:t xml:space="preserve">retribuzione teorica calcolata con le modalità descritte con la </w:t>
            </w:r>
            <w:proofErr w:type="spellStart"/>
            <w:r w:rsidRPr="00A937B9">
              <w:t>vers</w:t>
            </w:r>
            <w:proofErr w:type="spellEnd"/>
            <w:r w:rsidRPr="00A937B9">
              <w:t xml:space="preserve">. PAGHE 2017.1.3 (in linea generale, paga oraria x ore </w:t>
            </w:r>
            <w:proofErr w:type="spellStart"/>
            <w:r w:rsidRPr="00A937B9">
              <w:t>contratt</w:t>
            </w:r>
            <w:proofErr w:type="spellEnd"/>
            <w:r w:rsidRPr="00A937B9">
              <w:t>. sett. / 6), sulla base della retribuzione determinata considerando gli elementi economici territoriali previsti per la provincia/regione di riferimento dello specifico fondo associato all’evento di CISOA.</w:t>
            </w:r>
          </w:p>
        </w:tc>
      </w:tr>
      <w:tr w:rsidR="00202B72" w:rsidRPr="00A937B9" w:rsidTr="002A4886">
        <w:tc>
          <w:tcPr>
            <w:tcW w:w="2235" w:type="dxa"/>
          </w:tcPr>
          <w:p w:rsidR="00202B72" w:rsidRPr="00A937B9" w:rsidRDefault="00202B72" w:rsidP="002A4886">
            <w:pPr>
              <w:pStyle w:val="CorpoAltF0"/>
              <w:spacing w:before="120"/>
              <w:jc w:val="left"/>
              <w:rPr>
                <w:i/>
              </w:rPr>
            </w:pPr>
            <w:r w:rsidRPr="00A937B9">
              <w:rPr>
                <w:i/>
              </w:rPr>
              <w:t>Retribuzione Persa giornaliera:</w:t>
            </w:r>
          </w:p>
        </w:tc>
        <w:tc>
          <w:tcPr>
            <w:tcW w:w="7686" w:type="dxa"/>
          </w:tcPr>
          <w:p w:rsidR="00202B72" w:rsidRPr="00A937B9" w:rsidRDefault="00202B72" w:rsidP="002A4886">
            <w:pPr>
              <w:pStyle w:val="CorpoAltF0"/>
              <w:spacing w:before="120"/>
            </w:pPr>
            <w:r w:rsidRPr="00A937B9">
              <w:t>tale importo viene determinato verificando la presenza di un importo di integrazione c/ditta all’interno della liquidazione dell’autorizzazione dell’evento di CISOA:</w:t>
            </w:r>
          </w:p>
          <w:p w:rsidR="00202B72" w:rsidRPr="00A937B9" w:rsidRDefault="00202B72" w:rsidP="002A4886">
            <w:pPr>
              <w:pStyle w:val="CorpoAltF0"/>
              <w:numPr>
                <w:ilvl w:val="0"/>
                <w:numId w:val="7"/>
              </w:numPr>
              <w:spacing w:before="40"/>
              <w:ind w:left="459" w:hanging="357"/>
            </w:pPr>
            <w:r w:rsidRPr="00A937B9">
              <w:t>in assenza di integrazione c/ditta, la retribuzione persa giornaliera sarà pari alla retribuzione teorica giornaliera;</w:t>
            </w:r>
          </w:p>
          <w:p w:rsidR="00202B72" w:rsidRPr="00A937B9" w:rsidRDefault="00202B72" w:rsidP="002A4886">
            <w:pPr>
              <w:pStyle w:val="CorpoAltF0"/>
              <w:numPr>
                <w:ilvl w:val="0"/>
                <w:numId w:val="7"/>
              </w:numPr>
              <w:spacing w:before="40"/>
              <w:ind w:left="459" w:hanging="357"/>
            </w:pPr>
            <w:r w:rsidRPr="00A937B9">
              <w:t>in presenza di integrazione c/ditta, la retribuzione persa sarà così determinata:</w:t>
            </w:r>
          </w:p>
          <w:p w:rsidR="00202B72" w:rsidRPr="00A937B9" w:rsidRDefault="00202B72" w:rsidP="002A4886">
            <w:pPr>
              <w:pStyle w:val="CorpoAltF0"/>
              <w:spacing w:before="40"/>
              <w:ind w:left="459"/>
            </w:pPr>
            <w:r w:rsidRPr="00A937B9">
              <w:t>[(</w:t>
            </w:r>
            <w:proofErr w:type="spellStart"/>
            <w:r w:rsidRPr="00A937B9">
              <w:t>Retrib</w:t>
            </w:r>
            <w:proofErr w:type="spellEnd"/>
            <w:r w:rsidRPr="00A937B9">
              <w:t xml:space="preserve">. Teorica </w:t>
            </w:r>
            <w:proofErr w:type="spellStart"/>
            <w:r w:rsidRPr="00A937B9">
              <w:t>giorn</w:t>
            </w:r>
            <w:proofErr w:type="spellEnd"/>
            <w:r w:rsidRPr="00A937B9">
              <w:t xml:space="preserve">. x Giorni CISOA) – </w:t>
            </w:r>
            <w:proofErr w:type="spellStart"/>
            <w:r w:rsidRPr="00A937B9">
              <w:t>Imp</w:t>
            </w:r>
            <w:proofErr w:type="spellEnd"/>
            <w:r w:rsidRPr="00A937B9">
              <w:t>. c/ditta] / Giorni CISOA.</w:t>
            </w:r>
          </w:p>
          <w:p w:rsidR="00202B72" w:rsidRPr="00A937B9" w:rsidRDefault="00202B72" w:rsidP="002A4886">
            <w:pPr>
              <w:pStyle w:val="CorpoAltF0"/>
            </w:pPr>
          </w:p>
        </w:tc>
      </w:tr>
      <w:tr w:rsidR="00202B72" w:rsidRPr="00A937B9" w:rsidTr="002A4886">
        <w:tc>
          <w:tcPr>
            <w:tcW w:w="2235" w:type="dxa"/>
          </w:tcPr>
          <w:p w:rsidR="00202B72" w:rsidRPr="00A937B9" w:rsidRDefault="00202B72" w:rsidP="002A4886">
            <w:pPr>
              <w:pStyle w:val="CorpoAltF0"/>
              <w:spacing w:before="120"/>
              <w:jc w:val="left"/>
              <w:rPr>
                <w:i/>
              </w:rPr>
            </w:pPr>
            <w:r w:rsidRPr="00A937B9">
              <w:rPr>
                <w:i/>
              </w:rPr>
              <w:t>Giorno inizio / fine evento:</w:t>
            </w:r>
          </w:p>
        </w:tc>
        <w:tc>
          <w:tcPr>
            <w:tcW w:w="7686" w:type="dxa"/>
          </w:tcPr>
          <w:p w:rsidR="00202B72" w:rsidRPr="00A937B9" w:rsidRDefault="00202B72" w:rsidP="002A4886">
            <w:pPr>
              <w:pStyle w:val="CorpoAltF0"/>
              <w:spacing w:before="120"/>
            </w:pPr>
            <w:r w:rsidRPr="00A937B9">
              <w:t>date di inizio e fine dell’evento indicate nella relativa “</w:t>
            </w:r>
            <w:r w:rsidRPr="00A937B9">
              <w:rPr>
                <w:i/>
              </w:rPr>
              <w:t>Gestione domanda CISOA</w:t>
            </w:r>
            <w:r w:rsidRPr="00A937B9">
              <w:t xml:space="preserve">” (comando </w:t>
            </w:r>
            <w:r w:rsidRPr="00A937B9">
              <w:rPr>
                <w:b/>
              </w:rPr>
              <w:t>CISOA</w:t>
            </w:r>
            <w:r w:rsidRPr="00A937B9">
              <w:t>); in caso di evento con inizio precedente e/o fine successiva al mese di riferimento, verrà riportata rispettivamente il primo e/o l’ultimo giorno di tale mese.</w:t>
            </w:r>
          </w:p>
        </w:tc>
      </w:tr>
      <w:tr w:rsidR="00202B72" w:rsidRPr="00A937B9" w:rsidTr="002A4886">
        <w:tc>
          <w:tcPr>
            <w:tcW w:w="2235" w:type="dxa"/>
          </w:tcPr>
          <w:p w:rsidR="00202B72" w:rsidRPr="00A937B9" w:rsidRDefault="00202B72" w:rsidP="002A4886">
            <w:pPr>
              <w:pStyle w:val="CorpoAltF0"/>
              <w:spacing w:before="120"/>
              <w:jc w:val="left"/>
              <w:rPr>
                <w:i/>
              </w:rPr>
            </w:pPr>
            <w:r w:rsidRPr="00A937B9">
              <w:rPr>
                <w:i/>
              </w:rPr>
              <w:t>Ticket CISOA:</w:t>
            </w:r>
          </w:p>
          <w:p w:rsidR="00202B72" w:rsidRPr="00A937B9" w:rsidRDefault="00202B72" w:rsidP="002A4886">
            <w:pPr>
              <w:pStyle w:val="CorpoAltF0"/>
              <w:spacing w:before="60"/>
              <w:jc w:val="left"/>
              <w:rPr>
                <w:i/>
              </w:rPr>
            </w:pPr>
            <w:r w:rsidRPr="00A937B9">
              <w:rPr>
                <w:i/>
              </w:rPr>
              <w:t>N. autorizzazione CISOA:</w:t>
            </w:r>
          </w:p>
          <w:p w:rsidR="00202B72" w:rsidRPr="00A937B9" w:rsidRDefault="00202B72" w:rsidP="002A4886">
            <w:pPr>
              <w:pStyle w:val="CorpoAltF0"/>
            </w:pPr>
          </w:p>
        </w:tc>
        <w:tc>
          <w:tcPr>
            <w:tcW w:w="7686" w:type="dxa"/>
          </w:tcPr>
          <w:p w:rsidR="00202B72" w:rsidRPr="00A937B9" w:rsidRDefault="00202B72" w:rsidP="002A4886">
            <w:pPr>
              <w:pStyle w:val="CorpoAltF0"/>
              <w:spacing w:before="120"/>
            </w:pPr>
            <w:r w:rsidRPr="00A937B9">
              <w:t>“</w:t>
            </w:r>
            <w:r w:rsidRPr="00A937B9">
              <w:rPr>
                <w:i/>
              </w:rPr>
              <w:t>Numero ticket</w:t>
            </w:r>
            <w:r w:rsidRPr="00A937B9">
              <w:t>” e “</w:t>
            </w:r>
            <w:r w:rsidRPr="00A937B9">
              <w:rPr>
                <w:i/>
              </w:rPr>
              <w:t>Numero autorizzazione</w:t>
            </w:r>
            <w:r w:rsidRPr="00A937B9">
              <w:t>” indicati nel riquadro “</w:t>
            </w:r>
            <w:r w:rsidRPr="00A937B9">
              <w:rPr>
                <w:i/>
              </w:rPr>
              <w:t>Dati autorizzazione</w:t>
            </w:r>
            <w:r w:rsidRPr="00A937B9">
              <w:t>” della relativa domanda CISOA.</w:t>
            </w:r>
          </w:p>
        </w:tc>
      </w:tr>
      <w:tr w:rsidR="00202B72" w:rsidRPr="00A937B9" w:rsidTr="002A4886">
        <w:tc>
          <w:tcPr>
            <w:tcW w:w="2235" w:type="dxa"/>
          </w:tcPr>
          <w:p w:rsidR="00202B72" w:rsidRPr="00A937B9" w:rsidRDefault="00202B72" w:rsidP="002A4886">
            <w:pPr>
              <w:pStyle w:val="CorpoAltF0"/>
              <w:spacing w:before="120"/>
              <w:jc w:val="left"/>
              <w:rPr>
                <w:i/>
              </w:rPr>
            </w:pPr>
            <w:r w:rsidRPr="00A937B9">
              <w:rPr>
                <w:i/>
              </w:rPr>
              <w:t>Retribuzione Giornaliera MP:</w:t>
            </w:r>
          </w:p>
        </w:tc>
        <w:tc>
          <w:tcPr>
            <w:tcW w:w="7686" w:type="dxa"/>
          </w:tcPr>
          <w:p w:rsidR="00202B72" w:rsidRPr="00A937B9" w:rsidRDefault="00202B72" w:rsidP="002A4886">
            <w:pPr>
              <w:pStyle w:val="CorpoAltF0"/>
              <w:spacing w:before="120"/>
            </w:pPr>
            <w:r w:rsidRPr="00A937B9">
              <w:t>retribuzione media giornaliera del mese precedente a quello di inizio dell’evento, rilevata dalla rispettiva casella “</w:t>
            </w:r>
            <w:r w:rsidRPr="00A937B9">
              <w:rPr>
                <w:i/>
              </w:rPr>
              <w:t>R.M.G.</w:t>
            </w:r>
            <w:r w:rsidRPr="00A937B9">
              <w:t>” della sezione “</w:t>
            </w:r>
            <w:r w:rsidRPr="00A937B9">
              <w:rPr>
                <w:i/>
              </w:rPr>
              <w:t>Elenco dipendenti</w:t>
            </w:r>
            <w:r w:rsidRPr="00A937B9">
              <w:t>” della domanda CISOA.</w:t>
            </w:r>
          </w:p>
          <w:p w:rsidR="00202B72" w:rsidRPr="00A937B9" w:rsidRDefault="00202B72" w:rsidP="002A4886">
            <w:pPr>
              <w:pStyle w:val="CorpoAltF0"/>
            </w:pPr>
          </w:p>
        </w:tc>
      </w:tr>
      <w:tr w:rsidR="00202B72" w:rsidRPr="00A937B9" w:rsidTr="002A4886">
        <w:tc>
          <w:tcPr>
            <w:tcW w:w="2235" w:type="dxa"/>
          </w:tcPr>
          <w:p w:rsidR="00202B72" w:rsidRPr="00A937B9" w:rsidRDefault="00202B72" w:rsidP="002A4886">
            <w:pPr>
              <w:pStyle w:val="CorpoAltF0"/>
              <w:spacing w:before="120"/>
              <w:jc w:val="left"/>
              <w:rPr>
                <w:i/>
              </w:rPr>
            </w:pPr>
            <w:r w:rsidRPr="00A937B9">
              <w:rPr>
                <w:i/>
              </w:rPr>
              <w:t>N. gg lavorati MP:</w:t>
            </w:r>
          </w:p>
        </w:tc>
        <w:tc>
          <w:tcPr>
            <w:tcW w:w="7686" w:type="dxa"/>
          </w:tcPr>
          <w:p w:rsidR="00202B72" w:rsidRPr="00A937B9" w:rsidRDefault="00202B72" w:rsidP="002A4886">
            <w:pPr>
              <w:pStyle w:val="CorpoAltF0"/>
              <w:spacing w:before="120"/>
            </w:pPr>
            <w:r w:rsidRPr="00A937B9">
              <w:t>numero di giornate lavorate/retribuite nel mese precedente l’inizio dell’evento, rilevato dal “</w:t>
            </w:r>
            <w:r w:rsidRPr="00A937B9">
              <w:rPr>
                <w:i/>
              </w:rPr>
              <w:t>Dettaglio retribuzione</w:t>
            </w:r>
            <w:r w:rsidRPr="00A937B9">
              <w:t>” della sezione “</w:t>
            </w:r>
            <w:r w:rsidRPr="00A937B9">
              <w:rPr>
                <w:i/>
              </w:rPr>
              <w:t>Elenco dipendenti</w:t>
            </w:r>
            <w:r w:rsidRPr="00A937B9">
              <w:t>” della domanda di CISOA (F4 sulla specifica matricola, campo “</w:t>
            </w:r>
            <w:r w:rsidRPr="00A937B9">
              <w:rPr>
                <w:i/>
              </w:rPr>
              <w:t>Divisore</w:t>
            </w:r>
            <w:r w:rsidRPr="00A937B9">
              <w:t>” della “</w:t>
            </w:r>
            <w:r w:rsidRPr="00A937B9">
              <w:rPr>
                <w:i/>
              </w:rPr>
              <w:t>Retribuzione</w:t>
            </w:r>
            <w:r w:rsidRPr="00A937B9">
              <w:t>”).</w:t>
            </w:r>
          </w:p>
          <w:p w:rsidR="00202B72" w:rsidRPr="00A937B9" w:rsidRDefault="00202B72" w:rsidP="002A4886">
            <w:pPr>
              <w:pStyle w:val="CorpoAltF0"/>
            </w:pPr>
          </w:p>
        </w:tc>
      </w:tr>
      <w:tr w:rsidR="00202B72" w:rsidRPr="00A937B9" w:rsidTr="002A4886">
        <w:tc>
          <w:tcPr>
            <w:tcW w:w="2235" w:type="dxa"/>
          </w:tcPr>
          <w:p w:rsidR="00202B72" w:rsidRPr="00A937B9" w:rsidRDefault="00202B72" w:rsidP="002A4886">
            <w:pPr>
              <w:pStyle w:val="CorpoAltF0"/>
              <w:spacing w:before="120"/>
              <w:jc w:val="left"/>
              <w:rPr>
                <w:i/>
              </w:rPr>
            </w:pPr>
            <w:r w:rsidRPr="00A937B9">
              <w:rPr>
                <w:i/>
              </w:rPr>
              <w:t>Tipologia retribuzione:</w:t>
            </w:r>
          </w:p>
        </w:tc>
        <w:tc>
          <w:tcPr>
            <w:tcW w:w="7686" w:type="dxa"/>
          </w:tcPr>
          <w:p w:rsidR="00202B72" w:rsidRPr="00A937B9" w:rsidRDefault="00202B72" w:rsidP="002A4886">
            <w:pPr>
              <w:pStyle w:val="CorpoAltF0"/>
              <w:spacing w:before="120"/>
            </w:pPr>
            <w:r w:rsidRPr="00A937B9">
              <w:t xml:space="preserve">va indicato se il lavoratore è retribuito in misura fissa mensile o in base alle giornate lavorate; il programma riporta il valore “M” in caso di dipendente </w:t>
            </w:r>
            <w:proofErr w:type="spellStart"/>
            <w:r w:rsidRPr="00A937B9">
              <w:t>mensilizzato</w:t>
            </w:r>
            <w:proofErr w:type="spellEnd"/>
            <w:r w:rsidRPr="00A937B9">
              <w:t xml:space="preserve"> (cod. “</w:t>
            </w:r>
            <w:r w:rsidRPr="00A937B9">
              <w:rPr>
                <w:i/>
              </w:rPr>
              <w:t>Trattamento qualifica</w:t>
            </w:r>
            <w:r w:rsidRPr="00A937B9">
              <w:t>” &gt; 19) o il valore “</w:t>
            </w:r>
            <w:r w:rsidRPr="00A937B9">
              <w:rPr>
                <w:b/>
              </w:rPr>
              <w:t>G</w:t>
            </w:r>
            <w:r w:rsidRPr="00A937B9">
              <w:t>” in caso di dipendente orario (cod. “</w:t>
            </w:r>
            <w:r w:rsidRPr="00A937B9">
              <w:rPr>
                <w:i/>
              </w:rPr>
              <w:t>Trattamento qualifica</w:t>
            </w:r>
            <w:r w:rsidRPr="00A937B9">
              <w:t>” fino a 19).</w:t>
            </w:r>
          </w:p>
          <w:p w:rsidR="00202B72" w:rsidRPr="00A937B9" w:rsidRDefault="00202B72" w:rsidP="002A4886">
            <w:pPr>
              <w:pStyle w:val="CorpoAltF0"/>
            </w:pPr>
          </w:p>
        </w:tc>
      </w:tr>
    </w:tbl>
    <w:p w:rsidR="00202B72" w:rsidRPr="00A937B9" w:rsidRDefault="00202B72" w:rsidP="00202B72">
      <w:pPr>
        <w:pStyle w:val="CorpoAltF0"/>
      </w:pPr>
      <w:r w:rsidRPr="00A937B9">
        <w:br w:type="page"/>
      </w:r>
    </w:p>
    <w:p w:rsidR="00202B72" w:rsidRPr="00A937B9" w:rsidRDefault="00202B72" w:rsidP="00202B72">
      <w:pPr>
        <w:pStyle w:val="CorpoAltF0"/>
      </w:pPr>
    </w:p>
    <w:p w:rsidR="00202B72" w:rsidRPr="00A937B9" w:rsidRDefault="00202B72" w:rsidP="00202B72">
      <w:pPr>
        <w:pStyle w:val="CorpoAltF0"/>
      </w:pPr>
      <w:r w:rsidRPr="00A937B9">
        <w:t>Tali informazioni verranno riportate nella scheda “</w:t>
      </w:r>
      <w:r w:rsidRPr="00A937B9">
        <w:rPr>
          <w:i/>
        </w:rPr>
        <w:t>Variazione</w:t>
      </w:r>
      <w:r w:rsidRPr="00A937B9">
        <w:t>” della “</w:t>
      </w:r>
      <w:r w:rsidRPr="00A937B9">
        <w:rPr>
          <w:i/>
        </w:rPr>
        <w:t>Gestione dati per dipendenti</w:t>
      </w:r>
      <w:r w:rsidRPr="00A937B9">
        <w:t xml:space="preserve">” di </w:t>
      </w:r>
      <w:r w:rsidRPr="00A937B9">
        <w:rPr>
          <w:b/>
        </w:rPr>
        <w:t>DMAG</w:t>
      </w:r>
      <w:r w:rsidRPr="00A937B9">
        <w:t xml:space="preserve"> oppure, solo in caso di autorizzazione liquidata nel mese stesso di competenza dell’evento, nella scheda “</w:t>
      </w:r>
      <w:r w:rsidRPr="00A937B9">
        <w:rPr>
          <w:i/>
        </w:rPr>
        <w:t>Principale</w:t>
      </w:r>
      <w:r w:rsidRPr="00A937B9">
        <w:t>”:</w:t>
      </w:r>
    </w:p>
    <w:p w:rsidR="00202B72" w:rsidRPr="00A937B9" w:rsidRDefault="00202B72" w:rsidP="00202B72">
      <w:pPr>
        <w:pStyle w:val="CorpoAltF0"/>
        <w:spacing w:before="120"/>
        <w:jc w:val="center"/>
      </w:pPr>
      <w:r w:rsidRPr="00A937B9">
        <w:rPr>
          <w:noProof/>
        </w:rPr>
        <w:drawing>
          <wp:inline distT="0" distB="0" distL="0" distR="0" wp14:anchorId="469D7441" wp14:editId="2181B3E3">
            <wp:extent cx="5040000" cy="2936092"/>
            <wp:effectExtent l="0" t="0" r="0" b="0"/>
            <wp:docPr id="3" name="Immagine 3"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10EBF1.tmp"/>
                    <pic:cNvPicPr/>
                  </pic:nvPicPr>
                  <pic:blipFill>
                    <a:blip r:embed="rId19">
                      <a:extLst>
                        <a:ext uri="{28A0092B-C50C-407E-A947-70E740481C1C}">
                          <a14:useLocalDpi xmlns:a14="http://schemas.microsoft.com/office/drawing/2010/main" val="0"/>
                        </a:ext>
                      </a:extLst>
                    </a:blip>
                    <a:stretch>
                      <a:fillRect/>
                    </a:stretch>
                  </pic:blipFill>
                  <pic:spPr>
                    <a:xfrm>
                      <a:off x="0" y="0"/>
                      <a:ext cx="5040000" cy="2936092"/>
                    </a:xfrm>
                    <a:prstGeom prst="rect">
                      <a:avLst/>
                    </a:prstGeom>
                  </pic:spPr>
                </pic:pic>
              </a:graphicData>
            </a:graphic>
          </wp:inline>
        </w:drawing>
      </w:r>
    </w:p>
    <w:p w:rsidR="00202B72" w:rsidRPr="00A937B9" w:rsidRDefault="00202B72" w:rsidP="00202B72">
      <w:pPr>
        <w:pStyle w:val="CorpoAltF0"/>
        <w:spacing w:before="120"/>
      </w:pPr>
      <w:r w:rsidRPr="00A937B9">
        <w:t>Nella scheda “</w:t>
      </w:r>
      <w:r w:rsidRPr="00A937B9">
        <w:rPr>
          <w:i/>
        </w:rPr>
        <w:t>Variazione</w:t>
      </w:r>
      <w:r w:rsidRPr="00A937B9">
        <w:t xml:space="preserve">” della gestione </w:t>
      </w:r>
      <w:r w:rsidRPr="00A937B9">
        <w:rPr>
          <w:b/>
        </w:rPr>
        <w:t>DMAG</w:t>
      </w:r>
      <w:r w:rsidRPr="00A937B9">
        <w:t>, oltre ai dati sopra descritti utili alla compilazione della relativa denuncia telematica, è stata inserita anche la colonna “</w:t>
      </w:r>
      <w:r w:rsidRPr="00A937B9">
        <w:rPr>
          <w:b/>
          <w:i/>
        </w:rPr>
        <w:t xml:space="preserve">Mese </w:t>
      </w:r>
      <w:proofErr w:type="spellStart"/>
      <w:r w:rsidRPr="00A937B9">
        <w:rPr>
          <w:b/>
          <w:i/>
        </w:rPr>
        <w:t>autoriz</w:t>
      </w:r>
      <w:proofErr w:type="spellEnd"/>
      <w:r w:rsidRPr="00A937B9">
        <w:rPr>
          <w:b/>
          <w:i/>
        </w:rPr>
        <w:t>.</w:t>
      </w:r>
      <w:r w:rsidRPr="00A937B9">
        <w:t>” in cui viene evidenziato il mese dal quale risultano originati i dati di variazione, ossia il mese di liquidazione dell’autorizzazione dell’evento.</w:t>
      </w:r>
    </w:p>
    <w:p w:rsidR="00202B72" w:rsidRPr="00A937B9" w:rsidRDefault="00202B72" w:rsidP="00202B72">
      <w:pPr>
        <w:pStyle w:val="CorpoAltF0"/>
        <w:spacing w:before="120"/>
      </w:pPr>
      <w:r w:rsidRPr="00A937B9">
        <w:t>Al termine del prelievo dei dati di variazione relativi all’evento di CISOA (compilazione del rigo con “</w:t>
      </w:r>
      <w:r w:rsidRPr="00A937B9">
        <w:rPr>
          <w:i/>
        </w:rPr>
        <w:t>Tipo retribuzione</w:t>
      </w:r>
      <w:r w:rsidRPr="00A937B9">
        <w:t>” = C nella scheda “</w:t>
      </w:r>
      <w:r w:rsidRPr="00A937B9">
        <w:rPr>
          <w:i/>
        </w:rPr>
        <w:t>Variazione</w:t>
      </w:r>
      <w:r w:rsidRPr="00A937B9">
        <w:t xml:space="preserve">”), il programma evidenzierà un apposito messaggio (visibile anche all’interno del comando </w:t>
      </w:r>
      <w:r w:rsidRPr="00A937B9">
        <w:rPr>
          <w:b/>
        </w:rPr>
        <w:t>ERRORI</w:t>
      </w:r>
      <w:r w:rsidRPr="00A937B9">
        <w:t>) utile a segnalare la necessità di generare la relativa denuncia telematica di variazione (o denuncia principale se non ancora inviata) per il trimestre interessato.</w:t>
      </w:r>
    </w:p>
    <w:p w:rsidR="00202B72" w:rsidRPr="00A937B9" w:rsidRDefault="00202B72" w:rsidP="00202B72">
      <w:pPr>
        <w:pStyle w:val="CorpoAltF0"/>
        <w:spacing w:before="120"/>
        <w:jc w:val="center"/>
      </w:pPr>
      <w:r w:rsidRPr="00A937B9">
        <w:rPr>
          <w:noProof/>
        </w:rPr>
        <w:drawing>
          <wp:inline distT="0" distB="0" distL="0" distR="0" wp14:anchorId="07DECFE1" wp14:editId="09D99800">
            <wp:extent cx="3600000" cy="1719947"/>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0000" cy="1719947"/>
                    </a:xfrm>
                    <a:prstGeom prst="rect">
                      <a:avLst/>
                    </a:prstGeom>
                  </pic:spPr>
                </pic:pic>
              </a:graphicData>
            </a:graphic>
          </wp:inline>
        </w:drawing>
      </w:r>
    </w:p>
    <w:p w:rsidR="00202B72" w:rsidRPr="00A937B9" w:rsidRDefault="00202B72" w:rsidP="00202B72">
      <w:pPr>
        <w:pStyle w:val="CorpoAltF0"/>
        <w:spacing w:before="120"/>
      </w:pPr>
      <w:r w:rsidRPr="00A937B9">
        <w:t>Con la generazione della relativa denuncia telematica (</w:t>
      </w:r>
      <w:r w:rsidRPr="00A937B9">
        <w:rPr>
          <w:b/>
        </w:rPr>
        <w:t>DMAG</w:t>
      </w:r>
      <w:r w:rsidRPr="00A937B9">
        <w:t xml:space="preserve"> &gt; “</w:t>
      </w:r>
      <w:r w:rsidRPr="00A937B9">
        <w:rPr>
          <w:i/>
        </w:rPr>
        <w:t>Telematico &gt; Generazione telematico</w:t>
      </w:r>
      <w:r w:rsidRPr="00A937B9">
        <w:t>”), i dati della scheda “</w:t>
      </w:r>
      <w:r w:rsidRPr="00A937B9">
        <w:rPr>
          <w:i/>
        </w:rPr>
        <w:t>Variazione</w:t>
      </w:r>
      <w:r w:rsidRPr="00A937B9">
        <w:t>” riportati nel file telematico verranno contrassegnati come trasmessi (</w:t>
      </w:r>
      <w:r w:rsidRPr="00A937B9">
        <w:rPr>
          <w:i/>
        </w:rPr>
        <w:t>flag</w:t>
      </w:r>
      <w:r w:rsidRPr="00A937B9">
        <w:t xml:space="preserve"> nella corrispondente colonna “</w:t>
      </w:r>
      <w:r w:rsidRPr="00A937B9">
        <w:rPr>
          <w:i/>
        </w:rPr>
        <w:t>Trasmesso</w:t>
      </w:r>
      <w:r w:rsidRPr="00A937B9">
        <w:t>”).</w:t>
      </w:r>
    </w:p>
    <w:p w:rsidR="00202B72" w:rsidRPr="00A937B9" w:rsidRDefault="00202B72" w:rsidP="00202B72">
      <w:pPr>
        <w:pStyle w:val="CorpoAltF0"/>
      </w:pPr>
      <w:r w:rsidRPr="00A937B9">
        <w:t>Conseguentemente, tali dati non verranno considerati in caso di successiva generazione del telematico di variazione per il mese/trimestre di riferimento.</w:t>
      </w:r>
    </w:p>
    <w:p w:rsidR="00202B72" w:rsidRPr="00A937B9" w:rsidRDefault="00202B72" w:rsidP="00202B72">
      <w:pPr>
        <w:pStyle w:val="CorpoAltF0"/>
      </w:pPr>
      <w:r w:rsidRPr="00A937B9">
        <w:t>Anche in caso di successivo prelievo della mensilità di origine dei dati di variazione (mese di liquidazione dell’autorizzazione), il programma non effettuerà il prelievo dei dati che risultano già generati all’interno della denuncia telematica (dati identificati dal flag “</w:t>
      </w:r>
      <w:r w:rsidRPr="00A937B9">
        <w:rPr>
          <w:i/>
        </w:rPr>
        <w:t>Trasmesso</w:t>
      </w:r>
      <w:r w:rsidRPr="00A937B9">
        <w:t>”).</w:t>
      </w:r>
    </w:p>
    <w:p w:rsidR="00202B72" w:rsidRPr="00A937B9" w:rsidRDefault="00202B72" w:rsidP="00202B72">
      <w:pPr>
        <w:pStyle w:val="CorpoAltF0"/>
        <w:rPr>
          <w:i/>
        </w:rPr>
      </w:pPr>
      <w:r w:rsidRPr="00A937B9">
        <w:t>In tal caso il programma provvederà a segnalare con il seguente messaggio le eventuali matricole per le quali risultino delle differenze fra i dati presenti nella domanda o nel prospetto di liquidazione dell’evento CISOA ed i corrispondenti dati memorizzati in gestione della denuncia DMAG:</w:t>
      </w:r>
    </w:p>
    <w:p w:rsidR="00202B72" w:rsidRPr="00A937B9" w:rsidRDefault="00202B72" w:rsidP="00202B72">
      <w:pPr>
        <w:pStyle w:val="CorpoAltF0"/>
        <w:spacing w:before="120"/>
        <w:jc w:val="center"/>
      </w:pPr>
      <w:r w:rsidRPr="00A937B9">
        <w:rPr>
          <w:noProof/>
        </w:rPr>
        <w:lastRenderedPageBreak/>
        <w:drawing>
          <wp:inline distT="0" distB="0" distL="0" distR="0" wp14:anchorId="7BA8E062" wp14:editId="18B50C23">
            <wp:extent cx="3600000" cy="1847993"/>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0000" cy="1847993"/>
                    </a:xfrm>
                    <a:prstGeom prst="rect">
                      <a:avLst/>
                    </a:prstGeom>
                  </pic:spPr>
                </pic:pic>
              </a:graphicData>
            </a:graphic>
          </wp:inline>
        </w:drawing>
      </w:r>
    </w:p>
    <w:p w:rsidR="00202B72" w:rsidRPr="00A937B9" w:rsidRDefault="00202B72" w:rsidP="00202B72">
      <w:pPr>
        <w:pStyle w:val="CorpoAltF0"/>
      </w:pPr>
    </w:p>
    <w:p w:rsidR="00202B72" w:rsidRPr="00A937B9" w:rsidRDefault="00202B72" w:rsidP="00202B72">
      <w:pPr>
        <w:pStyle w:val="CorpoAltF0"/>
      </w:pPr>
      <w:r w:rsidRPr="00A937B9">
        <w:t>Per tali matricole, al fine di aggiornare i dati in questione, sarà cura dell’utente rimuovere il suddetto flag “</w:t>
      </w:r>
      <w:r w:rsidRPr="00A937B9">
        <w:rPr>
          <w:i/>
        </w:rPr>
        <w:t>Trasmesso</w:t>
      </w:r>
      <w:r w:rsidRPr="00A937B9">
        <w:t>” per poter rieseguire il prelievo dati della mensilità interessata.</w:t>
      </w:r>
    </w:p>
    <w:p w:rsidR="00202B72" w:rsidRPr="00A937B9" w:rsidRDefault="00202B72" w:rsidP="00202B72">
      <w:pPr>
        <w:pStyle w:val="CorpoAltF0"/>
      </w:pPr>
    </w:p>
    <w:p w:rsidR="00202B72" w:rsidRPr="00A937B9" w:rsidRDefault="00202B72" w:rsidP="00202B72">
      <w:pPr>
        <w:pStyle w:val="CorpoAltF0"/>
      </w:pPr>
    </w:p>
    <w:p w:rsidR="00927B9D" w:rsidRPr="00A937B9" w:rsidRDefault="00927B9D" w:rsidP="00202B72">
      <w:pPr>
        <w:pStyle w:val="CorpoAltF0"/>
      </w:pPr>
    </w:p>
    <w:p w:rsidR="00927B9D" w:rsidRPr="00A937B9" w:rsidRDefault="00927B9D" w:rsidP="00202B72">
      <w:pPr>
        <w:pStyle w:val="CorpoAltF0"/>
      </w:pPr>
    </w:p>
    <w:p w:rsidR="00927B9D" w:rsidRPr="00A937B9" w:rsidRDefault="00927B9D" w:rsidP="00202B72">
      <w:pPr>
        <w:pStyle w:val="CorpoAltF0"/>
      </w:pPr>
    </w:p>
    <w:p w:rsidR="00927B9D" w:rsidRPr="00A937B9" w:rsidRDefault="00927B9D" w:rsidP="00202B72">
      <w:pPr>
        <w:pStyle w:val="CorpoAltF0"/>
      </w:pPr>
    </w:p>
    <w:p w:rsidR="00927B9D" w:rsidRPr="00A937B9" w:rsidRDefault="00927B9D" w:rsidP="00202B72">
      <w:pPr>
        <w:pStyle w:val="CorpoAltF0"/>
      </w:pPr>
    </w:p>
    <w:p w:rsidR="00927B9D" w:rsidRPr="00A937B9" w:rsidRDefault="00927B9D" w:rsidP="00202B72">
      <w:pPr>
        <w:pStyle w:val="CorpoAltF0"/>
      </w:pPr>
    </w:p>
    <w:p w:rsidR="00202B72" w:rsidRPr="00A937B9" w:rsidRDefault="00202B72" w:rsidP="00202B72">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202B72" w:rsidRPr="00A937B9" w:rsidTr="002A4886">
        <w:trPr>
          <w:trHeight w:val="558"/>
        </w:trPr>
        <w:tc>
          <w:tcPr>
            <w:tcW w:w="6874" w:type="dxa"/>
            <w:tcBorders>
              <w:top w:val="nil"/>
              <w:left w:val="nil"/>
              <w:bottom w:val="single" w:sz="12" w:space="0" w:color="auto"/>
              <w:right w:val="nil"/>
            </w:tcBorders>
            <w:vAlign w:val="center"/>
          </w:tcPr>
          <w:p w:rsidR="00202B72" w:rsidRPr="00A937B9" w:rsidRDefault="00202B72" w:rsidP="002A4886">
            <w:pPr>
              <w:pStyle w:val="TS-titolo-01"/>
              <w:outlineLvl w:val="0"/>
            </w:pPr>
            <w:bookmarkStart w:id="144" w:name="CCNL_Edilizia"/>
            <w:bookmarkStart w:id="145" w:name="_Toc499133398"/>
            <w:bookmarkStart w:id="146" w:name="_Toc499135150"/>
            <w:bookmarkEnd w:id="144"/>
            <w:r w:rsidRPr="00A937B9">
              <w:t>CCNL Edilizia</w:t>
            </w:r>
            <w:bookmarkEnd w:id="145"/>
            <w:bookmarkEnd w:id="146"/>
          </w:p>
        </w:tc>
        <w:tc>
          <w:tcPr>
            <w:tcW w:w="2901" w:type="dxa"/>
            <w:tcBorders>
              <w:top w:val="single" w:sz="4" w:space="0" w:color="auto"/>
              <w:left w:val="nil"/>
              <w:bottom w:val="single" w:sz="4" w:space="0" w:color="auto"/>
              <w:right w:val="nil"/>
            </w:tcBorders>
            <w:shd w:val="clear" w:color="auto" w:fill="000000"/>
            <w:vAlign w:val="center"/>
          </w:tcPr>
          <w:p w:rsidR="00202B72" w:rsidRPr="00A937B9" w:rsidRDefault="00202B72" w:rsidP="002A4886">
            <w:pPr>
              <w:pStyle w:val="TS-titolo-02"/>
              <w:outlineLvl w:val="0"/>
            </w:pPr>
          </w:p>
        </w:tc>
      </w:tr>
    </w:tbl>
    <w:p w:rsidR="00202B72" w:rsidRPr="00A937B9" w:rsidRDefault="00202B72" w:rsidP="00202B72">
      <w:pPr>
        <w:pStyle w:val="CorpoAltF0"/>
      </w:pPr>
    </w:p>
    <w:p w:rsidR="00202B72" w:rsidRPr="00A937B9" w:rsidRDefault="00202B72" w:rsidP="00202B72">
      <w:pPr>
        <w:pStyle w:val="TS-titolo-04"/>
        <w:outlineLvl w:val="2"/>
      </w:pPr>
      <w:bookmarkStart w:id="147" w:name="CCNL_Edilizia_Ctr_min_APE"/>
      <w:bookmarkStart w:id="148" w:name="_Toc499133399"/>
      <w:bookmarkStart w:id="149" w:name="_Toc499135151"/>
      <w:bookmarkEnd w:id="147"/>
      <w:r w:rsidRPr="00A937B9">
        <w:t>Contributo minimo APE</w:t>
      </w:r>
      <w:bookmarkEnd w:id="148"/>
      <w:bookmarkEnd w:id="149"/>
    </w:p>
    <w:p w:rsidR="00202B72" w:rsidRPr="00A937B9" w:rsidRDefault="00202B72" w:rsidP="00202B72">
      <w:pPr>
        <w:pStyle w:val="CorpoAltF0"/>
        <w:spacing w:before="120"/>
      </w:pPr>
      <w:r w:rsidRPr="00A937B9">
        <w:t>Relativamente al calcolo del contributo APE il programma è stato implementato per effettuare l’eventuale adeguamento al minimale anche nel caso di assunzione e licenziamento nello stesso mese, se il dipendente risulti in forza meno di 15 giorni.</w:t>
      </w:r>
    </w:p>
    <w:p w:rsidR="00202B72" w:rsidRPr="00A937B9" w:rsidRDefault="00202B72" w:rsidP="00202B72">
      <w:pPr>
        <w:pStyle w:val="CorpoAltF0"/>
        <w:spacing w:before="60"/>
      </w:pPr>
      <w:r w:rsidRPr="00A937B9">
        <w:t>A tal fine tra i valori ammessi al campo “</w:t>
      </w:r>
      <w:r w:rsidRPr="00A937B9">
        <w:rPr>
          <w:i/>
        </w:rPr>
        <w:t>Indicatore di calcolo 1 o 2</w:t>
      </w:r>
      <w:r w:rsidRPr="00A937B9">
        <w:t>” di tabella “</w:t>
      </w:r>
      <w:r w:rsidRPr="00A937B9">
        <w:rPr>
          <w:i/>
        </w:rPr>
        <w:t>Contributi casse edili</w:t>
      </w:r>
      <w:r w:rsidRPr="00A937B9">
        <w:t>” (</w:t>
      </w:r>
      <w:r w:rsidRPr="00A937B9">
        <w:rPr>
          <w:b/>
        </w:rPr>
        <w:t>TB0307</w:t>
      </w:r>
      <w:r w:rsidRPr="00A937B9">
        <w:t>), scheda “</w:t>
      </w:r>
      <w:r w:rsidRPr="00A937B9">
        <w:rPr>
          <w:i/>
        </w:rPr>
        <w:t>Contributi</w:t>
      </w:r>
      <w:r w:rsidRPr="00A937B9">
        <w:t xml:space="preserve">”, è stato introdotto il nuovo codice </w:t>
      </w:r>
      <w:r w:rsidRPr="00A937B9">
        <w:rPr>
          <w:b/>
        </w:rPr>
        <w:t>17</w:t>
      </w:r>
      <w:r w:rsidRPr="00A937B9">
        <w:t xml:space="preserve"> (“</w:t>
      </w:r>
      <w:r w:rsidRPr="00A937B9">
        <w:rPr>
          <w:i/>
        </w:rPr>
        <w:t>Contributo A.P.E. (si minimale giorni &lt; 15)</w:t>
      </w:r>
      <w:r w:rsidRPr="00A937B9">
        <w:t>”).</w:t>
      </w:r>
    </w:p>
    <w:p w:rsidR="00202B72" w:rsidRPr="00A937B9" w:rsidRDefault="00202B72" w:rsidP="00202B72">
      <w:pPr>
        <w:pStyle w:val="CorpoAltF0"/>
      </w:pPr>
    </w:p>
    <w:p w:rsidR="00202B72" w:rsidRPr="00A937B9" w:rsidRDefault="00202B72" w:rsidP="00202B72">
      <w:pPr>
        <w:pStyle w:val="CorpoAltF0"/>
      </w:pPr>
      <w:r w:rsidRPr="00A937B9">
        <w:t xml:space="preserve">Per gli utenti </w:t>
      </w:r>
      <w:r w:rsidRPr="00A937B9">
        <w:rPr>
          <w:b/>
        </w:rPr>
        <w:t>CONTRA</w:t>
      </w:r>
      <w:r w:rsidRPr="00A937B9">
        <w:t xml:space="preserve"> con la versione </w:t>
      </w:r>
      <w:r w:rsidRPr="00A937B9">
        <w:rPr>
          <w:b/>
        </w:rPr>
        <w:t>CONTRA 2017.11.0</w:t>
      </w:r>
      <w:r w:rsidRPr="00A937B9">
        <w:t xml:space="preserve"> il nuovo codice </w:t>
      </w:r>
      <w:r w:rsidRPr="00A937B9">
        <w:rPr>
          <w:b/>
        </w:rPr>
        <w:t>17</w:t>
      </w:r>
      <w:r w:rsidRPr="00A937B9">
        <w:t xml:space="preserve"> verrà inserito nel campo “</w:t>
      </w:r>
      <w:r w:rsidRPr="00A937B9">
        <w:rPr>
          <w:i/>
        </w:rPr>
        <w:t>Indicatore di calcolo 1 o 2</w:t>
      </w:r>
      <w:r w:rsidRPr="00A937B9">
        <w:t>” delle seguenti Casse:</w:t>
      </w:r>
    </w:p>
    <w:p w:rsidR="00202B72" w:rsidRPr="00A937B9" w:rsidRDefault="00202B72" w:rsidP="00202B72">
      <w:pPr>
        <w:pStyle w:val="CorpoAltF0"/>
        <w:numPr>
          <w:ilvl w:val="0"/>
          <w:numId w:val="14"/>
        </w:numPr>
        <w:spacing w:before="60"/>
        <w:ind w:left="284" w:hanging="284"/>
      </w:pPr>
      <w:r w:rsidRPr="00A937B9">
        <w:t xml:space="preserve">Cassa Edile di Bolzano, </w:t>
      </w:r>
      <w:r w:rsidRPr="00A937B9">
        <w:rPr>
          <w:rFonts w:cs="Arial"/>
        </w:rPr>
        <w:t xml:space="preserve">tabella </w:t>
      </w:r>
      <w:r w:rsidRPr="00A937B9">
        <w:rPr>
          <w:rFonts w:cs="Arial"/>
          <w:i/>
          <w:iCs/>
        </w:rPr>
        <w:t>“Contributi casse edili”</w:t>
      </w:r>
      <w:r w:rsidRPr="00A937B9">
        <w:rPr>
          <w:rFonts w:cs="Arial"/>
        </w:rPr>
        <w:t xml:space="preserve"> codice </w:t>
      </w:r>
      <w:r w:rsidRPr="00A937B9">
        <w:rPr>
          <w:rFonts w:cs="Arial"/>
          <w:b/>
          <w:bCs/>
        </w:rPr>
        <w:t>8100</w:t>
      </w:r>
      <w:r w:rsidRPr="00A937B9">
        <w:rPr>
          <w:rFonts w:cs="Arial"/>
          <w:bCs/>
        </w:rPr>
        <w:t>;</w:t>
      </w:r>
    </w:p>
    <w:p w:rsidR="00202B72" w:rsidRPr="00A937B9" w:rsidRDefault="00202B72" w:rsidP="00202B72">
      <w:pPr>
        <w:pStyle w:val="CorpoAltF0"/>
        <w:numPr>
          <w:ilvl w:val="0"/>
          <w:numId w:val="14"/>
        </w:numPr>
        <w:spacing w:before="60"/>
        <w:ind w:left="284" w:hanging="284"/>
      </w:pPr>
      <w:r w:rsidRPr="00A937B9">
        <w:t xml:space="preserve">Cassa Edile di Palermo, </w:t>
      </w:r>
      <w:r w:rsidRPr="00A937B9">
        <w:rPr>
          <w:rFonts w:cs="Arial"/>
        </w:rPr>
        <w:t xml:space="preserve">tabella </w:t>
      </w:r>
      <w:r w:rsidRPr="00A937B9">
        <w:rPr>
          <w:rFonts w:cs="Arial"/>
          <w:i/>
          <w:iCs/>
        </w:rPr>
        <w:t>“Contributi casse edili”</w:t>
      </w:r>
      <w:r w:rsidRPr="00A937B9">
        <w:rPr>
          <w:rFonts w:cs="Arial"/>
        </w:rPr>
        <w:t xml:space="preserve"> codice </w:t>
      </w:r>
      <w:r w:rsidRPr="00A937B9">
        <w:rPr>
          <w:rFonts w:cs="Arial"/>
          <w:b/>
          <w:bCs/>
        </w:rPr>
        <w:t>8756</w:t>
      </w:r>
      <w:r w:rsidRPr="00A937B9">
        <w:rPr>
          <w:rFonts w:cs="Arial"/>
          <w:bCs/>
        </w:rPr>
        <w:t>;</w:t>
      </w:r>
    </w:p>
    <w:p w:rsidR="00202B72" w:rsidRPr="00A937B9" w:rsidRDefault="00202B72" w:rsidP="00202B72">
      <w:pPr>
        <w:pStyle w:val="CorpoAltF0"/>
        <w:numPr>
          <w:ilvl w:val="0"/>
          <w:numId w:val="14"/>
        </w:numPr>
        <w:spacing w:before="60"/>
        <w:ind w:left="284" w:hanging="284"/>
      </w:pPr>
      <w:proofErr w:type="spellStart"/>
      <w:r w:rsidRPr="00A937B9">
        <w:t>Edilcassa</w:t>
      </w:r>
      <w:proofErr w:type="spellEnd"/>
      <w:r w:rsidRPr="00A937B9">
        <w:t xml:space="preserve"> Lazio, </w:t>
      </w:r>
      <w:r w:rsidRPr="00A937B9">
        <w:rPr>
          <w:rFonts w:cs="Arial"/>
        </w:rPr>
        <w:t xml:space="preserve">tabella </w:t>
      </w:r>
      <w:r w:rsidRPr="00A937B9">
        <w:rPr>
          <w:rFonts w:cs="Arial"/>
          <w:i/>
          <w:iCs/>
        </w:rPr>
        <w:t>“Contributi casse edili”</w:t>
      </w:r>
      <w:r w:rsidRPr="00A937B9">
        <w:rPr>
          <w:rFonts w:cs="Arial"/>
        </w:rPr>
        <w:t xml:space="preserve"> codici </w:t>
      </w:r>
      <w:r w:rsidRPr="00A937B9">
        <w:rPr>
          <w:rFonts w:cs="Arial"/>
          <w:b/>
          <w:bCs/>
        </w:rPr>
        <w:t>8355</w:t>
      </w:r>
      <w:r w:rsidRPr="00A937B9">
        <w:rPr>
          <w:rFonts w:cs="Arial"/>
          <w:bCs/>
        </w:rPr>
        <w:t xml:space="preserve">, </w:t>
      </w:r>
      <w:r w:rsidRPr="00A937B9">
        <w:rPr>
          <w:rFonts w:cs="Arial"/>
          <w:b/>
          <w:bCs/>
        </w:rPr>
        <w:t>8356</w:t>
      </w:r>
      <w:r w:rsidRPr="00A937B9">
        <w:rPr>
          <w:rFonts w:cs="Arial"/>
          <w:bCs/>
        </w:rPr>
        <w:t xml:space="preserve">, </w:t>
      </w:r>
      <w:r w:rsidRPr="00A937B9">
        <w:rPr>
          <w:rFonts w:cs="Arial"/>
          <w:b/>
          <w:bCs/>
        </w:rPr>
        <w:t>8357</w:t>
      </w:r>
      <w:r w:rsidRPr="00A937B9">
        <w:rPr>
          <w:rFonts w:cs="Arial"/>
          <w:bCs/>
        </w:rPr>
        <w:t xml:space="preserve">, </w:t>
      </w:r>
      <w:r w:rsidRPr="00A937B9">
        <w:rPr>
          <w:rFonts w:cs="Arial"/>
          <w:b/>
          <w:bCs/>
        </w:rPr>
        <w:t>8358</w:t>
      </w:r>
      <w:r w:rsidRPr="00A937B9">
        <w:rPr>
          <w:rFonts w:cs="Arial"/>
          <w:bCs/>
        </w:rPr>
        <w:t xml:space="preserve">, </w:t>
      </w:r>
      <w:r w:rsidRPr="00A937B9">
        <w:rPr>
          <w:rFonts w:cs="Arial"/>
          <w:b/>
          <w:bCs/>
        </w:rPr>
        <w:t>8359</w:t>
      </w:r>
      <w:r w:rsidRPr="00A937B9">
        <w:rPr>
          <w:rFonts w:cs="Arial"/>
          <w:bCs/>
        </w:rPr>
        <w:t>;</w:t>
      </w:r>
    </w:p>
    <w:p w:rsidR="00202B72" w:rsidRPr="00A937B9" w:rsidRDefault="00202B72" w:rsidP="00202B72">
      <w:pPr>
        <w:pStyle w:val="CorpoAltF0"/>
        <w:numPr>
          <w:ilvl w:val="0"/>
          <w:numId w:val="14"/>
        </w:numPr>
        <w:spacing w:before="60"/>
        <w:ind w:left="284" w:hanging="284"/>
      </w:pPr>
      <w:r w:rsidRPr="00A937B9">
        <w:t xml:space="preserve">Cassa Edile Capitanata Foggia, </w:t>
      </w:r>
      <w:r w:rsidRPr="00A937B9">
        <w:rPr>
          <w:rFonts w:cs="Arial"/>
        </w:rPr>
        <w:t xml:space="preserve">tabella </w:t>
      </w:r>
      <w:r w:rsidRPr="00A937B9">
        <w:rPr>
          <w:rFonts w:cs="Arial"/>
          <w:i/>
          <w:iCs/>
        </w:rPr>
        <w:t>“Contributi casse edili”</w:t>
      </w:r>
      <w:r w:rsidRPr="00A937B9">
        <w:rPr>
          <w:rFonts w:cs="Arial"/>
        </w:rPr>
        <w:t xml:space="preserve"> codice </w:t>
      </w:r>
      <w:r w:rsidRPr="00A937B9">
        <w:rPr>
          <w:rFonts w:cs="Arial"/>
          <w:b/>
          <w:bCs/>
        </w:rPr>
        <w:t>8652</w:t>
      </w:r>
      <w:r w:rsidRPr="00A937B9">
        <w:rPr>
          <w:rFonts w:cs="Arial"/>
          <w:bCs/>
        </w:rPr>
        <w:t>.</w:t>
      </w:r>
    </w:p>
    <w:p w:rsidR="00202B72" w:rsidRPr="00A937B9" w:rsidRDefault="00202B72" w:rsidP="00202B72">
      <w:pPr>
        <w:pStyle w:val="CorpoAltF0"/>
      </w:pPr>
    </w:p>
    <w:p w:rsidR="00202B72" w:rsidRPr="00A937B9" w:rsidRDefault="00202B72" w:rsidP="00202B72">
      <w:pPr>
        <w:pStyle w:val="CorpoAltF0"/>
      </w:pPr>
    </w:p>
    <w:p w:rsidR="00202B72" w:rsidRPr="00A937B9" w:rsidRDefault="00202B72" w:rsidP="00202B72">
      <w:pPr>
        <w:pStyle w:val="TS-titolo-04"/>
      </w:pPr>
      <w:bookmarkStart w:id="150" w:name="CCNL_Edilizia_Ctr_prov_Verona"/>
      <w:bookmarkStart w:id="151" w:name="_Toc499133400"/>
      <w:bookmarkStart w:id="152" w:name="_Toc499135152"/>
      <w:bookmarkEnd w:id="150"/>
      <w:r w:rsidRPr="00A937B9">
        <w:t>Contributo provinciale PREVEDI Cassa Edile di Verona</w:t>
      </w:r>
      <w:bookmarkEnd w:id="151"/>
      <w:bookmarkEnd w:id="152"/>
    </w:p>
    <w:p w:rsidR="00202B72" w:rsidRPr="00A937B9" w:rsidRDefault="00202B72" w:rsidP="00202B72">
      <w:pPr>
        <w:pStyle w:val="CorpoAltF0"/>
        <w:spacing w:before="120"/>
      </w:pPr>
      <w:r w:rsidRPr="00A937B9">
        <w:t>A seguito di chiarimenti ricevuti dalla Cassa Edile di Verona, è emerso che il contributo provinciale, introdotto dall’accordo del 24 gennaio 2017, da versare al Fondo di previdenza complementare nazionale di settore, è previsto solo nel caso di aziende edili iscritte al Fondo PREVEDI.</w:t>
      </w:r>
    </w:p>
    <w:p w:rsidR="00202B72" w:rsidRPr="00A937B9" w:rsidRDefault="00202B72" w:rsidP="00202B72">
      <w:pPr>
        <w:pStyle w:val="CorpoAltF0"/>
        <w:spacing w:before="60"/>
      </w:pPr>
      <w:r w:rsidRPr="00A937B9">
        <w:t>Pertanto, a partire dall’elaborazione del mese di novembre 2017 il programma non effettuerà più il calcolo del contributo in esame in presenza di dipendenti iscritti a FONDAPI o COOPERLAVORO.</w:t>
      </w:r>
    </w:p>
    <w:p w:rsidR="00202B72" w:rsidRPr="00A937B9" w:rsidRDefault="00202B72" w:rsidP="00202B72">
      <w:pPr>
        <w:pStyle w:val="CorpoAltF0"/>
      </w:pPr>
      <w:r w:rsidRPr="00A937B9">
        <w:br w:type="page"/>
      </w:r>
    </w:p>
    <w:p w:rsidR="00202B72" w:rsidRPr="00A937B9" w:rsidRDefault="00202B72" w:rsidP="00202B72">
      <w:pPr>
        <w:pStyle w:val="CorpoAltF0"/>
      </w:pPr>
    </w:p>
    <w:p w:rsidR="00202B72" w:rsidRPr="00A937B9" w:rsidRDefault="00202B72" w:rsidP="00202B72">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202B72" w:rsidRPr="00A937B9" w:rsidTr="002A4886">
        <w:trPr>
          <w:trHeight w:val="558"/>
        </w:trPr>
        <w:tc>
          <w:tcPr>
            <w:tcW w:w="6874" w:type="dxa"/>
            <w:tcBorders>
              <w:top w:val="nil"/>
              <w:left w:val="nil"/>
              <w:bottom w:val="single" w:sz="12" w:space="0" w:color="auto"/>
              <w:right w:val="nil"/>
            </w:tcBorders>
            <w:vAlign w:val="center"/>
          </w:tcPr>
          <w:p w:rsidR="00202B72" w:rsidRPr="00A937B9" w:rsidRDefault="00202B72" w:rsidP="002A4886">
            <w:pPr>
              <w:pStyle w:val="TS-titolo-01"/>
              <w:outlineLvl w:val="0"/>
            </w:pPr>
            <w:bookmarkStart w:id="153" w:name="CCNL_Terziario_EEG"/>
            <w:bookmarkStart w:id="154" w:name="_Toc372733996"/>
            <w:bookmarkStart w:id="155" w:name="_Toc372737850"/>
            <w:bookmarkStart w:id="156" w:name="_Toc499133401"/>
            <w:bookmarkStart w:id="157" w:name="_Toc499135153"/>
            <w:bookmarkEnd w:id="153"/>
            <w:r w:rsidRPr="00A937B9">
              <w:t>CCNL Terziario Confcommercio</w:t>
            </w:r>
            <w:bookmarkEnd w:id="154"/>
            <w:bookmarkEnd w:id="155"/>
            <w:r w:rsidRPr="00A937B9">
              <w:t>/Confesercenti</w:t>
            </w:r>
            <w:bookmarkEnd w:id="156"/>
            <w:bookmarkEnd w:id="157"/>
          </w:p>
        </w:tc>
        <w:tc>
          <w:tcPr>
            <w:tcW w:w="2901" w:type="dxa"/>
            <w:tcBorders>
              <w:top w:val="single" w:sz="4" w:space="0" w:color="auto"/>
              <w:left w:val="nil"/>
              <w:bottom w:val="single" w:sz="4" w:space="0" w:color="auto"/>
              <w:right w:val="nil"/>
            </w:tcBorders>
            <w:shd w:val="clear" w:color="auto" w:fill="000000"/>
            <w:vAlign w:val="center"/>
          </w:tcPr>
          <w:p w:rsidR="00202B72" w:rsidRPr="00A937B9" w:rsidRDefault="00202B72" w:rsidP="002A4886">
            <w:pPr>
              <w:pStyle w:val="TS-titolo-02"/>
              <w:outlineLvl w:val="0"/>
            </w:pPr>
          </w:p>
        </w:tc>
      </w:tr>
    </w:tbl>
    <w:p w:rsidR="00202B72" w:rsidRPr="00A937B9" w:rsidRDefault="00202B72" w:rsidP="00202B72">
      <w:pPr>
        <w:pStyle w:val="Ignora"/>
      </w:pPr>
    </w:p>
    <w:p w:rsidR="00202B72" w:rsidRPr="00A937B9" w:rsidRDefault="00202B72" w:rsidP="00202B72">
      <w:pPr>
        <w:pStyle w:val="TS-titolo-04"/>
      </w:pPr>
      <w:bookmarkStart w:id="158" w:name="_Toc372733997"/>
      <w:bookmarkStart w:id="159" w:name="_Toc372737851"/>
      <w:bookmarkStart w:id="160" w:name="_Toc499133402"/>
      <w:bookmarkStart w:id="161" w:name="_Toc499135154"/>
      <w:r w:rsidRPr="00A937B9">
        <w:t>Elemento Economico di Garanzia</w:t>
      </w:r>
      <w:bookmarkEnd w:id="158"/>
      <w:bookmarkEnd w:id="159"/>
      <w:bookmarkEnd w:id="160"/>
      <w:bookmarkEnd w:id="161"/>
    </w:p>
    <w:p w:rsidR="00202B72" w:rsidRPr="00A937B9" w:rsidRDefault="00202B72" w:rsidP="00202B72">
      <w:pPr>
        <w:pStyle w:val="CorpoAltF0"/>
        <w:spacing w:before="120"/>
      </w:pPr>
      <w:r w:rsidRPr="00A937B9">
        <w:t>Il CCNL Terziario Confcommercio, con Accordo del 30 marzo 2015 (</w:t>
      </w:r>
      <w:r w:rsidRPr="00A937B9">
        <w:rPr>
          <w:b/>
        </w:rPr>
        <w:t>CONTRA</w:t>
      </w:r>
      <w:r w:rsidRPr="00A937B9">
        <w:t xml:space="preserve"> codici </w:t>
      </w:r>
      <w:r w:rsidRPr="00A937B9">
        <w:rPr>
          <w:b/>
        </w:rPr>
        <w:t>8161</w:t>
      </w:r>
      <w:r w:rsidRPr="00A937B9">
        <w:t xml:space="preserve">, </w:t>
      </w:r>
      <w:r w:rsidRPr="00A937B9">
        <w:rPr>
          <w:b/>
        </w:rPr>
        <w:t>8162</w:t>
      </w:r>
      <w:r w:rsidRPr="00A937B9">
        <w:t xml:space="preserve">, </w:t>
      </w:r>
      <w:r w:rsidRPr="00A937B9">
        <w:rPr>
          <w:b/>
        </w:rPr>
        <w:t>8163</w:t>
      </w:r>
      <w:r w:rsidRPr="00A937B9">
        <w:t xml:space="preserve">, </w:t>
      </w:r>
      <w:r w:rsidRPr="00A937B9">
        <w:rPr>
          <w:b/>
        </w:rPr>
        <w:t>8792</w:t>
      </w:r>
      <w:r w:rsidRPr="00A937B9">
        <w:t xml:space="preserve"> e </w:t>
      </w:r>
      <w:r w:rsidRPr="00A937B9">
        <w:rPr>
          <w:b/>
        </w:rPr>
        <w:t>8892</w:t>
      </w:r>
      <w:r w:rsidRPr="00A937B9">
        <w:t>) ed il CCNL Terziario Confesercenti, con Accordo del 12 luglio 2016 (</w:t>
      </w:r>
      <w:r w:rsidRPr="00A937B9">
        <w:rPr>
          <w:b/>
        </w:rPr>
        <w:t>CONTRA</w:t>
      </w:r>
      <w:r w:rsidRPr="00A937B9">
        <w:t xml:space="preserve"> codici </w:t>
      </w:r>
      <w:r w:rsidRPr="00A937B9">
        <w:rPr>
          <w:b/>
        </w:rPr>
        <w:t>8179</w:t>
      </w:r>
      <w:r w:rsidRPr="00A937B9">
        <w:t xml:space="preserve"> e </w:t>
      </w:r>
      <w:r w:rsidRPr="00A937B9">
        <w:rPr>
          <w:b/>
        </w:rPr>
        <w:t>8180</w:t>
      </w:r>
      <w:r w:rsidRPr="00A937B9">
        <w:t>), hanno confermato l’erogazione dell’</w:t>
      </w:r>
      <w:r w:rsidRPr="00A937B9">
        <w:rPr>
          <w:b/>
        </w:rPr>
        <w:t>Elemento Economico di Garanzia</w:t>
      </w:r>
      <w:r w:rsidRPr="00A937B9">
        <w:t>, introdotto nel 2011, previsto in assenza di contratti collettivi di II° livello (territoriale o aziendale) che prevedano erogazioni economiche integrative rispetto a quanto previsto dal contratto collettivo nazionale</w:t>
      </w:r>
    </w:p>
    <w:p w:rsidR="00202B72" w:rsidRPr="00A937B9" w:rsidRDefault="00202B72" w:rsidP="00202B72">
      <w:pPr>
        <w:pStyle w:val="CorpoAltF0"/>
        <w:spacing w:before="60"/>
      </w:pPr>
      <w:r w:rsidRPr="00A937B9">
        <w:t xml:space="preserve">Tale elemento retributivo deve essere corrisposto con la retribuzione relativa al mese di </w:t>
      </w:r>
      <w:r w:rsidRPr="00A937B9">
        <w:rPr>
          <w:b/>
        </w:rPr>
        <w:t>novembre 2017</w:t>
      </w:r>
      <w:r w:rsidRPr="00A937B9">
        <w:t xml:space="preserve"> per il CCNL Terziario Confcommercio, o </w:t>
      </w:r>
      <w:r w:rsidRPr="00A937B9">
        <w:rPr>
          <w:b/>
        </w:rPr>
        <w:t>dicembre 2017</w:t>
      </w:r>
      <w:r w:rsidRPr="00A937B9">
        <w:t xml:space="preserve"> per il CCNL Terziario Confesercenti, nella misura e con le modalità previste dal relativo contratto.</w:t>
      </w:r>
    </w:p>
    <w:p w:rsidR="00202B72" w:rsidRPr="00A937B9" w:rsidRDefault="00202B72" w:rsidP="00202B72">
      <w:pPr>
        <w:pStyle w:val="CorpoAltF0"/>
        <w:spacing w:before="120"/>
      </w:pPr>
      <w:r w:rsidRPr="00A937B9">
        <w:t xml:space="preserve">L’EEG spetta ai </w:t>
      </w:r>
      <w:r w:rsidRPr="00A937B9">
        <w:rPr>
          <w:b/>
        </w:rPr>
        <w:t>lavoratori a tempo indeterminato, e agli apprendisti in forza al 31 ottobre 2017</w:t>
      </w:r>
      <w:r w:rsidRPr="00A937B9">
        <w:t xml:space="preserve">, nel caso di CCNL Terziario Confcommercio, o </w:t>
      </w:r>
      <w:r w:rsidRPr="00A937B9">
        <w:rPr>
          <w:b/>
        </w:rPr>
        <w:t>al 30 novembre 2017</w:t>
      </w:r>
      <w:r w:rsidRPr="00A937B9">
        <w:t xml:space="preserve">, nel caso di CCNL Terziario Confesercenti, che risultino </w:t>
      </w:r>
      <w:r w:rsidRPr="00A937B9">
        <w:rPr>
          <w:b/>
        </w:rPr>
        <w:t>iscritti nel libro unico da almeno 6 mesi</w:t>
      </w:r>
      <w:r w:rsidRPr="00A937B9">
        <w:t>, i 6 mesi devono essere conteggiati dall’ultima data di assunzione/trasformazione a tempo indeterminato intervenuta nel periodo 1° gennaio 2015 – 31 ottobre 2017.</w:t>
      </w:r>
    </w:p>
    <w:p w:rsidR="00202B72" w:rsidRPr="00A937B9" w:rsidRDefault="00202B72" w:rsidP="00202B72">
      <w:pPr>
        <w:pStyle w:val="CorpoAltF0"/>
        <w:spacing w:before="120" w:after="120"/>
      </w:pPr>
      <w:r w:rsidRPr="00A937B9">
        <w:t>L’importo teorico massimo dell’Elemento Economico di Garanzia, uguale per entrambi i CCNL, è fissato in misura differenziata in base al livello di inquadramento del dipendente ed alla dimensione aziendale, come di seguito schematizzato: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268"/>
        <w:gridCol w:w="2155"/>
        <w:gridCol w:w="2155"/>
        <w:gridCol w:w="2155"/>
      </w:tblGrid>
      <w:tr w:rsidR="00202B72" w:rsidRPr="00A937B9" w:rsidTr="002A4886">
        <w:tc>
          <w:tcPr>
            <w:tcW w:w="675" w:type="dxa"/>
            <w:tcBorders>
              <w:top w:val="nil"/>
              <w:left w:val="nil"/>
              <w:bottom w:val="nil"/>
            </w:tcBorders>
            <w:shd w:val="clear" w:color="auto" w:fill="auto"/>
          </w:tcPr>
          <w:p w:rsidR="00202B72" w:rsidRPr="00A937B9" w:rsidRDefault="00202B72" w:rsidP="002A4886">
            <w:pPr>
              <w:pStyle w:val="CorpoAltF0"/>
              <w:spacing w:before="120"/>
            </w:pPr>
          </w:p>
        </w:tc>
        <w:tc>
          <w:tcPr>
            <w:tcW w:w="2268" w:type="dxa"/>
            <w:shd w:val="clear" w:color="auto" w:fill="auto"/>
          </w:tcPr>
          <w:p w:rsidR="00202B72" w:rsidRPr="00A937B9" w:rsidRDefault="00202B72" w:rsidP="002A4886">
            <w:pPr>
              <w:pStyle w:val="CorpoAltF0"/>
              <w:spacing w:before="120"/>
            </w:pPr>
          </w:p>
        </w:tc>
        <w:tc>
          <w:tcPr>
            <w:tcW w:w="2155" w:type="dxa"/>
            <w:shd w:val="clear" w:color="auto" w:fill="auto"/>
          </w:tcPr>
          <w:p w:rsidR="00202B72" w:rsidRPr="00A937B9" w:rsidRDefault="00202B72" w:rsidP="002A4886">
            <w:pPr>
              <w:pStyle w:val="CorpoAltF0"/>
              <w:spacing w:before="120"/>
              <w:jc w:val="center"/>
            </w:pPr>
            <w:r w:rsidRPr="00A937B9">
              <w:t>Quadri, I° e II° livello</w:t>
            </w:r>
          </w:p>
        </w:tc>
        <w:tc>
          <w:tcPr>
            <w:tcW w:w="2155" w:type="dxa"/>
            <w:shd w:val="clear" w:color="auto" w:fill="auto"/>
          </w:tcPr>
          <w:p w:rsidR="00202B72" w:rsidRPr="00A937B9" w:rsidRDefault="00202B72" w:rsidP="002A4886">
            <w:pPr>
              <w:pStyle w:val="CorpoAltF0"/>
              <w:spacing w:before="120"/>
              <w:jc w:val="center"/>
            </w:pPr>
            <w:r w:rsidRPr="00A937B9">
              <w:t>III° e IV° livello</w:t>
            </w:r>
          </w:p>
        </w:tc>
        <w:tc>
          <w:tcPr>
            <w:tcW w:w="2155" w:type="dxa"/>
            <w:shd w:val="clear" w:color="auto" w:fill="auto"/>
          </w:tcPr>
          <w:p w:rsidR="00202B72" w:rsidRPr="00A937B9" w:rsidRDefault="00202B72" w:rsidP="002A4886">
            <w:pPr>
              <w:pStyle w:val="CorpoAltF0"/>
              <w:spacing w:before="120"/>
              <w:jc w:val="center"/>
            </w:pPr>
            <w:r w:rsidRPr="00A937B9">
              <w:t>V°, VI° e VII° livello</w:t>
            </w:r>
          </w:p>
        </w:tc>
      </w:tr>
      <w:tr w:rsidR="00202B72" w:rsidRPr="00A937B9" w:rsidTr="002A4886">
        <w:tc>
          <w:tcPr>
            <w:tcW w:w="675" w:type="dxa"/>
            <w:tcBorders>
              <w:top w:val="nil"/>
              <w:left w:val="nil"/>
              <w:bottom w:val="nil"/>
            </w:tcBorders>
            <w:shd w:val="clear" w:color="auto" w:fill="auto"/>
          </w:tcPr>
          <w:p w:rsidR="00202B72" w:rsidRPr="00A937B9" w:rsidRDefault="00202B72" w:rsidP="002A4886">
            <w:pPr>
              <w:pStyle w:val="CorpoAltF0"/>
              <w:spacing w:before="120"/>
            </w:pPr>
          </w:p>
        </w:tc>
        <w:tc>
          <w:tcPr>
            <w:tcW w:w="2268" w:type="dxa"/>
            <w:shd w:val="clear" w:color="auto" w:fill="auto"/>
          </w:tcPr>
          <w:p w:rsidR="00202B72" w:rsidRPr="00A937B9" w:rsidRDefault="00202B72" w:rsidP="002A4886">
            <w:pPr>
              <w:pStyle w:val="CorpoAltF0"/>
              <w:spacing w:before="120"/>
            </w:pPr>
            <w:r w:rsidRPr="00A937B9">
              <w:t xml:space="preserve">Aziende fino a 10 </w:t>
            </w:r>
            <w:proofErr w:type="spellStart"/>
            <w:r w:rsidRPr="00A937B9">
              <w:t>dip</w:t>
            </w:r>
            <w:proofErr w:type="spellEnd"/>
            <w:r w:rsidRPr="00A937B9">
              <w:t>.</w:t>
            </w:r>
          </w:p>
        </w:tc>
        <w:tc>
          <w:tcPr>
            <w:tcW w:w="2155" w:type="dxa"/>
            <w:shd w:val="clear" w:color="auto" w:fill="auto"/>
          </w:tcPr>
          <w:p w:rsidR="00202B72" w:rsidRPr="00A937B9" w:rsidRDefault="00202B72" w:rsidP="002A4886">
            <w:pPr>
              <w:pStyle w:val="CorpoAltF0"/>
              <w:spacing w:before="120"/>
              <w:jc w:val="center"/>
            </w:pPr>
            <w:r w:rsidRPr="00A937B9">
              <w:t>€ 95</w:t>
            </w:r>
          </w:p>
        </w:tc>
        <w:tc>
          <w:tcPr>
            <w:tcW w:w="2155" w:type="dxa"/>
            <w:shd w:val="clear" w:color="auto" w:fill="auto"/>
          </w:tcPr>
          <w:p w:rsidR="00202B72" w:rsidRPr="00A937B9" w:rsidRDefault="00202B72" w:rsidP="002A4886">
            <w:pPr>
              <w:pStyle w:val="CorpoAltF0"/>
              <w:spacing w:before="120"/>
              <w:jc w:val="center"/>
            </w:pPr>
            <w:r w:rsidRPr="00A937B9">
              <w:t>€ 80</w:t>
            </w:r>
          </w:p>
        </w:tc>
        <w:tc>
          <w:tcPr>
            <w:tcW w:w="2155" w:type="dxa"/>
            <w:shd w:val="clear" w:color="auto" w:fill="auto"/>
          </w:tcPr>
          <w:p w:rsidR="00202B72" w:rsidRPr="00A937B9" w:rsidRDefault="00202B72" w:rsidP="002A4886">
            <w:pPr>
              <w:pStyle w:val="CorpoAltF0"/>
              <w:spacing w:before="120"/>
              <w:jc w:val="center"/>
            </w:pPr>
            <w:r w:rsidRPr="00A937B9">
              <w:t>€ 65</w:t>
            </w:r>
          </w:p>
        </w:tc>
      </w:tr>
      <w:tr w:rsidR="00202B72" w:rsidRPr="00A937B9" w:rsidTr="002A4886">
        <w:tc>
          <w:tcPr>
            <w:tcW w:w="675" w:type="dxa"/>
            <w:tcBorders>
              <w:top w:val="nil"/>
              <w:left w:val="nil"/>
              <w:bottom w:val="nil"/>
            </w:tcBorders>
            <w:shd w:val="clear" w:color="auto" w:fill="auto"/>
          </w:tcPr>
          <w:p w:rsidR="00202B72" w:rsidRPr="00A937B9" w:rsidRDefault="00202B72" w:rsidP="002A4886">
            <w:pPr>
              <w:pStyle w:val="CorpoAltF0"/>
              <w:spacing w:before="120"/>
            </w:pPr>
          </w:p>
        </w:tc>
        <w:tc>
          <w:tcPr>
            <w:tcW w:w="2268" w:type="dxa"/>
            <w:shd w:val="clear" w:color="auto" w:fill="auto"/>
          </w:tcPr>
          <w:p w:rsidR="00202B72" w:rsidRPr="00A937B9" w:rsidRDefault="00202B72" w:rsidP="002A4886">
            <w:pPr>
              <w:pStyle w:val="CorpoAltF0"/>
              <w:spacing w:before="120"/>
            </w:pPr>
            <w:r w:rsidRPr="00A937B9">
              <w:t xml:space="preserve">Aziende da 11 </w:t>
            </w:r>
            <w:proofErr w:type="spellStart"/>
            <w:r w:rsidRPr="00A937B9">
              <w:t>dip</w:t>
            </w:r>
            <w:proofErr w:type="spellEnd"/>
            <w:r w:rsidRPr="00A937B9">
              <w:t>.</w:t>
            </w:r>
          </w:p>
        </w:tc>
        <w:tc>
          <w:tcPr>
            <w:tcW w:w="2155" w:type="dxa"/>
            <w:shd w:val="clear" w:color="auto" w:fill="auto"/>
          </w:tcPr>
          <w:p w:rsidR="00202B72" w:rsidRPr="00A937B9" w:rsidRDefault="00202B72" w:rsidP="002A4886">
            <w:pPr>
              <w:pStyle w:val="CorpoAltF0"/>
              <w:spacing w:before="120"/>
              <w:jc w:val="center"/>
            </w:pPr>
            <w:r w:rsidRPr="00A937B9">
              <w:t>€ 105</w:t>
            </w:r>
          </w:p>
        </w:tc>
        <w:tc>
          <w:tcPr>
            <w:tcW w:w="2155" w:type="dxa"/>
            <w:shd w:val="clear" w:color="auto" w:fill="auto"/>
          </w:tcPr>
          <w:p w:rsidR="00202B72" w:rsidRPr="00A937B9" w:rsidRDefault="00202B72" w:rsidP="002A4886">
            <w:pPr>
              <w:pStyle w:val="CorpoAltF0"/>
              <w:spacing w:before="120"/>
              <w:jc w:val="center"/>
            </w:pPr>
            <w:r w:rsidRPr="00A937B9">
              <w:t>€ 90</w:t>
            </w:r>
          </w:p>
        </w:tc>
        <w:tc>
          <w:tcPr>
            <w:tcW w:w="2155" w:type="dxa"/>
            <w:shd w:val="clear" w:color="auto" w:fill="auto"/>
          </w:tcPr>
          <w:p w:rsidR="00202B72" w:rsidRPr="00A937B9" w:rsidRDefault="00202B72" w:rsidP="002A4886">
            <w:pPr>
              <w:pStyle w:val="CorpoAltF0"/>
              <w:spacing w:before="120"/>
              <w:jc w:val="center"/>
            </w:pPr>
            <w:r w:rsidRPr="00A937B9">
              <w:t>€ 75</w:t>
            </w:r>
          </w:p>
        </w:tc>
      </w:tr>
    </w:tbl>
    <w:p w:rsidR="00202B72" w:rsidRPr="00A937B9" w:rsidRDefault="00202B72" w:rsidP="00202B72">
      <w:pPr>
        <w:pStyle w:val="CorpoAltF0"/>
        <w:spacing w:before="120" w:after="120"/>
      </w:pPr>
      <w:r w:rsidRPr="00A937B9">
        <w:t>Con riferimento agli operatori di vendita, gli importi di EEG sono così definiti: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268"/>
        <w:gridCol w:w="2155"/>
        <w:gridCol w:w="2155"/>
      </w:tblGrid>
      <w:tr w:rsidR="00202B72" w:rsidRPr="00A937B9" w:rsidTr="002A4886">
        <w:tc>
          <w:tcPr>
            <w:tcW w:w="675" w:type="dxa"/>
            <w:tcBorders>
              <w:top w:val="nil"/>
              <w:left w:val="nil"/>
              <w:bottom w:val="nil"/>
            </w:tcBorders>
            <w:shd w:val="clear" w:color="auto" w:fill="auto"/>
          </w:tcPr>
          <w:p w:rsidR="00202B72" w:rsidRPr="00A937B9" w:rsidRDefault="00202B72" w:rsidP="002A4886">
            <w:pPr>
              <w:pStyle w:val="CorpoAltF0"/>
              <w:spacing w:before="120"/>
            </w:pPr>
          </w:p>
        </w:tc>
        <w:tc>
          <w:tcPr>
            <w:tcW w:w="2268" w:type="dxa"/>
            <w:shd w:val="clear" w:color="auto" w:fill="auto"/>
          </w:tcPr>
          <w:p w:rsidR="00202B72" w:rsidRPr="00A937B9" w:rsidRDefault="00202B72" w:rsidP="002A4886">
            <w:pPr>
              <w:pStyle w:val="CorpoAltF0"/>
              <w:spacing w:before="120"/>
            </w:pPr>
          </w:p>
        </w:tc>
        <w:tc>
          <w:tcPr>
            <w:tcW w:w="2155" w:type="dxa"/>
            <w:shd w:val="clear" w:color="auto" w:fill="auto"/>
          </w:tcPr>
          <w:p w:rsidR="00202B72" w:rsidRPr="00A937B9" w:rsidRDefault="00202B72" w:rsidP="002A4886">
            <w:pPr>
              <w:pStyle w:val="CorpoAltF0"/>
              <w:spacing w:before="120"/>
              <w:jc w:val="center"/>
            </w:pPr>
            <w:r w:rsidRPr="00A937B9">
              <w:t>I^ categoria</w:t>
            </w:r>
          </w:p>
        </w:tc>
        <w:tc>
          <w:tcPr>
            <w:tcW w:w="2155" w:type="dxa"/>
            <w:shd w:val="clear" w:color="auto" w:fill="auto"/>
          </w:tcPr>
          <w:p w:rsidR="00202B72" w:rsidRPr="00A937B9" w:rsidRDefault="00202B72" w:rsidP="002A4886">
            <w:pPr>
              <w:pStyle w:val="CorpoAltF0"/>
              <w:spacing w:before="120"/>
              <w:jc w:val="center"/>
            </w:pPr>
            <w:r w:rsidRPr="00A937B9">
              <w:t>II^ categoria</w:t>
            </w:r>
          </w:p>
        </w:tc>
      </w:tr>
      <w:tr w:rsidR="00202B72" w:rsidRPr="00A937B9" w:rsidTr="002A4886">
        <w:tc>
          <w:tcPr>
            <w:tcW w:w="675" w:type="dxa"/>
            <w:tcBorders>
              <w:top w:val="nil"/>
              <w:left w:val="nil"/>
              <w:bottom w:val="nil"/>
            </w:tcBorders>
            <w:shd w:val="clear" w:color="auto" w:fill="auto"/>
          </w:tcPr>
          <w:p w:rsidR="00202B72" w:rsidRPr="00A937B9" w:rsidRDefault="00202B72" w:rsidP="002A4886">
            <w:pPr>
              <w:pStyle w:val="CorpoAltF0"/>
              <w:spacing w:before="120"/>
            </w:pPr>
          </w:p>
        </w:tc>
        <w:tc>
          <w:tcPr>
            <w:tcW w:w="2268" w:type="dxa"/>
            <w:shd w:val="clear" w:color="auto" w:fill="auto"/>
          </w:tcPr>
          <w:p w:rsidR="00202B72" w:rsidRPr="00A937B9" w:rsidRDefault="00202B72" w:rsidP="002A4886">
            <w:pPr>
              <w:pStyle w:val="CorpoAltF0"/>
              <w:spacing w:before="120"/>
            </w:pPr>
            <w:r w:rsidRPr="00A937B9">
              <w:t xml:space="preserve">Aziende fino a 10 </w:t>
            </w:r>
            <w:proofErr w:type="spellStart"/>
            <w:r w:rsidRPr="00A937B9">
              <w:t>dip</w:t>
            </w:r>
            <w:proofErr w:type="spellEnd"/>
            <w:r w:rsidRPr="00A937B9">
              <w:t>.</w:t>
            </w:r>
          </w:p>
        </w:tc>
        <w:tc>
          <w:tcPr>
            <w:tcW w:w="2155" w:type="dxa"/>
            <w:shd w:val="clear" w:color="auto" w:fill="auto"/>
          </w:tcPr>
          <w:p w:rsidR="00202B72" w:rsidRPr="00A937B9" w:rsidRDefault="00202B72" w:rsidP="002A4886">
            <w:pPr>
              <w:pStyle w:val="CorpoAltF0"/>
              <w:spacing w:before="120"/>
              <w:jc w:val="center"/>
            </w:pPr>
            <w:r w:rsidRPr="00A937B9">
              <w:t>€ 76</w:t>
            </w:r>
          </w:p>
        </w:tc>
        <w:tc>
          <w:tcPr>
            <w:tcW w:w="2155" w:type="dxa"/>
            <w:shd w:val="clear" w:color="auto" w:fill="auto"/>
          </w:tcPr>
          <w:p w:rsidR="00202B72" w:rsidRPr="00A937B9" w:rsidRDefault="00202B72" w:rsidP="002A4886">
            <w:pPr>
              <w:pStyle w:val="CorpoAltF0"/>
              <w:spacing w:before="120"/>
              <w:jc w:val="center"/>
            </w:pPr>
            <w:r w:rsidRPr="00A937B9">
              <w:t>€ 63</w:t>
            </w:r>
          </w:p>
        </w:tc>
      </w:tr>
      <w:tr w:rsidR="00202B72" w:rsidRPr="00A937B9" w:rsidTr="002A4886">
        <w:tc>
          <w:tcPr>
            <w:tcW w:w="675" w:type="dxa"/>
            <w:tcBorders>
              <w:top w:val="nil"/>
              <w:left w:val="nil"/>
              <w:bottom w:val="nil"/>
            </w:tcBorders>
            <w:shd w:val="clear" w:color="auto" w:fill="auto"/>
          </w:tcPr>
          <w:p w:rsidR="00202B72" w:rsidRPr="00A937B9" w:rsidRDefault="00202B72" w:rsidP="002A4886">
            <w:pPr>
              <w:pStyle w:val="CorpoAltF0"/>
              <w:spacing w:before="120"/>
            </w:pPr>
          </w:p>
        </w:tc>
        <w:tc>
          <w:tcPr>
            <w:tcW w:w="2268" w:type="dxa"/>
            <w:shd w:val="clear" w:color="auto" w:fill="auto"/>
          </w:tcPr>
          <w:p w:rsidR="00202B72" w:rsidRPr="00A937B9" w:rsidRDefault="00202B72" w:rsidP="002A4886">
            <w:pPr>
              <w:pStyle w:val="CorpoAltF0"/>
              <w:spacing w:before="120"/>
            </w:pPr>
            <w:r w:rsidRPr="00A937B9">
              <w:t xml:space="preserve">Aziende da 11 </w:t>
            </w:r>
            <w:proofErr w:type="spellStart"/>
            <w:r w:rsidRPr="00A937B9">
              <w:t>dip</w:t>
            </w:r>
            <w:proofErr w:type="spellEnd"/>
            <w:r w:rsidRPr="00A937B9">
              <w:t>.</w:t>
            </w:r>
          </w:p>
        </w:tc>
        <w:tc>
          <w:tcPr>
            <w:tcW w:w="2155" w:type="dxa"/>
            <w:shd w:val="clear" w:color="auto" w:fill="auto"/>
          </w:tcPr>
          <w:p w:rsidR="00202B72" w:rsidRPr="00A937B9" w:rsidRDefault="00202B72" w:rsidP="002A4886">
            <w:pPr>
              <w:pStyle w:val="CorpoAltF0"/>
              <w:spacing w:before="120"/>
              <w:jc w:val="center"/>
            </w:pPr>
            <w:r w:rsidRPr="00A937B9">
              <w:t>€ 85</w:t>
            </w:r>
          </w:p>
        </w:tc>
        <w:tc>
          <w:tcPr>
            <w:tcW w:w="2155" w:type="dxa"/>
            <w:shd w:val="clear" w:color="auto" w:fill="auto"/>
          </w:tcPr>
          <w:p w:rsidR="00202B72" w:rsidRPr="00A937B9" w:rsidRDefault="00202B72" w:rsidP="002A4886">
            <w:pPr>
              <w:pStyle w:val="CorpoAltF0"/>
              <w:spacing w:before="120"/>
              <w:jc w:val="center"/>
            </w:pPr>
            <w:r w:rsidRPr="00A937B9">
              <w:t>€ 71</w:t>
            </w:r>
          </w:p>
        </w:tc>
      </w:tr>
    </w:tbl>
    <w:p w:rsidR="00202B72" w:rsidRPr="00A937B9" w:rsidRDefault="00202B72" w:rsidP="00202B72">
      <w:pPr>
        <w:pStyle w:val="CorpoAltF0"/>
      </w:pPr>
    </w:p>
    <w:p w:rsidR="00202B72" w:rsidRPr="00A937B9" w:rsidRDefault="00202B72" w:rsidP="00202B72">
      <w:pPr>
        <w:pStyle w:val="CorpoAltF0"/>
      </w:pPr>
      <w:r w:rsidRPr="00A937B9">
        <w:t>I suddetti importi devono essere riconosciuti in proporzione all’effettiva prestazione lavorativa svolta presso l’azienda nel periodo 1 gennaio 2015 – 31 ottobre 2017.</w:t>
      </w:r>
    </w:p>
    <w:p w:rsidR="00202B72" w:rsidRPr="00A937B9" w:rsidRDefault="00202B72" w:rsidP="00202B72">
      <w:pPr>
        <w:pStyle w:val="CorpoAltF0"/>
      </w:pPr>
      <w:r w:rsidRPr="00A937B9">
        <w:t>Pertanto, l’importo spettante deve essere determinato suddividendo l’importo complessivo in 34 quote mensili (gen. ’15 – ott. ’17) da riconoscere per ciascun mese di effettiva prestazione lavorativa, conteggiando come mese intero le frazioni di mese superiori o uguali a 15 giorni.</w:t>
      </w:r>
    </w:p>
    <w:p w:rsidR="00202B72" w:rsidRPr="00A937B9" w:rsidRDefault="00202B72" w:rsidP="00202B72">
      <w:pPr>
        <w:pStyle w:val="CorpoAltF0"/>
        <w:spacing w:before="120"/>
      </w:pPr>
      <w:r w:rsidRPr="00A937B9">
        <w:t xml:space="preserve">Nei mesi di effettiva prestazione lavorativa devono considerarsi anche i periodi di assenza per i quali è comunque prevista un’integrazione retributiva da parte del datore di lavoro (maternità obbligatoria, malattia </w:t>
      </w:r>
      <w:proofErr w:type="spellStart"/>
      <w:r w:rsidRPr="00A937B9">
        <w:t>ed</w:t>
      </w:r>
      <w:proofErr w:type="spellEnd"/>
      <w:r w:rsidRPr="00A937B9">
        <w:t xml:space="preserve"> infortunio).</w:t>
      </w:r>
    </w:p>
    <w:p w:rsidR="00202B72" w:rsidRPr="00A937B9" w:rsidRDefault="00202B72" w:rsidP="00202B72">
      <w:pPr>
        <w:pStyle w:val="CorpoAltF0"/>
      </w:pPr>
      <w:r w:rsidRPr="00A937B9">
        <w:t>Diversamente, non devono essere considerati i periodi di astensione dal lavoro, limitatamente ai periodi durante i quali non è prevista alcuna integrazione del datore, ad esempio:</w:t>
      </w:r>
    </w:p>
    <w:p w:rsidR="00202B72" w:rsidRPr="00A937B9" w:rsidRDefault="00202B72" w:rsidP="00202B72">
      <w:pPr>
        <w:pStyle w:val="CorpoAltF0"/>
        <w:numPr>
          <w:ilvl w:val="0"/>
          <w:numId w:val="9"/>
        </w:numPr>
        <w:ind w:left="284" w:hanging="284"/>
      </w:pPr>
      <w:r w:rsidRPr="00A937B9">
        <w:t>maternità anticipata;</w:t>
      </w:r>
    </w:p>
    <w:p w:rsidR="00202B72" w:rsidRPr="00A937B9" w:rsidRDefault="00202B72" w:rsidP="00202B72">
      <w:pPr>
        <w:pStyle w:val="CorpoAltF0"/>
        <w:numPr>
          <w:ilvl w:val="0"/>
          <w:numId w:val="9"/>
        </w:numPr>
        <w:ind w:left="284" w:hanging="284"/>
      </w:pPr>
      <w:r w:rsidRPr="00A937B9">
        <w:t>congedo parentale (astensione facoltativa);</w:t>
      </w:r>
    </w:p>
    <w:p w:rsidR="00202B72" w:rsidRPr="00A937B9" w:rsidRDefault="00202B72" w:rsidP="00202B72">
      <w:pPr>
        <w:pStyle w:val="CorpoAltF0"/>
        <w:numPr>
          <w:ilvl w:val="0"/>
          <w:numId w:val="9"/>
        </w:numPr>
        <w:ind w:left="284" w:hanging="284"/>
      </w:pPr>
      <w:r w:rsidRPr="00A937B9">
        <w:t>sospensione con ricorso alla Cassa Integrazione Guadagni Straordinaria;</w:t>
      </w:r>
    </w:p>
    <w:p w:rsidR="00202B72" w:rsidRPr="00A937B9" w:rsidRDefault="00202B72" w:rsidP="00202B72">
      <w:pPr>
        <w:pStyle w:val="CorpoAltF0"/>
        <w:numPr>
          <w:ilvl w:val="0"/>
          <w:numId w:val="9"/>
        </w:numPr>
        <w:ind w:left="284" w:hanging="284"/>
      </w:pPr>
      <w:r w:rsidRPr="00A937B9">
        <w:t>permessi e aspettative non retribuiti anche se indennizzati da Istituti assistenziali o previdenziali;</w:t>
      </w:r>
    </w:p>
    <w:p w:rsidR="00202B72" w:rsidRPr="00A937B9" w:rsidRDefault="00202B72" w:rsidP="00202B72">
      <w:pPr>
        <w:pStyle w:val="CorpoAltF0"/>
        <w:numPr>
          <w:ilvl w:val="0"/>
          <w:numId w:val="9"/>
        </w:numPr>
        <w:ind w:left="284" w:hanging="284"/>
      </w:pPr>
      <w:r w:rsidRPr="00A937B9">
        <w:t>eventi di malattia o infortunio.</w:t>
      </w:r>
    </w:p>
    <w:p w:rsidR="00202B72" w:rsidRPr="00A937B9" w:rsidRDefault="00202B72" w:rsidP="00202B72">
      <w:pPr>
        <w:pStyle w:val="CorpoAltF0"/>
        <w:spacing w:before="120"/>
      </w:pPr>
      <w:r w:rsidRPr="00A937B9">
        <w:t>Per i lavoratori a tempo parziale, l’importo deve essere riproporzionato in base alla relativa percentuale part-time.</w:t>
      </w:r>
    </w:p>
    <w:p w:rsidR="00202B72" w:rsidRPr="00A937B9" w:rsidRDefault="00202B72" w:rsidP="00202B72">
      <w:pPr>
        <w:pStyle w:val="CorpoAltF0"/>
        <w:spacing w:before="120"/>
      </w:pPr>
      <w:r w:rsidRPr="00A937B9">
        <w:t>La dimensione aziendale per l’individuazione dell’importo di riferimento deve essere rilevata secondo le regole UNIEMENS (valore indicato nell’elemento &lt;</w:t>
      </w:r>
      <w:proofErr w:type="spellStart"/>
      <w:r w:rsidRPr="00A937B9">
        <w:t>ForzaAziendale</w:t>
      </w:r>
      <w:proofErr w:type="spellEnd"/>
      <w:r w:rsidRPr="00A937B9">
        <w:t>&gt; della denuncia aziendale) con riferimento al mese di ottobre 2017 nel caso di CCNL Terziario Confcommercio, o novembre 2017 nel caso di CCNL Terziario Confesercenti.</w:t>
      </w:r>
    </w:p>
    <w:p w:rsidR="00202B72" w:rsidRPr="00A937B9" w:rsidRDefault="00202B72" w:rsidP="00202B72">
      <w:pPr>
        <w:pStyle w:val="CorpoAltF0"/>
        <w:spacing w:before="120"/>
      </w:pPr>
      <w:r w:rsidRPr="00A937B9">
        <w:t>L’importo riconosciuto come EEG non è utile ai fini della maturazione di alcun istituto di legge o contrattuale.</w:t>
      </w:r>
    </w:p>
    <w:p w:rsidR="00202B72" w:rsidRPr="00A937B9" w:rsidRDefault="00202B72" w:rsidP="00202B72">
      <w:pPr>
        <w:pStyle w:val="Ignora"/>
      </w:pPr>
      <w:r w:rsidRPr="00A937B9">
        <w:br w:type="page"/>
      </w:r>
    </w:p>
    <w:p w:rsidR="00202B72" w:rsidRPr="00A937B9" w:rsidRDefault="00202B72" w:rsidP="00202B72">
      <w:pPr>
        <w:pStyle w:val="CorpoAltF0"/>
      </w:pPr>
    </w:p>
    <w:p w:rsidR="00202B72" w:rsidRPr="00A937B9" w:rsidRDefault="00202B72" w:rsidP="00202B72">
      <w:pPr>
        <w:pStyle w:val="CorpoAltF0"/>
      </w:pPr>
      <w:r w:rsidRPr="00A937B9">
        <w:t>L’importo è assorbito, sino a concorrenza, da ogni trattamento economico individuale o collettivo aggiuntivo rispetto a quanto previsto dai CCNL in esame, eventualmente corrisposto anche unilateralmente da parte dell’azienda, successivamente al 1° gennaio 2015.</w:t>
      </w:r>
    </w:p>
    <w:p w:rsidR="00202B72" w:rsidRPr="00A937B9" w:rsidRDefault="00202B72" w:rsidP="00202B72">
      <w:pPr>
        <w:pStyle w:val="CorpoAltF0"/>
      </w:pPr>
    </w:p>
    <w:p w:rsidR="00202B72" w:rsidRPr="00A937B9" w:rsidRDefault="00202B72" w:rsidP="00202B72">
      <w:pPr>
        <w:pStyle w:val="CorpoAltF0"/>
      </w:pPr>
      <w:r w:rsidRPr="00A937B9">
        <w:t>Di seguito si descrivono le implementazioni apportate al fine di gestire automaticamente il calcolo e l’erogazione dell’Elemento Economico di Garanzia.</w:t>
      </w:r>
    </w:p>
    <w:p w:rsidR="00202B72" w:rsidRPr="00A937B9" w:rsidRDefault="00202B72" w:rsidP="00202B72">
      <w:pPr>
        <w:pStyle w:val="CorpoAltF0"/>
      </w:pPr>
    </w:p>
    <w:p w:rsidR="00202B72" w:rsidRPr="00A937B9" w:rsidRDefault="00202B72" w:rsidP="00202B72">
      <w:pPr>
        <w:pStyle w:val="CorpoAltF0"/>
      </w:pPr>
    </w:p>
    <w:p w:rsidR="00202B72" w:rsidRPr="00A937B9" w:rsidRDefault="00202B72" w:rsidP="00202B72">
      <w:pPr>
        <w:pStyle w:val="TS-titolo-04"/>
      </w:pPr>
      <w:bookmarkStart w:id="162" w:name="_Toc372733998"/>
      <w:bookmarkStart w:id="163" w:name="_Toc372737852"/>
      <w:bookmarkStart w:id="164" w:name="_Toc499133403"/>
      <w:bookmarkStart w:id="165" w:name="_Toc499135155"/>
      <w:r w:rsidRPr="00A937B9">
        <w:t>TB0120 – Tabella Basi</w:t>
      </w:r>
      <w:bookmarkEnd w:id="162"/>
      <w:bookmarkEnd w:id="163"/>
      <w:bookmarkEnd w:id="164"/>
      <w:bookmarkEnd w:id="165"/>
    </w:p>
    <w:p w:rsidR="00202B72" w:rsidRPr="00A937B9" w:rsidRDefault="00202B72" w:rsidP="00202B72">
      <w:pPr>
        <w:pStyle w:val="CorpoAltF0"/>
        <w:spacing w:before="120"/>
      </w:pPr>
      <w:r w:rsidRPr="00A937B9">
        <w:t>Con l’esecuzione del comando di conversione, il programma provvede a memorizzare gli importi di EEG previsti all’interno di apposite tabelle “</w:t>
      </w:r>
      <w:r w:rsidRPr="00A937B9">
        <w:rPr>
          <w:i/>
        </w:rPr>
        <w:t>Basi</w:t>
      </w:r>
      <w:r w:rsidRPr="00A937B9">
        <w:t>” (</w:t>
      </w:r>
      <w:r w:rsidRPr="00A937B9">
        <w:rPr>
          <w:b/>
        </w:rPr>
        <w:t>TB0120</w:t>
      </w:r>
      <w:r w:rsidRPr="00A937B9">
        <w:t xml:space="preserve">), relative al codice settore </w:t>
      </w:r>
      <w:r w:rsidRPr="00A937B9">
        <w:rPr>
          <w:b/>
        </w:rPr>
        <w:t>8162</w:t>
      </w:r>
      <w:r w:rsidRPr="00A937B9">
        <w:t>.</w:t>
      </w:r>
    </w:p>
    <w:p w:rsidR="00202B72" w:rsidRPr="00A937B9" w:rsidRDefault="00202B72" w:rsidP="00202B72">
      <w:pPr>
        <w:pStyle w:val="CorpoAltF0"/>
        <w:spacing w:before="60"/>
      </w:pPr>
      <w:r w:rsidRPr="00A937B9">
        <w:t>Le basi vengono create con codice 10 (aziende fino a 10 dipendenti) e 11 (aziende oltre i 10 dipendenti).</w:t>
      </w:r>
    </w:p>
    <w:p w:rsidR="00202B72" w:rsidRPr="00A937B9" w:rsidRDefault="00202B72" w:rsidP="00202B72">
      <w:pPr>
        <w:pStyle w:val="CorpoAltF0"/>
        <w:spacing w:before="60"/>
      </w:pPr>
      <w:r w:rsidRPr="00A937B9">
        <w:t xml:space="preserve">Se la </w:t>
      </w:r>
      <w:r w:rsidRPr="00A937B9">
        <w:rPr>
          <w:b/>
        </w:rPr>
        <w:t>TB0120</w:t>
      </w:r>
      <w:r w:rsidRPr="00A937B9">
        <w:t xml:space="preserve"> per il codice settore </w:t>
      </w:r>
      <w:r w:rsidRPr="00A937B9">
        <w:rPr>
          <w:b/>
        </w:rPr>
        <w:t>8162</w:t>
      </w:r>
      <w:r w:rsidRPr="00A937B9">
        <w:t xml:space="preserve"> risulta già presente dalla precedente gestione dell’EEG (versione PAGHE 2013.2.2) la conversione provvederà ad aggiornarne i valori.</w:t>
      </w:r>
    </w:p>
    <w:p w:rsidR="00202B72" w:rsidRPr="00A937B9" w:rsidRDefault="00202B72" w:rsidP="00202B72">
      <w:pPr>
        <w:pStyle w:val="CorpoAltF0"/>
        <w:spacing w:before="60"/>
      </w:pPr>
      <w:r w:rsidRPr="00A937B9">
        <w:t>Nel caso di tabelle “</w:t>
      </w:r>
      <w:r w:rsidRPr="00A937B9">
        <w:rPr>
          <w:i/>
        </w:rPr>
        <w:t>Basi</w:t>
      </w:r>
      <w:r w:rsidRPr="00A937B9">
        <w:t>” create dall’utente per codici settori diversi, la modifica dovrà essere eseguita manualmente.</w:t>
      </w:r>
    </w:p>
    <w:p w:rsidR="00202B72" w:rsidRPr="00A937B9" w:rsidRDefault="00202B72" w:rsidP="00202B72">
      <w:pPr>
        <w:pStyle w:val="CorpoAltF0"/>
        <w:spacing w:before="60"/>
      </w:pPr>
      <w:r w:rsidRPr="00A937B9">
        <w:t>Per l’erogazione dell’elemento in esame il programma utilizzerà se presente, la tabella “</w:t>
      </w:r>
      <w:r w:rsidRPr="00A937B9">
        <w:rPr>
          <w:i/>
        </w:rPr>
        <w:t>Basi</w:t>
      </w:r>
      <w:r w:rsidRPr="00A937B9">
        <w:t xml:space="preserve">” creata dall’utente (sempre con codice 10 e 11) per lo specifico codice settore, se assente verrà utilizzata la tabella relativa al codice settore </w:t>
      </w:r>
      <w:r w:rsidRPr="00A937B9">
        <w:rPr>
          <w:b/>
        </w:rPr>
        <w:t>8162</w:t>
      </w:r>
      <w:r w:rsidRPr="00A937B9">
        <w:t>.</w:t>
      </w:r>
    </w:p>
    <w:p w:rsidR="00202B72" w:rsidRPr="00A937B9" w:rsidRDefault="00202B72" w:rsidP="00202B72">
      <w:pPr>
        <w:pStyle w:val="CorpoAltF0"/>
      </w:pPr>
    </w:p>
    <w:p w:rsidR="00202B72" w:rsidRPr="00A937B9" w:rsidRDefault="00202B72" w:rsidP="00202B72">
      <w:pPr>
        <w:pStyle w:val="CorpoAltF0"/>
        <w:jc w:val="center"/>
      </w:pPr>
      <w:r w:rsidRPr="00A937B9">
        <w:rPr>
          <w:noProof/>
        </w:rPr>
        <w:drawing>
          <wp:inline distT="0" distB="0" distL="0" distR="0" wp14:anchorId="4292E8BE" wp14:editId="18F795C5">
            <wp:extent cx="5040000" cy="2106999"/>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40000" cy="2106999"/>
                    </a:xfrm>
                    <a:prstGeom prst="rect">
                      <a:avLst/>
                    </a:prstGeom>
                  </pic:spPr>
                </pic:pic>
              </a:graphicData>
            </a:graphic>
          </wp:inline>
        </w:drawing>
      </w:r>
    </w:p>
    <w:p w:rsidR="00202B72" w:rsidRPr="00A937B9" w:rsidRDefault="00202B72" w:rsidP="00202B72">
      <w:pPr>
        <w:pStyle w:val="CorpoAltF0"/>
        <w:rPr>
          <w:noProof/>
        </w:rPr>
      </w:pPr>
    </w:p>
    <w:p w:rsidR="00202B72" w:rsidRPr="00A937B9" w:rsidRDefault="00202B72" w:rsidP="00202B72">
      <w:pPr>
        <w:pStyle w:val="CorpoAltF0"/>
        <w:jc w:val="center"/>
        <w:rPr>
          <w:noProof/>
        </w:rPr>
      </w:pPr>
      <w:r w:rsidRPr="00A937B9">
        <w:rPr>
          <w:noProof/>
        </w:rPr>
        <w:drawing>
          <wp:inline distT="0" distB="0" distL="0" distR="0" wp14:anchorId="6D396AC0" wp14:editId="4EC12CD4">
            <wp:extent cx="5040000" cy="208123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40000" cy="2081235"/>
                    </a:xfrm>
                    <a:prstGeom prst="rect">
                      <a:avLst/>
                    </a:prstGeom>
                  </pic:spPr>
                </pic:pic>
              </a:graphicData>
            </a:graphic>
          </wp:inline>
        </w:drawing>
      </w:r>
    </w:p>
    <w:p w:rsidR="00202B72" w:rsidRPr="00A937B9" w:rsidRDefault="00202B72" w:rsidP="00202B72">
      <w:pPr>
        <w:pStyle w:val="Ignora"/>
      </w:pPr>
      <w:r w:rsidRPr="00A937B9">
        <w:br w:type="page"/>
      </w:r>
    </w:p>
    <w:p w:rsidR="00202B72" w:rsidRPr="00A937B9" w:rsidRDefault="00202B72" w:rsidP="00202B72">
      <w:pPr>
        <w:pStyle w:val="Ignora"/>
      </w:pPr>
    </w:p>
    <w:p w:rsidR="00202B72" w:rsidRPr="00A937B9" w:rsidRDefault="00202B72" w:rsidP="00202B72">
      <w:pPr>
        <w:pStyle w:val="TS-titolo-04"/>
      </w:pPr>
      <w:bookmarkStart w:id="166" w:name="_Toc372733999"/>
      <w:bookmarkStart w:id="167" w:name="_Toc372737853"/>
      <w:bookmarkStart w:id="168" w:name="_Toc499133404"/>
      <w:bookmarkStart w:id="169" w:name="_Toc499135156"/>
      <w:r w:rsidRPr="00A937B9">
        <w:t>UTYEEG – Elaborazione EEG Commercio</w:t>
      </w:r>
      <w:bookmarkEnd w:id="166"/>
      <w:bookmarkEnd w:id="167"/>
      <w:bookmarkEnd w:id="168"/>
      <w:bookmarkEnd w:id="169"/>
    </w:p>
    <w:p w:rsidR="00202B72" w:rsidRPr="00A937B9" w:rsidRDefault="00202B72" w:rsidP="00202B72">
      <w:pPr>
        <w:pStyle w:val="CorpoAltF0"/>
        <w:spacing w:before="120"/>
      </w:pPr>
      <w:r w:rsidRPr="00A937B9">
        <w:t xml:space="preserve">Il comando </w:t>
      </w:r>
      <w:r w:rsidRPr="00A937B9">
        <w:rPr>
          <w:b/>
        </w:rPr>
        <w:t>UTYEEG</w:t>
      </w:r>
      <w:r w:rsidRPr="00A937B9">
        <w:t xml:space="preserve"> consente di:</w:t>
      </w:r>
    </w:p>
    <w:p w:rsidR="00202B72" w:rsidRPr="00A937B9" w:rsidRDefault="00202B72" w:rsidP="00202B72">
      <w:pPr>
        <w:pStyle w:val="CorpoAltF0"/>
        <w:numPr>
          <w:ilvl w:val="0"/>
          <w:numId w:val="10"/>
        </w:numPr>
        <w:spacing w:before="60"/>
        <w:ind w:left="284" w:hanging="284"/>
      </w:pPr>
      <w:r w:rsidRPr="00A937B9">
        <w:t>calcolare l’importo di EEG spettante per ciascun dipendente interessato;</w:t>
      </w:r>
    </w:p>
    <w:p w:rsidR="00202B72" w:rsidRPr="00A937B9" w:rsidRDefault="00202B72" w:rsidP="00202B72">
      <w:pPr>
        <w:pStyle w:val="CorpoAltF0"/>
        <w:numPr>
          <w:ilvl w:val="0"/>
          <w:numId w:val="10"/>
        </w:numPr>
        <w:spacing w:before="60"/>
        <w:ind w:left="284" w:hanging="284"/>
      </w:pPr>
      <w:r w:rsidRPr="00A937B9">
        <w:t>generare la voce di calcolo per l’erogazione dell’importo calcolato.</w:t>
      </w:r>
    </w:p>
    <w:p w:rsidR="00202B72" w:rsidRPr="00A937B9" w:rsidRDefault="00202B72" w:rsidP="00202B72">
      <w:pPr>
        <w:pStyle w:val="CorpoAltF0"/>
      </w:pPr>
    </w:p>
    <w:p w:rsidR="00202B72" w:rsidRPr="00A937B9" w:rsidRDefault="00202B72" w:rsidP="00202B72">
      <w:pPr>
        <w:pStyle w:val="CorpoAltF0"/>
      </w:pPr>
      <w:r w:rsidRPr="00A937B9">
        <w:t>A tal fine, il comando in oggetto presenta le seguenti scelte:</w:t>
      </w:r>
    </w:p>
    <w:p w:rsidR="00202B72" w:rsidRPr="00A937B9" w:rsidRDefault="00202B72" w:rsidP="00202B72">
      <w:pPr>
        <w:pStyle w:val="CorpoAltF0"/>
      </w:pPr>
    </w:p>
    <w:p w:rsidR="00202B72" w:rsidRPr="00A937B9" w:rsidRDefault="00202B72" w:rsidP="00202B72">
      <w:pPr>
        <w:pStyle w:val="CorpoAltF0"/>
        <w:jc w:val="center"/>
      </w:pPr>
      <w:r w:rsidRPr="00A937B9">
        <w:rPr>
          <w:noProof/>
        </w:rPr>
        <w:drawing>
          <wp:inline distT="0" distB="0" distL="0" distR="0" wp14:anchorId="63E19C34" wp14:editId="613252E7">
            <wp:extent cx="5040000" cy="2758834"/>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0000" cy="2758834"/>
                    </a:xfrm>
                    <a:prstGeom prst="rect">
                      <a:avLst/>
                    </a:prstGeom>
                  </pic:spPr>
                </pic:pic>
              </a:graphicData>
            </a:graphic>
          </wp:inline>
        </w:drawing>
      </w:r>
    </w:p>
    <w:p w:rsidR="00202B72" w:rsidRPr="00A937B9" w:rsidRDefault="00202B72" w:rsidP="00202B72">
      <w:pPr>
        <w:pStyle w:val="CorpoAltF0"/>
      </w:pPr>
    </w:p>
    <w:p w:rsidR="00202B72" w:rsidRPr="00A937B9" w:rsidRDefault="00202B72" w:rsidP="00202B72">
      <w:pPr>
        <w:pStyle w:val="TS-titolo-05"/>
      </w:pPr>
      <w:bookmarkStart w:id="170" w:name="_Toc372734000"/>
      <w:bookmarkStart w:id="171" w:name="_Toc372737854"/>
      <w:bookmarkStart w:id="172" w:name="_Toc499133405"/>
      <w:bookmarkStart w:id="173" w:name="_Toc499135157"/>
      <w:r w:rsidRPr="00A937B9">
        <w:t>Stampa</w:t>
      </w:r>
      <w:bookmarkEnd w:id="170"/>
      <w:bookmarkEnd w:id="171"/>
      <w:bookmarkEnd w:id="172"/>
      <w:bookmarkEnd w:id="173"/>
    </w:p>
    <w:p w:rsidR="00202B72" w:rsidRPr="00A937B9" w:rsidRDefault="00202B72" w:rsidP="00202B72">
      <w:pPr>
        <w:pStyle w:val="CorpoAltF0"/>
        <w:spacing w:before="120"/>
      </w:pPr>
      <w:r w:rsidRPr="00A937B9">
        <w:t>Tale scelta consente di calcolare gli importi di EEG spettanti per i dipendenti delle aziende selezionate appartenenti al codice settore indicato dall’utente, evidenziando nella stampa prodotta il dettaglio dei dati rilevati ai fini della determinazione dell’importo stesso.</w:t>
      </w:r>
    </w:p>
    <w:p w:rsidR="00202B72" w:rsidRPr="00A937B9" w:rsidRDefault="00202B72" w:rsidP="00202B72">
      <w:pPr>
        <w:pStyle w:val="CorpoAltF0"/>
        <w:spacing w:before="60"/>
      </w:pPr>
      <w:r w:rsidRPr="00A937B9">
        <w:t>Sono richieste le seguenti informazioni:</w:t>
      </w:r>
    </w:p>
    <w:tbl>
      <w:tblPr>
        <w:tblW w:w="9980" w:type="dxa"/>
        <w:tblLook w:val="04A0" w:firstRow="1" w:lastRow="0" w:firstColumn="1" w:lastColumn="0" w:noHBand="0" w:noVBand="1"/>
      </w:tblPr>
      <w:tblGrid>
        <w:gridCol w:w="2152"/>
        <w:gridCol w:w="7828"/>
      </w:tblGrid>
      <w:tr w:rsidR="00202B72" w:rsidRPr="00A937B9" w:rsidTr="002A4886">
        <w:tc>
          <w:tcPr>
            <w:tcW w:w="2152" w:type="dxa"/>
            <w:shd w:val="clear" w:color="auto" w:fill="auto"/>
          </w:tcPr>
          <w:p w:rsidR="00202B72" w:rsidRPr="00A937B9" w:rsidRDefault="00202B72" w:rsidP="002A4886">
            <w:pPr>
              <w:pStyle w:val="CorpoAltF0"/>
              <w:spacing w:before="120"/>
              <w:rPr>
                <w:i/>
              </w:rPr>
            </w:pPr>
            <w:r w:rsidRPr="00A937B9">
              <w:rPr>
                <w:i/>
              </w:rPr>
              <w:t>Mese cedolino:</w:t>
            </w:r>
          </w:p>
        </w:tc>
        <w:tc>
          <w:tcPr>
            <w:tcW w:w="7828" w:type="dxa"/>
            <w:shd w:val="clear" w:color="auto" w:fill="auto"/>
          </w:tcPr>
          <w:p w:rsidR="00202B72" w:rsidRPr="00A937B9" w:rsidRDefault="00202B72" w:rsidP="002A4886">
            <w:pPr>
              <w:pStyle w:val="CorpoAltF0"/>
              <w:spacing w:before="120"/>
            </w:pPr>
            <w:r w:rsidRPr="00A937B9">
              <w:t>mese di erogazione dell’EEG (il CCNL Terziario Confcommercio prevede che tale elemento venga erogato nella mensilità di novembre 2017, il CCNL Terziario Confesercenti nella mensilità di dicembre 2017).</w:t>
            </w:r>
          </w:p>
          <w:p w:rsidR="00202B72" w:rsidRPr="00A937B9" w:rsidRDefault="00202B72" w:rsidP="002A4886">
            <w:pPr>
              <w:pStyle w:val="CorpoAltF0"/>
            </w:pPr>
          </w:p>
        </w:tc>
      </w:tr>
      <w:tr w:rsidR="00202B72" w:rsidRPr="00A937B9" w:rsidTr="002A4886">
        <w:tc>
          <w:tcPr>
            <w:tcW w:w="2152" w:type="dxa"/>
            <w:shd w:val="clear" w:color="auto" w:fill="auto"/>
          </w:tcPr>
          <w:p w:rsidR="00202B72" w:rsidRPr="00A937B9" w:rsidRDefault="00202B72" w:rsidP="002A4886">
            <w:pPr>
              <w:pStyle w:val="CorpoAltF0"/>
              <w:rPr>
                <w:i/>
              </w:rPr>
            </w:pPr>
            <w:r w:rsidRPr="00A937B9">
              <w:rPr>
                <w:i/>
              </w:rPr>
              <w:t>Settore:</w:t>
            </w:r>
          </w:p>
        </w:tc>
        <w:tc>
          <w:tcPr>
            <w:tcW w:w="7828" w:type="dxa"/>
            <w:shd w:val="clear" w:color="auto" w:fill="auto"/>
          </w:tcPr>
          <w:p w:rsidR="00202B72" w:rsidRPr="00A937B9" w:rsidRDefault="00202B72" w:rsidP="002A4886">
            <w:pPr>
              <w:pStyle w:val="CorpoAltF0"/>
            </w:pPr>
            <w:r w:rsidRPr="00A937B9">
              <w:t>indicare il codice settore corrispondente ai contratti in oggetto.</w:t>
            </w:r>
          </w:p>
          <w:p w:rsidR="00202B72" w:rsidRPr="00A937B9" w:rsidRDefault="00202B72" w:rsidP="002A4886">
            <w:pPr>
              <w:pStyle w:val="CorpoAltF0"/>
            </w:pPr>
          </w:p>
        </w:tc>
      </w:tr>
      <w:tr w:rsidR="00202B72" w:rsidRPr="00A937B9" w:rsidTr="002A4886">
        <w:tc>
          <w:tcPr>
            <w:tcW w:w="2152" w:type="dxa"/>
            <w:shd w:val="clear" w:color="auto" w:fill="auto"/>
          </w:tcPr>
          <w:p w:rsidR="00202B72" w:rsidRPr="00A937B9" w:rsidRDefault="00202B72" w:rsidP="002A4886">
            <w:pPr>
              <w:pStyle w:val="CorpoAltF0"/>
              <w:rPr>
                <w:i/>
              </w:rPr>
            </w:pPr>
            <w:r w:rsidRPr="00A937B9">
              <w:rPr>
                <w:i/>
              </w:rPr>
              <w:t>Contr. Confesercenti:</w:t>
            </w:r>
          </w:p>
        </w:tc>
        <w:tc>
          <w:tcPr>
            <w:tcW w:w="7828" w:type="dxa"/>
            <w:shd w:val="clear" w:color="auto" w:fill="auto"/>
          </w:tcPr>
          <w:p w:rsidR="00202B72" w:rsidRPr="00A937B9" w:rsidRDefault="00202B72" w:rsidP="002A4886">
            <w:pPr>
              <w:pStyle w:val="CorpoAltF0"/>
            </w:pPr>
            <w:r w:rsidRPr="00A937B9">
              <w:t>campo da compilare nel caso di calcolo eseguito per il CCNL Terziario Confesercenti.</w:t>
            </w:r>
          </w:p>
          <w:p w:rsidR="00202B72" w:rsidRPr="00A937B9" w:rsidRDefault="00202B72" w:rsidP="002A4886">
            <w:pPr>
              <w:pStyle w:val="CorpoAltF0"/>
              <w:spacing w:before="60"/>
            </w:pPr>
            <w:r w:rsidRPr="00A937B9">
              <w:t>Se valorizzato la dimensione aziendale viene verificata a novembre 2017 (in luogo di ottobre); inoltre l’elemento viene riconosciuto ai dipendenti in forza al 30/11/2017 (in luogo del 31/10/2017).</w:t>
            </w:r>
          </w:p>
          <w:p w:rsidR="00202B72" w:rsidRPr="00A937B9" w:rsidRDefault="00202B72" w:rsidP="002A4886">
            <w:pPr>
              <w:pStyle w:val="CorpoAltF0"/>
              <w:spacing w:before="60"/>
            </w:pPr>
            <w:r w:rsidRPr="00A937B9">
              <w:t>Si precisa che il programma non effettua controlli di coerenza con il codice settore inserito nel campo precedente.</w:t>
            </w:r>
          </w:p>
          <w:p w:rsidR="00202B72" w:rsidRPr="00A937B9" w:rsidRDefault="00202B72" w:rsidP="002A4886">
            <w:pPr>
              <w:pStyle w:val="CorpoAltF0"/>
            </w:pPr>
          </w:p>
        </w:tc>
      </w:tr>
      <w:tr w:rsidR="00202B72" w:rsidRPr="00A937B9" w:rsidTr="002A4886">
        <w:tc>
          <w:tcPr>
            <w:tcW w:w="2152" w:type="dxa"/>
            <w:shd w:val="clear" w:color="auto" w:fill="auto"/>
          </w:tcPr>
          <w:p w:rsidR="00202B72" w:rsidRPr="00A937B9" w:rsidRDefault="00202B72" w:rsidP="002A4886">
            <w:pPr>
              <w:pStyle w:val="CorpoAltF0"/>
              <w:rPr>
                <w:i/>
              </w:rPr>
            </w:pPr>
            <w:r w:rsidRPr="00A937B9">
              <w:rPr>
                <w:i/>
              </w:rPr>
              <w:t>Stampa dettaglio:</w:t>
            </w:r>
          </w:p>
        </w:tc>
        <w:tc>
          <w:tcPr>
            <w:tcW w:w="7828" w:type="dxa"/>
            <w:shd w:val="clear" w:color="auto" w:fill="auto"/>
          </w:tcPr>
          <w:p w:rsidR="00202B72" w:rsidRPr="00A937B9" w:rsidRDefault="00202B72" w:rsidP="002A4886">
            <w:pPr>
              <w:pStyle w:val="CorpoAltF0"/>
            </w:pPr>
            <w:r w:rsidRPr="00A937B9">
              <w:t xml:space="preserve">compilando tale campo (impostazione di </w:t>
            </w:r>
            <w:r w:rsidRPr="00A937B9">
              <w:rPr>
                <w:i/>
              </w:rPr>
              <w:t>default</w:t>
            </w:r>
            <w:r w:rsidRPr="00A937B9">
              <w:t>) nella stampa verrà riportato il dettaglio dei mesi del periodo (01/2015 - 10/2017) conteggiati nel calcolo dell’importo spettante; diversamente verrà evidenziato solo il numero totale dei suddetti mesi (</w:t>
            </w:r>
            <w:proofErr w:type="spellStart"/>
            <w:r w:rsidRPr="00A937B9">
              <w:t>max</w:t>
            </w:r>
            <w:proofErr w:type="spellEnd"/>
            <w:r w:rsidRPr="00A937B9">
              <w:t xml:space="preserve"> 34).</w:t>
            </w:r>
          </w:p>
          <w:p w:rsidR="00202B72" w:rsidRPr="00A937B9" w:rsidRDefault="00202B72" w:rsidP="002A4886">
            <w:pPr>
              <w:pStyle w:val="CorpoAltF0"/>
            </w:pPr>
          </w:p>
        </w:tc>
      </w:tr>
      <w:tr w:rsidR="00202B72" w:rsidRPr="00A937B9" w:rsidTr="002A4886">
        <w:tc>
          <w:tcPr>
            <w:tcW w:w="2152" w:type="dxa"/>
            <w:shd w:val="clear" w:color="auto" w:fill="auto"/>
          </w:tcPr>
          <w:p w:rsidR="00202B72" w:rsidRPr="00A937B9" w:rsidRDefault="00202B72" w:rsidP="002A4886">
            <w:pPr>
              <w:pStyle w:val="CorpoAltF0"/>
              <w:rPr>
                <w:i/>
              </w:rPr>
            </w:pPr>
            <w:r w:rsidRPr="00A937B9">
              <w:rPr>
                <w:i/>
              </w:rPr>
              <w:t>Stampa legenda:</w:t>
            </w:r>
          </w:p>
        </w:tc>
        <w:tc>
          <w:tcPr>
            <w:tcW w:w="7828" w:type="dxa"/>
            <w:shd w:val="clear" w:color="auto" w:fill="auto"/>
          </w:tcPr>
          <w:p w:rsidR="00202B72" w:rsidRPr="00A937B9" w:rsidRDefault="00202B72" w:rsidP="002A4886">
            <w:pPr>
              <w:pStyle w:val="CorpoAltF0"/>
            </w:pPr>
            <w:r w:rsidRPr="00A937B9">
              <w:t xml:space="preserve">compilando tale campo (impostazione di </w:t>
            </w:r>
            <w:r w:rsidRPr="00A937B9">
              <w:rPr>
                <w:i/>
              </w:rPr>
              <w:t>default</w:t>
            </w:r>
            <w:r w:rsidRPr="00A937B9">
              <w:t>) in coda alla stampa verrà riportato il riepilogo delle ulteriori impostazioni indicate dall’utente nella sezione di seguito descritta.</w:t>
            </w:r>
          </w:p>
        </w:tc>
      </w:tr>
    </w:tbl>
    <w:p w:rsidR="00202B72" w:rsidRPr="00A937B9" w:rsidRDefault="00202B72" w:rsidP="00202B72">
      <w:pPr>
        <w:pStyle w:val="CorpoAltF0"/>
      </w:pPr>
    </w:p>
    <w:p w:rsidR="00202B72" w:rsidRPr="00A937B9" w:rsidRDefault="00202B72" w:rsidP="00202B72">
      <w:pPr>
        <w:pStyle w:val="Ignora"/>
      </w:pPr>
      <w:r w:rsidRPr="00A937B9">
        <w:br w:type="page"/>
      </w:r>
    </w:p>
    <w:p w:rsidR="00202B72" w:rsidRPr="00A937B9" w:rsidRDefault="00202B72" w:rsidP="00202B72">
      <w:pPr>
        <w:pStyle w:val="CorpoAltF0"/>
      </w:pPr>
    </w:p>
    <w:p w:rsidR="00202B72" w:rsidRPr="00A937B9" w:rsidRDefault="00202B72" w:rsidP="00202B72">
      <w:pPr>
        <w:pStyle w:val="CorpoAltF0"/>
      </w:pPr>
      <w:r w:rsidRPr="00A937B9">
        <w:t>Alla conferma, il programma propone la seguente maschera utile all’inserimento delle ulteriori informazioni eventualmente necessarie:</w:t>
      </w:r>
    </w:p>
    <w:p w:rsidR="00202B72" w:rsidRPr="00A937B9" w:rsidRDefault="00202B72" w:rsidP="00202B72">
      <w:pPr>
        <w:pStyle w:val="CorpoAltF0"/>
      </w:pPr>
    </w:p>
    <w:p w:rsidR="00202B72" w:rsidRPr="00A937B9" w:rsidRDefault="00202B72" w:rsidP="00202B72">
      <w:pPr>
        <w:pStyle w:val="CorpoAltF0"/>
        <w:jc w:val="center"/>
      </w:pPr>
      <w:r w:rsidRPr="00A937B9">
        <w:rPr>
          <w:noProof/>
        </w:rPr>
        <w:drawing>
          <wp:inline distT="0" distB="0" distL="0" distR="0" wp14:anchorId="62A343DA" wp14:editId="2C6EFD87">
            <wp:extent cx="3240000" cy="1946782"/>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40000" cy="1946782"/>
                    </a:xfrm>
                    <a:prstGeom prst="rect">
                      <a:avLst/>
                    </a:prstGeom>
                  </pic:spPr>
                </pic:pic>
              </a:graphicData>
            </a:graphic>
          </wp:inline>
        </w:drawing>
      </w:r>
    </w:p>
    <w:p w:rsidR="00202B72" w:rsidRPr="00A937B9" w:rsidRDefault="00202B72" w:rsidP="00202B72">
      <w:pPr>
        <w:pStyle w:val="CorpoAltF0"/>
      </w:pPr>
    </w:p>
    <w:tbl>
      <w:tblPr>
        <w:tblW w:w="0" w:type="auto"/>
        <w:tblLook w:val="04A0" w:firstRow="1" w:lastRow="0" w:firstColumn="1" w:lastColumn="0" w:noHBand="0" w:noVBand="1"/>
      </w:tblPr>
      <w:tblGrid>
        <w:gridCol w:w="2152"/>
        <w:gridCol w:w="7825"/>
      </w:tblGrid>
      <w:tr w:rsidR="00202B72" w:rsidRPr="00A937B9" w:rsidTr="002A4886">
        <w:tc>
          <w:tcPr>
            <w:tcW w:w="2152" w:type="dxa"/>
            <w:shd w:val="clear" w:color="auto" w:fill="auto"/>
          </w:tcPr>
          <w:p w:rsidR="00202B72" w:rsidRPr="00A937B9" w:rsidRDefault="00202B72" w:rsidP="002A4886">
            <w:pPr>
              <w:pStyle w:val="CorpoAltF0"/>
              <w:spacing w:before="120"/>
              <w:rPr>
                <w:i/>
              </w:rPr>
            </w:pPr>
            <w:r w:rsidRPr="00A937B9">
              <w:rPr>
                <w:i/>
              </w:rPr>
              <w:t>Elementi retribuzione:</w:t>
            </w:r>
          </w:p>
          <w:p w:rsidR="00202B72" w:rsidRPr="00A937B9" w:rsidRDefault="00202B72" w:rsidP="002A4886">
            <w:pPr>
              <w:pStyle w:val="CorpoAltF0"/>
              <w:spacing w:before="60"/>
              <w:rPr>
                <w:i/>
              </w:rPr>
            </w:pPr>
            <w:r w:rsidRPr="00A937B9">
              <w:rPr>
                <w:i/>
              </w:rPr>
              <w:t>Voci di calcolo:</w:t>
            </w:r>
          </w:p>
        </w:tc>
        <w:tc>
          <w:tcPr>
            <w:tcW w:w="7825" w:type="dxa"/>
            <w:shd w:val="clear" w:color="auto" w:fill="auto"/>
          </w:tcPr>
          <w:p w:rsidR="00202B72" w:rsidRPr="00A937B9" w:rsidRDefault="00202B72" w:rsidP="002A4886">
            <w:pPr>
              <w:pStyle w:val="CorpoAltF0"/>
              <w:spacing w:before="120"/>
            </w:pPr>
            <w:r w:rsidRPr="00A937B9">
              <w:t>Tali campi consentono di individuare gli eventuali importi di retribuzione corrisposti nel periodo considerato ad integrazione di quanto previsto dal relativo CCNL.</w:t>
            </w:r>
          </w:p>
          <w:p w:rsidR="00202B72" w:rsidRPr="00A937B9" w:rsidRDefault="00202B72" w:rsidP="002A4886">
            <w:pPr>
              <w:pStyle w:val="CorpoAltF0"/>
              <w:spacing w:before="60"/>
            </w:pPr>
            <w:r w:rsidRPr="00A937B9">
              <w:t>A tal fine è possibile indicare gli specifici elementi della retribuzione e/o le voci di calcolo utilizzati per l’erogazione di tali retribuzioni integrative.</w:t>
            </w:r>
          </w:p>
          <w:p w:rsidR="00202B72" w:rsidRPr="00A937B9" w:rsidRDefault="00202B72" w:rsidP="002A4886">
            <w:pPr>
              <w:pStyle w:val="CorpoAltF0"/>
              <w:spacing w:before="60"/>
            </w:pPr>
            <w:r w:rsidRPr="00A937B9">
              <w:t>Compilando i campi in esame, indipendentemente dagli importi rilevati in tali elementi o voci di calcolo, verranno esclusi dal calcolo dell’EEG i dipendenti per i quali:</w:t>
            </w:r>
          </w:p>
          <w:p w:rsidR="00202B72" w:rsidRPr="00A937B9" w:rsidRDefault="00202B72" w:rsidP="00202B72">
            <w:pPr>
              <w:pStyle w:val="CorpoAltF0"/>
              <w:numPr>
                <w:ilvl w:val="0"/>
                <w:numId w:val="13"/>
              </w:numPr>
              <w:spacing w:before="60"/>
              <w:ind w:left="318" w:hanging="284"/>
            </w:pPr>
            <w:r w:rsidRPr="00A937B9">
              <w:t>nella retribuzione attuale, uno degli elementi indicati risulti valorizzato;</w:t>
            </w:r>
          </w:p>
          <w:p w:rsidR="00202B72" w:rsidRPr="00A937B9" w:rsidRDefault="00202B72" w:rsidP="00202B72">
            <w:pPr>
              <w:pStyle w:val="CorpoAltF0"/>
              <w:numPr>
                <w:ilvl w:val="0"/>
                <w:numId w:val="13"/>
              </w:numPr>
              <w:spacing w:before="60"/>
              <w:ind w:left="318" w:hanging="284"/>
            </w:pPr>
            <w:r w:rsidRPr="00A937B9">
              <w:t>in una delle mensilità oggetto di verifica, risulti inserita una delle voci indicate;</w:t>
            </w:r>
          </w:p>
          <w:p w:rsidR="00202B72" w:rsidRPr="00A937B9" w:rsidRDefault="00202B72" w:rsidP="002A4886">
            <w:pPr>
              <w:pStyle w:val="CorpoAltF0"/>
              <w:spacing w:before="60"/>
            </w:pPr>
            <w:r w:rsidRPr="00A937B9">
              <w:t>sarà cura dell’utente procedere al calcolo e all’erogazione dell’EEG per i dipendenti ai quali, per il periodo in questione, sia stata riconosciuta una retribuzione integrativa inferiore all’importo di EEG spettante.</w:t>
            </w:r>
          </w:p>
          <w:p w:rsidR="00202B72" w:rsidRPr="00A937B9" w:rsidRDefault="00202B72" w:rsidP="002A4886">
            <w:pPr>
              <w:pStyle w:val="CorpoAltF0"/>
            </w:pPr>
          </w:p>
        </w:tc>
      </w:tr>
      <w:tr w:rsidR="00202B72" w:rsidRPr="00A937B9" w:rsidTr="002A4886">
        <w:tc>
          <w:tcPr>
            <w:tcW w:w="2152" w:type="dxa"/>
            <w:shd w:val="clear" w:color="auto" w:fill="auto"/>
          </w:tcPr>
          <w:p w:rsidR="00202B72" w:rsidRPr="00A937B9" w:rsidRDefault="00202B72" w:rsidP="002A4886">
            <w:pPr>
              <w:pStyle w:val="CorpoAltF0"/>
              <w:rPr>
                <w:i/>
              </w:rPr>
            </w:pPr>
            <w:proofErr w:type="spellStart"/>
            <w:r w:rsidRPr="00A937B9">
              <w:rPr>
                <w:i/>
              </w:rPr>
              <w:t>Trascodifica</w:t>
            </w:r>
            <w:proofErr w:type="spellEnd"/>
            <w:r w:rsidRPr="00A937B9">
              <w:rPr>
                <w:i/>
              </w:rPr>
              <w:t xml:space="preserve"> livelli:</w:t>
            </w:r>
          </w:p>
        </w:tc>
        <w:tc>
          <w:tcPr>
            <w:tcW w:w="7825" w:type="dxa"/>
            <w:shd w:val="clear" w:color="auto" w:fill="auto"/>
          </w:tcPr>
          <w:p w:rsidR="00202B72" w:rsidRPr="00A937B9" w:rsidRDefault="00202B72" w:rsidP="002A4886">
            <w:pPr>
              <w:pStyle w:val="CorpoAltF0"/>
            </w:pPr>
            <w:r w:rsidRPr="00A937B9">
              <w:t xml:space="preserve">tale sezione deve essere obbligatoriamente compilata nel caso in cui, nella tabella </w:t>
            </w:r>
            <w:r w:rsidRPr="00A937B9">
              <w:rPr>
                <w:b/>
              </w:rPr>
              <w:t>TB0104</w:t>
            </w:r>
            <w:r w:rsidRPr="00A937B9">
              <w:t xml:space="preserve"> utilizzata per il settore da elaborare, la codifica dei livelli di inquadramento non corrisponda a quella utilizzata nel codice contratto fornito con la procedura </w:t>
            </w:r>
            <w:r w:rsidRPr="00A937B9">
              <w:rPr>
                <w:b/>
              </w:rPr>
              <w:t>CONTRA</w:t>
            </w:r>
            <w:r w:rsidRPr="00A937B9">
              <w:t>, che risulta essere la seguente per tutti i codici interessati:</w:t>
            </w:r>
          </w:p>
        </w:tc>
      </w:tr>
    </w:tbl>
    <w:p w:rsidR="00202B72" w:rsidRPr="00A937B9" w:rsidRDefault="00202B72" w:rsidP="00202B72">
      <w:pPr>
        <w:pStyle w:val="CorpoAltF0"/>
        <w:rPr>
          <w:sz w:val="6"/>
          <w:szCs w:val="6"/>
        </w:rPr>
      </w:pPr>
    </w:p>
    <w:tbl>
      <w:tblPr>
        <w:tblW w:w="9991" w:type="dxa"/>
        <w:tblLook w:val="04A0" w:firstRow="1" w:lastRow="0" w:firstColumn="1" w:lastColumn="0" w:noHBand="0" w:noVBand="1"/>
      </w:tblPr>
      <w:tblGrid>
        <w:gridCol w:w="2166"/>
        <w:gridCol w:w="3329"/>
        <w:gridCol w:w="4496"/>
      </w:tblGrid>
      <w:tr w:rsidR="00202B72" w:rsidRPr="00A937B9" w:rsidTr="002A4886">
        <w:tc>
          <w:tcPr>
            <w:tcW w:w="2166" w:type="dxa"/>
            <w:shd w:val="clear" w:color="auto" w:fill="auto"/>
          </w:tcPr>
          <w:p w:rsidR="00202B72" w:rsidRPr="00A937B9" w:rsidRDefault="00202B72" w:rsidP="002A4886">
            <w:pPr>
              <w:pStyle w:val="CorpoAltF0"/>
            </w:pPr>
          </w:p>
        </w:tc>
        <w:tc>
          <w:tcPr>
            <w:tcW w:w="3329" w:type="dxa"/>
            <w:shd w:val="clear" w:color="auto" w:fill="auto"/>
          </w:tcPr>
          <w:p w:rsidR="00202B72" w:rsidRPr="00A937B9" w:rsidRDefault="00202B72" w:rsidP="002A4886">
            <w:pPr>
              <w:pStyle w:val="CorpoAltF0"/>
              <w:jc w:val="center"/>
            </w:pPr>
            <w:r w:rsidRPr="00A937B9">
              <w:t>cod. 1 = 1° livello;</w:t>
            </w:r>
          </w:p>
          <w:p w:rsidR="00202B72" w:rsidRPr="00A937B9" w:rsidRDefault="00202B72" w:rsidP="002A4886">
            <w:pPr>
              <w:pStyle w:val="CorpoAltF0"/>
              <w:jc w:val="center"/>
            </w:pPr>
            <w:r w:rsidRPr="00A937B9">
              <w:t>cod. 2 = 2° livello;</w:t>
            </w:r>
          </w:p>
          <w:p w:rsidR="00202B72" w:rsidRPr="00A937B9" w:rsidRDefault="00202B72" w:rsidP="002A4886">
            <w:pPr>
              <w:pStyle w:val="CorpoAltF0"/>
              <w:jc w:val="center"/>
            </w:pPr>
            <w:r w:rsidRPr="00A937B9">
              <w:t>cod. 3 = 3° livello;</w:t>
            </w:r>
          </w:p>
          <w:p w:rsidR="00202B72" w:rsidRPr="00A937B9" w:rsidRDefault="00202B72" w:rsidP="002A4886">
            <w:pPr>
              <w:pStyle w:val="CorpoAltF0"/>
              <w:jc w:val="center"/>
            </w:pPr>
            <w:r w:rsidRPr="00A937B9">
              <w:t>cod. 4 = 4° livello;</w:t>
            </w:r>
          </w:p>
          <w:p w:rsidR="00202B72" w:rsidRPr="00A937B9" w:rsidRDefault="00202B72" w:rsidP="002A4886">
            <w:pPr>
              <w:pStyle w:val="CorpoAltF0"/>
              <w:jc w:val="center"/>
            </w:pPr>
            <w:r w:rsidRPr="00A937B9">
              <w:t>cod. 5 = 5° livello;</w:t>
            </w:r>
          </w:p>
        </w:tc>
        <w:tc>
          <w:tcPr>
            <w:tcW w:w="4496" w:type="dxa"/>
            <w:shd w:val="clear" w:color="auto" w:fill="auto"/>
          </w:tcPr>
          <w:p w:rsidR="00202B72" w:rsidRPr="00A937B9" w:rsidRDefault="00202B72" w:rsidP="002A4886">
            <w:pPr>
              <w:pStyle w:val="CorpoAltF0"/>
            </w:pPr>
            <w:r w:rsidRPr="00A937B9">
              <w:t>cod. 6   = 6° livello;</w:t>
            </w:r>
          </w:p>
          <w:p w:rsidR="00202B72" w:rsidRPr="00A937B9" w:rsidRDefault="00202B72" w:rsidP="002A4886">
            <w:pPr>
              <w:pStyle w:val="CorpoAltF0"/>
            </w:pPr>
            <w:r w:rsidRPr="00A937B9">
              <w:t>cod. 7   = 7° livello;</w:t>
            </w:r>
          </w:p>
          <w:p w:rsidR="00202B72" w:rsidRPr="00A937B9" w:rsidRDefault="00202B72" w:rsidP="002A4886">
            <w:pPr>
              <w:pStyle w:val="CorpoAltF0"/>
            </w:pPr>
            <w:r w:rsidRPr="00A937B9">
              <w:t>cod. 10 = Quadri;</w:t>
            </w:r>
          </w:p>
          <w:p w:rsidR="00202B72" w:rsidRPr="00A937B9" w:rsidRDefault="00202B72" w:rsidP="002A4886">
            <w:pPr>
              <w:pStyle w:val="CorpoAltF0"/>
            </w:pPr>
            <w:r w:rsidRPr="00A937B9">
              <w:t xml:space="preserve">cod. 11 = </w:t>
            </w:r>
            <w:proofErr w:type="spellStart"/>
            <w:r w:rsidRPr="00A937B9">
              <w:t>Oper</w:t>
            </w:r>
            <w:proofErr w:type="spellEnd"/>
            <w:r w:rsidRPr="00A937B9">
              <w:t>. vendita 1^ categoria;</w:t>
            </w:r>
          </w:p>
          <w:p w:rsidR="00202B72" w:rsidRPr="00A937B9" w:rsidRDefault="00202B72" w:rsidP="002A4886">
            <w:pPr>
              <w:pStyle w:val="CorpoAltF0"/>
            </w:pPr>
            <w:r w:rsidRPr="00A937B9">
              <w:t xml:space="preserve">cod. 12 = </w:t>
            </w:r>
            <w:proofErr w:type="spellStart"/>
            <w:r w:rsidRPr="00A937B9">
              <w:t>Oper</w:t>
            </w:r>
            <w:proofErr w:type="spellEnd"/>
            <w:r w:rsidRPr="00A937B9">
              <w:t>. vendita 2^ categoria.</w:t>
            </w:r>
          </w:p>
        </w:tc>
      </w:tr>
    </w:tbl>
    <w:p w:rsidR="00202B72" w:rsidRPr="00A937B9" w:rsidRDefault="00202B72" w:rsidP="00202B72">
      <w:pPr>
        <w:pStyle w:val="CorpoAltF0"/>
        <w:rPr>
          <w:sz w:val="6"/>
          <w:szCs w:val="6"/>
        </w:rPr>
      </w:pPr>
    </w:p>
    <w:tbl>
      <w:tblPr>
        <w:tblW w:w="0" w:type="auto"/>
        <w:tblLook w:val="04A0" w:firstRow="1" w:lastRow="0" w:firstColumn="1" w:lastColumn="0" w:noHBand="0" w:noVBand="1"/>
      </w:tblPr>
      <w:tblGrid>
        <w:gridCol w:w="2180"/>
        <w:gridCol w:w="7797"/>
      </w:tblGrid>
      <w:tr w:rsidR="00202B72" w:rsidRPr="00A937B9" w:rsidTr="002A4886">
        <w:tc>
          <w:tcPr>
            <w:tcW w:w="2180" w:type="dxa"/>
            <w:shd w:val="clear" w:color="auto" w:fill="auto"/>
          </w:tcPr>
          <w:p w:rsidR="00202B72" w:rsidRPr="00A937B9" w:rsidRDefault="00202B72" w:rsidP="002A4886">
            <w:pPr>
              <w:pStyle w:val="CorpoAltF0"/>
            </w:pPr>
          </w:p>
        </w:tc>
        <w:tc>
          <w:tcPr>
            <w:tcW w:w="7797" w:type="dxa"/>
            <w:shd w:val="clear" w:color="auto" w:fill="auto"/>
          </w:tcPr>
          <w:p w:rsidR="00202B72" w:rsidRPr="00A937B9" w:rsidRDefault="00202B72" w:rsidP="002A4886">
            <w:pPr>
              <w:pStyle w:val="CorpoAltF0"/>
              <w:spacing w:before="60"/>
            </w:pPr>
            <w:r w:rsidRPr="00A937B9">
              <w:t xml:space="preserve">Se diversa, in tale sezione è necessario indicare per ciascun livello previsto dal CCNL, il corrispondente codice utilizzato nella procedura </w:t>
            </w:r>
            <w:r w:rsidRPr="00A937B9">
              <w:rPr>
                <w:b/>
              </w:rPr>
              <w:t>PAGHE</w:t>
            </w:r>
            <w:r w:rsidRPr="00A937B9">
              <w:t>.</w:t>
            </w:r>
          </w:p>
        </w:tc>
      </w:tr>
    </w:tbl>
    <w:p w:rsidR="00202B72" w:rsidRPr="00A937B9" w:rsidRDefault="00202B72" w:rsidP="00202B72">
      <w:pPr>
        <w:pStyle w:val="CorpoAltF0"/>
      </w:pPr>
    </w:p>
    <w:p w:rsidR="00202B72" w:rsidRPr="00A937B9" w:rsidRDefault="00202B72" w:rsidP="00202B72">
      <w:pPr>
        <w:pStyle w:val="CorpoAltF0"/>
      </w:pPr>
      <w:r w:rsidRPr="00A937B9">
        <w:t>La sezione sopra descritta è accessibile anche mediante il pulsante “</w:t>
      </w:r>
      <w:r w:rsidRPr="00A937B9">
        <w:rPr>
          <w:i/>
        </w:rPr>
        <w:t>Funzioni &gt; Opzioni</w:t>
      </w:r>
      <w:r w:rsidRPr="00A937B9">
        <w:t xml:space="preserve">” del comando </w:t>
      </w:r>
      <w:r w:rsidRPr="00A937B9">
        <w:rPr>
          <w:b/>
        </w:rPr>
        <w:t>UTYEEG</w:t>
      </w:r>
      <w:r w:rsidRPr="00A937B9">
        <w:t>.</w:t>
      </w:r>
    </w:p>
    <w:p w:rsidR="00202B72" w:rsidRPr="00A937B9" w:rsidRDefault="00202B72" w:rsidP="00202B72">
      <w:pPr>
        <w:pStyle w:val="CorpoAltF0"/>
      </w:pPr>
    </w:p>
    <w:p w:rsidR="00202B72" w:rsidRPr="00A937B9" w:rsidRDefault="00202B72" w:rsidP="00202B72">
      <w:pPr>
        <w:pStyle w:val="CorpoAltF0"/>
      </w:pPr>
      <w:r w:rsidRPr="00A937B9">
        <w:t>Procedendo con l’elaborazione verrà generata un tabulato contenente i dipendenti interessati dell’erogazione dell’EEG, in forza a tempo indeterminato alla data del 31/10/2017 per il CCNL Terziario Confcommercio, o del 30/11/2017 per il CCNL Terziario Confesercenti, e che risultino assunti o trasformati a tempo indeterminato da almeno 6 mesi (</w:t>
      </w:r>
      <w:proofErr w:type="spellStart"/>
      <w:proofErr w:type="gramStart"/>
      <w:r w:rsidRPr="00A937B9">
        <w:t>ass</w:t>
      </w:r>
      <w:proofErr w:type="spellEnd"/>
      <w:r w:rsidRPr="00A937B9">
        <w:t>./</w:t>
      </w:r>
      <w:proofErr w:type="spellStart"/>
      <w:proofErr w:type="gramEnd"/>
      <w:r w:rsidRPr="00A937B9">
        <w:t>trasform</w:t>
      </w:r>
      <w:proofErr w:type="spellEnd"/>
      <w:r w:rsidRPr="00A937B9">
        <w:t>. fino al 1° maggio 2017).</w:t>
      </w:r>
    </w:p>
    <w:p w:rsidR="00202B72" w:rsidRPr="00A937B9" w:rsidRDefault="00202B72" w:rsidP="00202B72">
      <w:pPr>
        <w:pStyle w:val="CorpoAltF0"/>
        <w:spacing w:before="120"/>
      </w:pPr>
      <w:r w:rsidRPr="00A937B9">
        <w:t>Per ciascun dipendente vengono evidenziati i seguenti dati:</w:t>
      </w:r>
    </w:p>
    <w:p w:rsidR="00202B72" w:rsidRPr="00A937B9" w:rsidRDefault="00202B72" w:rsidP="00202B72">
      <w:pPr>
        <w:pStyle w:val="Ignora"/>
      </w:pPr>
      <w:r w:rsidRPr="00A937B9">
        <w:br w:type="page"/>
      </w:r>
    </w:p>
    <w:p w:rsidR="00202B72" w:rsidRPr="00A937B9" w:rsidRDefault="00202B72" w:rsidP="00202B72">
      <w:pPr>
        <w:pStyle w:val="CorpoAltF0"/>
        <w:jc w:val="center"/>
        <w:rPr>
          <w:noProof/>
        </w:rPr>
      </w:pPr>
    </w:p>
    <w:p w:rsidR="00202B72" w:rsidRPr="00A937B9" w:rsidRDefault="00202B72" w:rsidP="00202B72">
      <w:pPr>
        <w:pStyle w:val="CorpoAltF0"/>
        <w:jc w:val="center"/>
        <w:rPr>
          <w:noProof/>
        </w:rPr>
      </w:pPr>
      <w:r w:rsidRPr="00A937B9">
        <w:rPr>
          <w:noProof/>
        </w:rPr>
        <w:drawing>
          <wp:inline distT="0" distB="0" distL="0" distR="0" wp14:anchorId="3900FD22" wp14:editId="75FBDA10">
            <wp:extent cx="6120000" cy="1905891"/>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000" cy="1905891"/>
                    </a:xfrm>
                    <a:prstGeom prst="rect">
                      <a:avLst/>
                    </a:prstGeom>
                  </pic:spPr>
                </pic:pic>
              </a:graphicData>
            </a:graphic>
          </wp:inline>
        </w:drawing>
      </w:r>
    </w:p>
    <w:p w:rsidR="00202B72" w:rsidRPr="00A937B9" w:rsidRDefault="00202B72" w:rsidP="00202B72">
      <w:pPr>
        <w:pStyle w:val="CorpoAltF0"/>
      </w:pPr>
    </w:p>
    <w:p w:rsidR="00202B72" w:rsidRPr="00A937B9" w:rsidRDefault="00202B72" w:rsidP="00202B72">
      <w:pPr>
        <w:pStyle w:val="CorpoAltF0"/>
        <w:numPr>
          <w:ilvl w:val="0"/>
          <w:numId w:val="11"/>
        </w:numPr>
        <w:tabs>
          <w:tab w:val="clear" w:pos="720"/>
        </w:tabs>
        <w:ind w:left="284" w:hanging="284"/>
        <w:rPr>
          <w:b/>
        </w:rPr>
      </w:pPr>
      <w:r w:rsidRPr="00A937B9">
        <w:t>In tale riquadro, oltre al codice settore interessato ed ai dati del dipendente (data di assunzione/trasformazione e codice livello) vengono evidenziate le seguenti informazioni:</w:t>
      </w:r>
    </w:p>
    <w:tbl>
      <w:tblPr>
        <w:tblW w:w="9727" w:type="dxa"/>
        <w:tblInd w:w="304" w:type="dxa"/>
        <w:tblLook w:val="04A0" w:firstRow="1" w:lastRow="0" w:firstColumn="1" w:lastColumn="0" w:noHBand="0" w:noVBand="1"/>
      </w:tblPr>
      <w:tblGrid>
        <w:gridCol w:w="1384"/>
        <w:gridCol w:w="8343"/>
      </w:tblGrid>
      <w:tr w:rsidR="00202B72" w:rsidRPr="00A937B9" w:rsidTr="002A4886">
        <w:tc>
          <w:tcPr>
            <w:tcW w:w="1384" w:type="dxa"/>
            <w:shd w:val="clear" w:color="auto" w:fill="auto"/>
          </w:tcPr>
          <w:p w:rsidR="00202B72" w:rsidRPr="00A937B9" w:rsidRDefault="00202B72" w:rsidP="002A4886">
            <w:pPr>
              <w:pStyle w:val="CorpoAltF0"/>
              <w:spacing w:before="120"/>
              <w:rPr>
                <w:i/>
              </w:rPr>
            </w:pPr>
            <w:proofErr w:type="spellStart"/>
            <w:r w:rsidRPr="00A937B9">
              <w:rPr>
                <w:i/>
              </w:rPr>
              <w:t>Coef</w:t>
            </w:r>
            <w:proofErr w:type="spellEnd"/>
            <w:r w:rsidRPr="00A937B9">
              <w:rPr>
                <w:i/>
              </w:rPr>
              <w:t>.</w:t>
            </w:r>
          </w:p>
        </w:tc>
        <w:tc>
          <w:tcPr>
            <w:tcW w:w="8343" w:type="dxa"/>
            <w:shd w:val="clear" w:color="auto" w:fill="auto"/>
          </w:tcPr>
          <w:p w:rsidR="00202B72" w:rsidRPr="00A937B9" w:rsidRDefault="00202B72" w:rsidP="002A4886">
            <w:pPr>
              <w:pStyle w:val="CorpoAltF0"/>
              <w:spacing w:before="120"/>
            </w:pPr>
            <w:r w:rsidRPr="00A937B9">
              <w:t>numero di mesi (compresi nel periodo gen. 2015 - ott. 2017) nei quali il dipendente risulta aver prestato attività lavorativa per almeno 15 giorni.</w:t>
            </w:r>
          </w:p>
          <w:p w:rsidR="00202B72" w:rsidRPr="00A937B9" w:rsidRDefault="00202B72" w:rsidP="002A4886">
            <w:pPr>
              <w:pStyle w:val="CorpoAltF0"/>
              <w:spacing w:before="60"/>
            </w:pPr>
            <w:r w:rsidRPr="00A937B9">
              <w:t>A tal fine, per ciascun mese il programma sottrae dai giorni in forza:</w:t>
            </w:r>
          </w:p>
          <w:p w:rsidR="00202B72" w:rsidRPr="00A937B9" w:rsidRDefault="00202B72" w:rsidP="00202B72">
            <w:pPr>
              <w:pStyle w:val="CorpoAltF0"/>
              <w:numPr>
                <w:ilvl w:val="0"/>
                <w:numId w:val="12"/>
              </w:numPr>
              <w:spacing w:before="60"/>
              <w:ind w:left="290" w:hanging="277"/>
            </w:pPr>
            <w:r w:rsidRPr="00A937B9">
              <w:t>i giorni di maternità facoltativa, compresi i congedi donne vittime di violenza;</w:t>
            </w:r>
          </w:p>
          <w:p w:rsidR="00202B72" w:rsidRPr="00A937B9" w:rsidRDefault="00202B72" w:rsidP="00202B72">
            <w:pPr>
              <w:pStyle w:val="CorpoAltF0"/>
              <w:numPr>
                <w:ilvl w:val="0"/>
                <w:numId w:val="12"/>
              </w:numPr>
              <w:spacing w:before="60"/>
              <w:ind w:left="290" w:hanging="277"/>
            </w:pPr>
            <w:r w:rsidRPr="00A937B9">
              <w:t>i giorni di maternità anticipata;</w:t>
            </w:r>
          </w:p>
          <w:p w:rsidR="00202B72" w:rsidRPr="00A937B9" w:rsidRDefault="00202B72" w:rsidP="00202B72">
            <w:pPr>
              <w:pStyle w:val="CorpoAltF0"/>
              <w:numPr>
                <w:ilvl w:val="0"/>
                <w:numId w:val="12"/>
              </w:numPr>
              <w:spacing w:before="60"/>
              <w:ind w:left="290" w:hanging="277"/>
            </w:pPr>
            <w:r w:rsidRPr="00A937B9">
              <w:t>i giorni di maternità obbligatoria per l’eventuale periodo prolungato, per il quale non è dovuta integrazione c/ditta;</w:t>
            </w:r>
          </w:p>
          <w:p w:rsidR="00202B72" w:rsidRPr="00A937B9" w:rsidRDefault="00202B72" w:rsidP="00202B72">
            <w:pPr>
              <w:pStyle w:val="CorpoAltF0"/>
              <w:numPr>
                <w:ilvl w:val="0"/>
                <w:numId w:val="12"/>
              </w:numPr>
              <w:spacing w:before="60"/>
              <w:ind w:left="290" w:hanging="277"/>
            </w:pPr>
            <w:r w:rsidRPr="00A937B9">
              <w:t>i giorni di malattia/infortunio, limitatamente ai periodi per i quali non è prevista integrazione c/ditta;</w:t>
            </w:r>
          </w:p>
          <w:p w:rsidR="00202B72" w:rsidRPr="00A937B9" w:rsidRDefault="00202B72" w:rsidP="00202B72">
            <w:pPr>
              <w:pStyle w:val="CorpoAltF0"/>
              <w:numPr>
                <w:ilvl w:val="0"/>
                <w:numId w:val="12"/>
              </w:numPr>
              <w:spacing w:before="60"/>
              <w:ind w:left="290" w:hanging="277"/>
            </w:pPr>
            <w:r w:rsidRPr="00A937B9">
              <w:t>i giorni interessati da CIG straordinaria;</w:t>
            </w:r>
          </w:p>
          <w:p w:rsidR="00202B72" w:rsidRPr="00A937B9" w:rsidRDefault="00202B72" w:rsidP="00202B72">
            <w:pPr>
              <w:pStyle w:val="CorpoAltF0"/>
              <w:numPr>
                <w:ilvl w:val="0"/>
                <w:numId w:val="12"/>
              </w:numPr>
              <w:spacing w:before="60"/>
              <w:ind w:left="290" w:hanging="277"/>
            </w:pPr>
            <w:r w:rsidRPr="00A937B9">
              <w:t>i giorni interamente coperti da assenze non retribuite.</w:t>
            </w:r>
          </w:p>
          <w:p w:rsidR="00202B72" w:rsidRPr="00A937B9" w:rsidRDefault="00202B72" w:rsidP="002A4886">
            <w:pPr>
              <w:pStyle w:val="CorpoAltF0"/>
              <w:spacing w:before="60"/>
            </w:pPr>
            <w:r w:rsidRPr="00A937B9">
              <w:t>In tutti i casi vengono sottratte dai giorni in forza solo le giornate interamente coperte dall’assenza.</w:t>
            </w:r>
          </w:p>
          <w:p w:rsidR="00202B72" w:rsidRPr="00A937B9" w:rsidRDefault="00202B72" w:rsidP="002A4886">
            <w:pPr>
              <w:pStyle w:val="CorpoAltF0"/>
              <w:spacing w:before="60"/>
            </w:pPr>
            <w:r w:rsidRPr="00A937B9">
              <w:t>Gli eventi di cui ai punti da a) a d) vengono rilevati dai rispettivi archivi degli eventi liquidati (</w:t>
            </w:r>
            <w:r w:rsidRPr="00A937B9">
              <w:rPr>
                <w:b/>
              </w:rPr>
              <w:t>GEMA01</w:t>
            </w:r>
            <w:r w:rsidRPr="00A937B9">
              <w:t>); gli eventi di cui al punto e) vengono rilevati dal calendario presenze di ciascun mese verificando il giustificativo collegato in tabella “</w:t>
            </w:r>
            <w:r w:rsidRPr="00A937B9">
              <w:rPr>
                <w:i/>
              </w:rPr>
              <w:t>Dati presenze</w:t>
            </w:r>
            <w:r w:rsidRPr="00A937B9">
              <w:t>” (</w:t>
            </w:r>
            <w:r w:rsidRPr="00A937B9">
              <w:rPr>
                <w:b/>
              </w:rPr>
              <w:t>TB1102</w:t>
            </w:r>
            <w:r w:rsidRPr="00A937B9">
              <w:t>) al campo “</w:t>
            </w:r>
            <w:r w:rsidRPr="00A937B9">
              <w:rPr>
                <w:i/>
              </w:rPr>
              <w:t>CIG straordinaria</w:t>
            </w:r>
            <w:r w:rsidRPr="00A937B9">
              <w:t>” (</w:t>
            </w:r>
            <w:r w:rsidRPr="00A937B9">
              <w:rPr>
                <w:b/>
              </w:rPr>
              <w:t>GS</w:t>
            </w:r>
            <w:r w:rsidRPr="00A937B9">
              <w:t>); gli eventi di cui al punto f) vengono rilevati dal calendario presenze di ciascun mese, verificando i giustificativi caratterizzati dal valore “</w:t>
            </w:r>
            <w:r w:rsidRPr="00A937B9">
              <w:rPr>
                <w:b/>
              </w:rPr>
              <w:t>N</w:t>
            </w:r>
            <w:r w:rsidRPr="00A937B9">
              <w:t>” al campo “</w:t>
            </w:r>
            <w:r w:rsidRPr="00A937B9">
              <w:rPr>
                <w:i/>
              </w:rPr>
              <w:t>Tempo retribuito</w:t>
            </w:r>
            <w:r w:rsidRPr="00A937B9">
              <w:t>” ed “</w:t>
            </w:r>
            <w:r w:rsidRPr="00A937B9">
              <w:rPr>
                <w:b/>
              </w:rPr>
              <w:t>S</w:t>
            </w:r>
            <w:r w:rsidRPr="00A937B9">
              <w:t>” al campo “</w:t>
            </w:r>
            <w:r w:rsidRPr="00A937B9">
              <w:rPr>
                <w:i/>
              </w:rPr>
              <w:t>Somma x voce assenze</w:t>
            </w:r>
            <w:r w:rsidRPr="00A937B9">
              <w:t>”.</w:t>
            </w:r>
          </w:p>
          <w:p w:rsidR="00202B72" w:rsidRPr="00A937B9" w:rsidRDefault="00202B72" w:rsidP="002A4886">
            <w:pPr>
              <w:pStyle w:val="CorpoAltF0"/>
              <w:spacing w:before="60"/>
            </w:pPr>
            <w:r w:rsidRPr="00A937B9">
              <w:t>Ciascun mese viene conteggiato in proporzione all’eventuale percentuale part-time applicata nel mese stesso.</w:t>
            </w:r>
          </w:p>
          <w:p w:rsidR="00202B72" w:rsidRPr="00A937B9" w:rsidRDefault="00202B72" w:rsidP="002A4886">
            <w:pPr>
              <w:pStyle w:val="CorpoAltF0"/>
              <w:spacing w:before="60"/>
            </w:pPr>
            <w:r w:rsidRPr="00A937B9">
              <w:t>Si sottolinea che, per i dipendenti per i quali risultano verificate le condizioni di spettanza (dipendenti a tempo indeterminato in forza al 31/10/2017 o al 30/11/2017, assunti o trasformati precedentemente al 02/05/2017), il numero di quote mensili utili al calcolo dell’EEG (evidenziate nel presente campo “</w:t>
            </w:r>
            <w:proofErr w:type="spellStart"/>
            <w:r w:rsidRPr="00A937B9">
              <w:rPr>
                <w:i/>
              </w:rPr>
              <w:t>Coef</w:t>
            </w:r>
            <w:proofErr w:type="spellEnd"/>
            <w:r w:rsidRPr="00A937B9">
              <w:rPr>
                <w:i/>
              </w:rPr>
              <w:t>.</w:t>
            </w:r>
            <w:r w:rsidRPr="00A937B9">
              <w:t>”) viene determinato considerando, con le suddette modalità, anche i mesi relativi ad eventuali precedenti rapporti a tempo indeterminato presso la stessa azienda.</w:t>
            </w:r>
          </w:p>
          <w:p w:rsidR="00202B72" w:rsidRPr="00A937B9" w:rsidRDefault="00202B72" w:rsidP="002A4886">
            <w:pPr>
              <w:pStyle w:val="CorpoAltF0"/>
              <w:spacing w:before="60"/>
            </w:pPr>
            <w:r w:rsidRPr="00A937B9">
              <w:t xml:space="preserve">Nella sezione sottostante (v. punto </w:t>
            </w:r>
            <w:r w:rsidRPr="00A937B9">
              <w:rPr>
                <w:b/>
              </w:rPr>
              <w:t>2</w:t>
            </w:r>
            <w:r w:rsidRPr="00A937B9">
              <w:t>) è possibile evidenziare il dettaglio mensile del calcolo del coefficiente sopra descritto.</w:t>
            </w:r>
          </w:p>
          <w:p w:rsidR="00202B72" w:rsidRPr="00A937B9" w:rsidRDefault="00202B72" w:rsidP="002A4886">
            <w:pPr>
              <w:pStyle w:val="CorpoAltF0"/>
            </w:pPr>
          </w:p>
        </w:tc>
      </w:tr>
      <w:tr w:rsidR="00202B72" w:rsidRPr="00A937B9" w:rsidTr="002A4886">
        <w:tc>
          <w:tcPr>
            <w:tcW w:w="1384" w:type="dxa"/>
            <w:shd w:val="clear" w:color="auto" w:fill="auto"/>
          </w:tcPr>
          <w:p w:rsidR="00202B72" w:rsidRPr="00A937B9" w:rsidRDefault="00202B72" w:rsidP="002A4886">
            <w:pPr>
              <w:pStyle w:val="CorpoAltF0"/>
              <w:rPr>
                <w:i/>
              </w:rPr>
            </w:pPr>
            <w:r w:rsidRPr="00A937B9">
              <w:rPr>
                <w:i/>
              </w:rPr>
              <w:t>Importo:</w:t>
            </w:r>
          </w:p>
        </w:tc>
        <w:tc>
          <w:tcPr>
            <w:tcW w:w="8343" w:type="dxa"/>
            <w:shd w:val="clear" w:color="auto" w:fill="auto"/>
          </w:tcPr>
          <w:p w:rsidR="00202B72" w:rsidRPr="00A937B9" w:rsidRDefault="00202B72" w:rsidP="002A4886">
            <w:pPr>
              <w:pStyle w:val="CorpoAltF0"/>
            </w:pPr>
            <w:r w:rsidRPr="00A937B9">
              <w:t>importo di EEG spettante al dipendente, calcolato come di seguito descritto.</w:t>
            </w:r>
          </w:p>
          <w:p w:rsidR="00202B72" w:rsidRPr="00A937B9" w:rsidRDefault="00202B72" w:rsidP="002A4886">
            <w:pPr>
              <w:pStyle w:val="CorpoAltF0"/>
              <w:spacing w:before="60"/>
            </w:pPr>
            <w:r w:rsidRPr="00A937B9">
              <w:t>L’importo massimo previsto dal CCNL per il livello d’inquadramento associato al dipendente viene prelevato dalla tabella “</w:t>
            </w:r>
            <w:r w:rsidRPr="00A937B9">
              <w:rPr>
                <w:i/>
              </w:rPr>
              <w:t>Basi</w:t>
            </w:r>
            <w:r w:rsidRPr="00A937B9">
              <w:t>” (</w:t>
            </w:r>
            <w:r w:rsidRPr="00A937B9">
              <w:rPr>
                <w:b/>
              </w:rPr>
              <w:t>TB0120</w:t>
            </w:r>
            <w:r w:rsidRPr="00A937B9">
              <w:t>) con codice 10 (aziende fino a 10 dipendenti) o 11 (aziende oltre 10 dipendenti); per gli apprendisti viene preso in considerazione il livello di destinazione del contratto di apprendistato (campo “</w:t>
            </w:r>
            <w:r w:rsidRPr="00A937B9">
              <w:rPr>
                <w:i/>
              </w:rPr>
              <w:t>Livello</w:t>
            </w:r>
            <w:r w:rsidRPr="00A937B9">
              <w:t>” della scheda “</w:t>
            </w:r>
            <w:r w:rsidRPr="00A937B9">
              <w:rPr>
                <w:i/>
              </w:rPr>
              <w:t>Retribuzione</w:t>
            </w:r>
            <w:r w:rsidRPr="00A937B9">
              <w:t xml:space="preserve">” di </w:t>
            </w:r>
            <w:r w:rsidRPr="00A937B9">
              <w:rPr>
                <w:b/>
              </w:rPr>
              <w:t>DIPE</w:t>
            </w:r>
            <w:r w:rsidRPr="00A937B9">
              <w:t>).</w:t>
            </w:r>
          </w:p>
          <w:p w:rsidR="00202B72" w:rsidRPr="00A937B9" w:rsidRDefault="00202B72" w:rsidP="002A4886">
            <w:pPr>
              <w:pStyle w:val="CorpoAltF0"/>
              <w:spacing w:before="60"/>
            </w:pPr>
            <w:r w:rsidRPr="00A937B9">
              <w:t>Il programma utilizza se presente, la tabella “</w:t>
            </w:r>
            <w:r w:rsidRPr="00A937B9">
              <w:rPr>
                <w:i/>
              </w:rPr>
              <w:t>Basi</w:t>
            </w:r>
            <w:r w:rsidRPr="00A937B9">
              <w:t xml:space="preserve">” creata dall’utente (sempre con codice 10 e 11) per il codice settore indicato, se assente verrà utilizzata la tabella relativa al codice settore </w:t>
            </w:r>
            <w:r w:rsidRPr="00A937B9">
              <w:rPr>
                <w:b/>
              </w:rPr>
              <w:t>8162</w:t>
            </w:r>
            <w:r w:rsidRPr="00A937B9">
              <w:t>.</w:t>
            </w:r>
          </w:p>
          <w:p w:rsidR="00202B72" w:rsidRPr="00A937B9" w:rsidRDefault="00202B72" w:rsidP="002A4886">
            <w:pPr>
              <w:pStyle w:val="CorpoAltF0"/>
            </w:pPr>
          </w:p>
        </w:tc>
      </w:tr>
    </w:tbl>
    <w:p w:rsidR="00202B72" w:rsidRPr="00A937B9" w:rsidRDefault="00202B72" w:rsidP="00202B72">
      <w:pPr>
        <w:pStyle w:val="Ignora"/>
      </w:pPr>
      <w:r w:rsidRPr="00A937B9">
        <w:br w:type="page"/>
      </w:r>
    </w:p>
    <w:tbl>
      <w:tblPr>
        <w:tblW w:w="9747" w:type="dxa"/>
        <w:tblInd w:w="284" w:type="dxa"/>
        <w:tblLook w:val="04A0" w:firstRow="1" w:lastRow="0" w:firstColumn="1" w:lastColumn="0" w:noHBand="0" w:noVBand="1"/>
      </w:tblPr>
      <w:tblGrid>
        <w:gridCol w:w="20"/>
        <w:gridCol w:w="1386"/>
        <w:gridCol w:w="8341"/>
      </w:tblGrid>
      <w:tr w:rsidR="00202B72" w:rsidRPr="00A937B9" w:rsidTr="002A4886">
        <w:trPr>
          <w:gridBefore w:val="1"/>
          <w:wBefore w:w="20" w:type="dxa"/>
        </w:trPr>
        <w:tc>
          <w:tcPr>
            <w:tcW w:w="1384" w:type="dxa"/>
            <w:shd w:val="clear" w:color="auto" w:fill="auto"/>
          </w:tcPr>
          <w:p w:rsidR="00202B72" w:rsidRPr="00A937B9" w:rsidRDefault="00202B72" w:rsidP="002A4886">
            <w:pPr>
              <w:pStyle w:val="CorpoAltF0"/>
              <w:rPr>
                <w:i/>
              </w:rPr>
            </w:pPr>
          </w:p>
        </w:tc>
        <w:tc>
          <w:tcPr>
            <w:tcW w:w="8343" w:type="dxa"/>
            <w:shd w:val="clear" w:color="auto" w:fill="auto"/>
          </w:tcPr>
          <w:p w:rsidR="00202B72" w:rsidRPr="00A937B9" w:rsidRDefault="00202B72" w:rsidP="002A4886">
            <w:pPr>
              <w:pStyle w:val="CorpoAltF0"/>
              <w:spacing w:before="60"/>
            </w:pPr>
            <w:r w:rsidRPr="00A937B9">
              <w:t>La dimensione aziendale ai fini della scelta della tabella di riferimento (codice base 10 o 11) viene rilevata dal valore presente al campo “</w:t>
            </w:r>
            <w:r w:rsidRPr="00A937B9">
              <w:rPr>
                <w:i/>
              </w:rPr>
              <w:t>Numero dipendenti</w:t>
            </w:r>
            <w:r w:rsidRPr="00A937B9">
              <w:t>” della sezione “</w:t>
            </w:r>
            <w:r w:rsidRPr="00A937B9">
              <w:rPr>
                <w:i/>
              </w:rPr>
              <w:t>Progressivi &gt; Contributi INPS</w:t>
            </w:r>
            <w:r w:rsidRPr="00A937B9">
              <w:t xml:space="preserve">” di </w:t>
            </w:r>
            <w:r w:rsidRPr="00A937B9">
              <w:rPr>
                <w:b/>
              </w:rPr>
              <w:t>AZIE</w:t>
            </w:r>
            <w:r w:rsidRPr="00A937B9">
              <w:t>, con riferimento al mese 10/2017 (CCNL Terziario Confcommercio) o 11/2017 (CCNL Terziario Confesercenti).</w:t>
            </w:r>
          </w:p>
          <w:p w:rsidR="00202B72" w:rsidRPr="00A937B9" w:rsidRDefault="00202B72" w:rsidP="002A4886">
            <w:pPr>
              <w:pStyle w:val="CorpoAltF0"/>
            </w:pPr>
          </w:p>
          <w:p w:rsidR="00202B72" w:rsidRPr="00A937B9" w:rsidRDefault="00202B72" w:rsidP="002A4886">
            <w:pPr>
              <w:pStyle w:val="CorpoAltF0"/>
            </w:pPr>
            <w:r w:rsidRPr="00A937B9">
              <w:t>L’importo di EEG spettante verrà quindi determinato con il seguente calcolo:</w:t>
            </w:r>
          </w:p>
        </w:tc>
      </w:tr>
      <w:tr w:rsidR="00202B72" w:rsidRPr="00A937B9" w:rsidTr="002A4886">
        <w:tc>
          <w:tcPr>
            <w:tcW w:w="1406" w:type="dxa"/>
            <w:gridSpan w:val="2"/>
            <w:shd w:val="clear" w:color="auto" w:fill="auto"/>
          </w:tcPr>
          <w:p w:rsidR="00202B72" w:rsidRPr="00A937B9" w:rsidRDefault="00202B72" w:rsidP="002A4886">
            <w:pPr>
              <w:pStyle w:val="CorpoAltF0"/>
              <w:spacing w:before="60"/>
              <w:ind w:left="317"/>
            </w:pPr>
          </w:p>
        </w:tc>
        <w:tc>
          <w:tcPr>
            <w:tcW w:w="8341" w:type="dxa"/>
            <w:shd w:val="clear" w:color="auto" w:fill="auto"/>
          </w:tcPr>
          <w:p w:rsidR="00202B72" w:rsidRPr="00A937B9" w:rsidRDefault="00202B72" w:rsidP="002A4886">
            <w:pPr>
              <w:pStyle w:val="CorpoAltF0"/>
              <w:spacing w:before="60"/>
              <w:ind w:left="33"/>
              <w:jc w:val="center"/>
              <w:rPr>
                <w:u w:val="single"/>
              </w:rPr>
            </w:pPr>
            <w:r w:rsidRPr="00A937B9">
              <w:rPr>
                <w:u w:val="single"/>
              </w:rPr>
              <w:t xml:space="preserve">Importo EEG da </w:t>
            </w:r>
            <w:r w:rsidRPr="00A937B9">
              <w:rPr>
                <w:b/>
                <w:u w:val="single"/>
              </w:rPr>
              <w:t>TB</w:t>
            </w:r>
            <w:proofErr w:type="gramStart"/>
            <w:r w:rsidRPr="00A937B9">
              <w:rPr>
                <w:b/>
                <w:u w:val="single"/>
              </w:rPr>
              <w:t>0120</w:t>
            </w:r>
            <w:r w:rsidRPr="00A937B9">
              <w:rPr>
                <w:u w:val="single"/>
              </w:rPr>
              <w:t xml:space="preserve">  x</w:t>
            </w:r>
            <w:proofErr w:type="gramEnd"/>
            <w:r w:rsidRPr="00A937B9">
              <w:rPr>
                <w:u w:val="single"/>
              </w:rPr>
              <w:t xml:space="preserve">  n. mesi di spettanza (campo “</w:t>
            </w:r>
            <w:proofErr w:type="spellStart"/>
            <w:r w:rsidRPr="00A937B9">
              <w:rPr>
                <w:i/>
                <w:u w:val="single"/>
              </w:rPr>
              <w:t>Coef</w:t>
            </w:r>
            <w:proofErr w:type="spellEnd"/>
            <w:r w:rsidRPr="00A937B9">
              <w:rPr>
                <w:i/>
                <w:u w:val="single"/>
              </w:rPr>
              <w:t>.</w:t>
            </w:r>
            <w:r w:rsidRPr="00A937B9">
              <w:rPr>
                <w:u w:val="single"/>
              </w:rPr>
              <w:t>”)</w:t>
            </w:r>
          </w:p>
        </w:tc>
      </w:tr>
      <w:tr w:rsidR="00202B72" w:rsidRPr="00A937B9" w:rsidTr="002A4886">
        <w:tc>
          <w:tcPr>
            <w:tcW w:w="1406" w:type="dxa"/>
            <w:gridSpan w:val="2"/>
            <w:shd w:val="clear" w:color="auto" w:fill="auto"/>
          </w:tcPr>
          <w:p w:rsidR="00202B72" w:rsidRPr="00A937B9" w:rsidRDefault="00202B72" w:rsidP="002A4886">
            <w:pPr>
              <w:pStyle w:val="CorpoAltF0"/>
              <w:ind w:left="317"/>
            </w:pPr>
          </w:p>
        </w:tc>
        <w:tc>
          <w:tcPr>
            <w:tcW w:w="8341" w:type="dxa"/>
            <w:shd w:val="clear" w:color="auto" w:fill="auto"/>
          </w:tcPr>
          <w:p w:rsidR="00202B72" w:rsidRPr="00A937B9" w:rsidRDefault="00202B72" w:rsidP="002A4886">
            <w:pPr>
              <w:pStyle w:val="CorpoAltF0"/>
              <w:ind w:left="33"/>
              <w:jc w:val="center"/>
            </w:pPr>
            <w:r w:rsidRPr="00A937B9">
              <w:t>34</w:t>
            </w:r>
          </w:p>
        </w:tc>
      </w:tr>
    </w:tbl>
    <w:p w:rsidR="00202B72" w:rsidRPr="00A937B9" w:rsidRDefault="00202B72" w:rsidP="00202B72">
      <w:pPr>
        <w:pStyle w:val="CorpoAltF0"/>
        <w:spacing w:before="120"/>
        <w:ind w:left="284"/>
      </w:pPr>
      <w:r w:rsidRPr="00A937B9">
        <w:t xml:space="preserve">Infine, nel riquadro in esame viene evidenziato lo stato di elaborazione del cedolino relativo alla mensilità selezionata per l’erogazione dell’EEG, nonché gli eventuali problemi riscontrati nel calcolo dell’EEG; tale informazione è utile al fine di verificare la possibilità di procedere alla generazione automatica della voce di erogazione dell’importo spettante, mediante la scelta “Aggiornamento e stampa” (vedi </w:t>
      </w:r>
      <w:proofErr w:type="spellStart"/>
      <w:r w:rsidRPr="00A937B9">
        <w:t>parag</w:t>
      </w:r>
      <w:proofErr w:type="spellEnd"/>
      <w:r w:rsidRPr="00A937B9">
        <w:t>, successivo).</w:t>
      </w:r>
    </w:p>
    <w:p w:rsidR="00202B72" w:rsidRPr="00A937B9" w:rsidRDefault="00202B72" w:rsidP="00202B72">
      <w:pPr>
        <w:pStyle w:val="CorpoAltF0"/>
        <w:ind w:left="284"/>
      </w:pPr>
    </w:p>
    <w:p w:rsidR="00202B72" w:rsidRPr="00A937B9" w:rsidRDefault="00202B72" w:rsidP="00202B72">
      <w:pPr>
        <w:pStyle w:val="CorpoAltF0"/>
        <w:numPr>
          <w:ilvl w:val="0"/>
          <w:numId w:val="11"/>
        </w:numPr>
        <w:tabs>
          <w:tab w:val="clear" w:pos="720"/>
        </w:tabs>
        <w:ind w:left="284" w:hanging="284"/>
        <w:rPr>
          <w:b/>
        </w:rPr>
      </w:pPr>
      <w:r w:rsidRPr="00A937B9">
        <w:t>In tale riquadro, presente se compilato il campo “</w:t>
      </w:r>
      <w:r w:rsidRPr="00A937B9">
        <w:rPr>
          <w:i/>
        </w:rPr>
        <w:t>Stampa dettaglio</w:t>
      </w:r>
      <w:r w:rsidRPr="00A937B9">
        <w:t>”, viene evidenziato il dettaglio del calcolo operato per ciascun mese del periodo 01/2015 – 10/2017.</w:t>
      </w:r>
    </w:p>
    <w:p w:rsidR="00202B72" w:rsidRPr="00A937B9" w:rsidRDefault="00202B72" w:rsidP="00202B72">
      <w:pPr>
        <w:pStyle w:val="CorpoAltF0"/>
        <w:spacing w:before="60"/>
        <w:ind w:left="284"/>
        <w:rPr>
          <w:b/>
        </w:rPr>
      </w:pPr>
      <w:r w:rsidRPr="00A937B9">
        <w:t>Vengono esposte le seguenti informazioni:</w:t>
      </w:r>
    </w:p>
    <w:tbl>
      <w:tblPr>
        <w:tblW w:w="9713" w:type="dxa"/>
        <w:tblInd w:w="318" w:type="dxa"/>
        <w:tblLook w:val="04A0" w:firstRow="1" w:lastRow="0" w:firstColumn="1" w:lastColumn="0" w:noHBand="0" w:noVBand="1"/>
      </w:tblPr>
      <w:tblGrid>
        <w:gridCol w:w="1384"/>
        <w:gridCol w:w="8329"/>
      </w:tblGrid>
      <w:tr w:rsidR="00202B72" w:rsidRPr="00A937B9" w:rsidTr="002A4886">
        <w:tc>
          <w:tcPr>
            <w:tcW w:w="1384" w:type="dxa"/>
            <w:shd w:val="clear" w:color="auto" w:fill="auto"/>
          </w:tcPr>
          <w:p w:rsidR="00202B72" w:rsidRPr="00A937B9" w:rsidRDefault="00202B72" w:rsidP="002A4886">
            <w:pPr>
              <w:pStyle w:val="CorpoAltF0"/>
              <w:spacing w:before="120"/>
              <w:rPr>
                <w:i/>
              </w:rPr>
            </w:pPr>
            <w:r w:rsidRPr="00A937B9">
              <w:rPr>
                <w:i/>
              </w:rPr>
              <w:t>Giorni:</w:t>
            </w:r>
          </w:p>
        </w:tc>
        <w:tc>
          <w:tcPr>
            <w:tcW w:w="8329" w:type="dxa"/>
            <w:shd w:val="clear" w:color="auto" w:fill="auto"/>
          </w:tcPr>
          <w:p w:rsidR="00202B72" w:rsidRPr="00A937B9" w:rsidRDefault="00202B72" w:rsidP="002A4886">
            <w:pPr>
              <w:pStyle w:val="CorpoAltF0"/>
              <w:spacing w:before="120"/>
            </w:pPr>
            <w:r w:rsidRPr="00A937B9">
              <w:t>giorni di effettiva prestazione lavorativa rilevati nel mese.</w:t>
            </w:r>
          </w:p>
          <w:p w:rsidR="00202B72" w:rsidRPr="00A937B9" w:rsidRDefault="00202B72" w:rsidP="002A4886">
            <w:pPr>
              <w:pStyle w:val="CorpoAltF0"/>
              <w:spacing w:before="60"/>
            </w:pPr>
            <w:r w:rsidRPr="00A937B9">
              <w:t>Tale campo viene valorizzato solo in corrispondenza dei mesi in cui i giorni di effettivo lavoro sono risultati inferiori a 15 (mesi non considerati nel calcolo dell’EEG).</w:t>
            </w:r>
          </w:p>
          <w:p w:rsidR="00202B72" w:rsidRPr="00A937B9" w:rsidRDefault="00202B72" w:rsidP="002A4886">
            <w:pPr>
              <w:pStyle w:val="CorpoAltF0"/>
            </w:pPr>
          </w:p>
        </w:tc>
      </w:tr>
      <w:tr w:rsidR="00202B72" w:rsidRPr="00A937B9" w:rsidTr="002A4886">
        <w:tc>
          <w:tcPr>
            <w:tcW w:w="1384" w:type="dxa"/>
            <w:shd w:val="clear" w:color="auto" w:fill="auto"/>
          </w:tcPr>
          <w:p w:rsidR="00202B72" w:rsidRPr="00A937B9" w:rsidRDefault="00202B72" w:rsidP="002A4886">
            <w:pPr>
              <w:pStyle w:val="CorpoAltF0"/>
              <w:rPr>
                <w:i/>
              </w:rPr>
            </w:pPr>
            <w:proofErr w:type="spellStart"/>
            <w:r w:rsidRPr="00A937B9">
              <w:rPr>
                <w:i/>
              </w:rPr>
              <w:t>Coeff</w:t>
            </w:r>
            <w:proofErr w:type="spellEnd"/>
            <w:r w:rsidRPr="00A937B9">
              <w:rPr>
                <w:i/>
              </w:rPr>
              <w:t>.:</w:t>
            </w:r>
          </w:p>
        </w:tc>
        <w:tc>
          <w:tcPr>
            <w:tcW w:w="8329" w:type="dxa"/>
            <w:shd w:val="clear" w:color="auto" w:fill="auto"/>
          </w:tcPr>
          <w:p w:rsidR="00202B72" w:rsidRPr="00A937B9" w:rsidRDefault="00202B72" w:rsidP="002A4886">
            <w:pPr>
              <w:pStyle w:val="CorpoAltF0"/>
            </w:pPr>
            <w:r w:rsidRPr="00A937B9">
              <w:t>coefficiente con cui il singolo mese è stato conteggiato nel calcolo dell’EEG spettante.</w:t>
            </w:r>
          </w:p>
          <w:p w:rsidR="00202B72" w:rsidRPr="00A937B9" w:rsidRDefault="00202B72" w:rsidP="002A4886">
            <w:pPr>
              <w:pStyle w:val="CorpoAltF0"/>
              <w:spacing w:before="60"/>
            </w:pPr>
            <w:r w:rsidRPr="00A937B9">
              <w:t>In tale campo viene evidenziato il valore 1,00 (rapportato all’eventuale percentuale part-time) per i mesi nei quali risultano almeno 15 giorni di effettiva prestazione lavorativa; non viene valorizzato per i mesi in cui i giorni sono inferiori a 15.</w:t>
            </w:r>
          </w:p>
        </w:tc>
      </w:tr>
    </w:tbl>
    <w:p w:rsidR="00202B72" w:rsidRPr="00A937B9" w:rsidRDefault="00202B72" w:rsidP="00202B72">
      <w:pPr>
        <w:pStyle w:val="CorpoAltF0"/>
      </w:pPr>
    </w:p>
    <w:p w:rsidR="00202B72" w:rsidRPr="00A937B9" w:rsidRDefault="00202B72" w:rsidP="00202B72">
      <w:pPr>
        <w:pStyle w:val="TS-titolo-05"/>
      </w:pPr>
      <w:bookmarkStart w:id="174" w:name="_Toc372734001"/>
      <w:bookmarkStart w:id="175" w:name="_Toc372737855"/>
      <w:bookmarkStart w:id="176" w:name="_Toc499133406"/>
      <w:bookmarkStart w:id="177" w:name="_Toc499135158"/>
      <w:r w:rsidRPr="00A937B9">
        <w:t>Aggiornamento e stampa</w:t>
      </w:r>
      <w:bookmarkEnd w:id="174"/>
      <w:bookmarkEnd w:id="175"/>
      <w:bookmarkEnd w:id="176"/>
      <w:bookmarkEnd w:id="177"/>
    </w:p>
    <w:p w:rsidR="00202B72" w:rsidRPr="00A937B9" w:rsidRDefault="00202B72" w:rsidP="00202B72">
      <w:pPr>
        <w:pStyle w:val="CorpoAltF0"/>
        <w:spacing w:before="120"/>
      </w:pPr>
      <w:r w:rsidRPr="00A937B9">
        <w:t>Tale scelta, oltre alla stampa sopra descritta, consente di generare nei cedolini della mensilità selezionata al campo “</w:t>
      </w:r>
      <w:r w:rsidRPr="00A937B9">
        <w:rPr>
          <w:i/>
        </w:rPr>
        <w:t>Mese cedolino</w:t>
      </w:r>
      <w:r w:rsidRPr="00A937B9">
        <w:t>”, la voce di calcolo per l’erogazione dell’EEG spettante.</w:t>
      </w:r>
    </w:p>
    <w:p w:rsidR="00202B72" w:rsidRPr="00A937B9" w:rsidRDefault="00202B72" w:rsidP="00202B72">
      <w:pPr>
        <w:pStyle w:val="CorpoAltF0"/>
        <w:spacing w:before="60"/>
      </w:pPr>
      <w:r w:rsidRPr="00A937B9">
        <w:t>A tal fine è necessario indicare il codice voce da utilizzare al campo “</w:t>
      </w:r>
      <w:r w:rsidRPr="00A937B9">
        <w:rPr>
          <w:i/>
        </w:rPr>
        <w:t>Voce EEG</w:t>
      </w:r>
      <w:r w:rsidRPr="00A937B9">
        <w:t>”:</w:t>
      </w:r>
    </w:p>
    <w:p w:rsidR="00202B72" w:rsidRPr="00A937B9" w:rsidRDefault="00202B72" w:rsidP="00202B72">
      <w:pPr>
        <w:pStyle w:val="CorpoAltF0"/>
      </w:pPr>
    </w:p>
    <w:p w:rsidR="00202B72" w:rsidRPr="00A937B9" w:rsidRDefault="00202B72" w:rsidP="00202B72">
      <w:pPr>
        <w:pStyle w:val="CorpoAltF0"/>
        <w:jc w:val="center"/>
      </w:pPr>
      <w:r w:rsidRPr="00A937B9">
        <w:rPr>
          <w:noProof/>
        </w:rPr>
        <w:drawing>
          <wp:inline distT="0" distB="0" distL="0" distR="0" wp14:anchorId="59E99A69" wp14:editId="71D59F0F">
            <wp:extent cx="5040000" cy="2761411"/>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40000" cy="2761411"/>
                    </a:xfrm>
                    <a:prstGeom prst="rect">
                      <a:avLst/>
                    </a:prstGeom>
                  </pic:spPr>
                </pic:pic>
              </a:graphicData>
            </a:graphic>
          </wp:inline>
        </w:drawing>
      </w:r>
    </w:p>
    <w:p w:rsidR="00202B72" w:rsidRPr="00A937B9" w:rsidRDefault="00202B72" w:rsidP="00202B72">
      <w:pPr>
        <w:pStyle w:val="CorpoAltF0"/>
      </w:pPr>
    </w:p>
    <w:p w:rsidR="00202B72" w:rsidRPr="00A937B9" w:rsidRDefault="00202B72" w:rsidP="00202B72">
      <w:pPr>
        <w:pStyle w:val="CorpoAltF0"/>
      </w:pPr>
      <w:r w:rsidRPr="00A937B9">
        <w:t xml:space="preserve">Il programma propone in automatico il codice voce </w:t>
      </w:r>
      <w:r w:rsidRPr="00A937B9">
        <w:rPr>
          <w:b/>
        </w:rPr>
        <w:t>8180</w:t>
      </w:r>
      <w:r w:rsidRPr="00A937B9">
        <w:t xml:space="preserve"> (voce di competenza, assoggettata ad IRPEF e contributi), creato nel raggruppamento zero mediante il comando di conversione della versione PAGHE 2013.2.2; se non presente sarà cura dell’utente effettuarne la creazione (</w:t>
      </w:r>
      <w:r w:rsidRPr="00A937B9">
        <w:rPr>
          <w:b/>
        </w:rPr>
        <w:t>IMPVOCI</w:t>
      </w:r>
      <w:r w:rsidRPr="00A937B9">
        <w:t xml:space="preserve"> &gt; “</w:t>
      </w:r>
      <w:r w:rsidRPr="00A937B9">
        <w:rPr>
          <w:i/>
        </w:rPr>
        <w:t>carica Tutte</w:t>
      </w:r>
      <w:r w:rsidRPr="00A937B9">
        <w:t>”).</w:t>
      </w:r>
    </w:p>
    <w:p w:rsidR="00202B72" w:rsidRPr="00A937B9" w:rsidRDefault="00202B72" w:rsidP="00202B72">
      <w:pPr>
        <w:pStyle w:val="CorpoAltF0"/>
        <w:spacing w:before="120"/>
      </w:pPr>
      <w:r w:rsidRPr="00A937B9">
        <w:t>La scelta “</w:t>
      </w:r>
      <w:r w:rsidRPr="00A937B9">
        <w:rPr>
          <w:i/>
        </w:rPr>
        <w:t>Aggiorna e stampa</w:t>
      </w:r>
      <w:r w:rsidRPr="00A937B9">
        <w:t>” provvede ad eseguire la funzione di ricalcolo del cedolino (</w:t>
      </w:r>
      <w:r w:rsidRPr="00A937B9">
        <w:rPr>
          <w:b/>
        </w:rPr>
        <w:t>CEDOLB</w:t>
      </w:r>
      <w:r w:rsidRPr="00A937B9">
        <w:t>).</w:t>
      </w:r>
    </w:p>
    <w:p w:rsidR="00202B72" w:rsidRPr="00A937B9" w:rsidRDefault="00202B72" w:rsidP="00202B72">
      <w:pPr>
        <w:pStyle w:val="CorpoAltF0"/>
        <w:spacing w:before="120"/>
      </w:pPr>
      <w:r w:rsidRPr="00A937B9">
        <w:t>Il comando può essere effettuato anche prima dell’elaborazione dei cedolini della mensilità interessata (nella relativa stampa verrà riportata la dicitura “</w:t>
      </w:r>
      <w:r w:rsidRPr="00A937B9">
        <w:rPr>
          <w:i/>
        </w:rPr>
        <w:t>Cedolino mancante</w:t>
      </w:r>
      <w:r w:rsidRPr="00A937B9">
        <w:t>”); con la successiva elaborazione la voce di erogazione risulterà automaticamente inserita.</w:t>
      </w:r>
      <w:r w:rsidRPr="00A937B9">
        <w:br w:type="page"/>
      </w:r>
    </w:p>
    <w:p w:rsidR="00202B72" w:rsidRPr="00A937B9" w:rsidRDefault="00202B72" w:rsidP="00202B72">
      <w:pPr>
        <w:pStyle w:val="CorpoAltF0"/>
      </w:pPr>
    </w:p>
    <w:p w:rsidR="00202B72" w:rsidRPr="00A937B9" w:rsidRDefault="00202B72" w:rsidP="00202B72">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202B72" w:rsidRPr="00A937B9" w:rsidTr="002A4886">
        <w:trPr>
          <w:trHeight w:val="558"/>
        </w:trPr>
        <w:tc>
          <w:tcPr>
            <w:tcW w:w="6874" w:type="dxa"/>
            <w:tcBorders>
              <w:top w:val="nil"/>
              <w:left w:val="nil"/>
              <w:bottom w:val="single" w:sz="12" w:space="0" w:color="auto"/>
              <w:right w:val="nil"/>
            </w:tcBorders>
            <w:vAlign w:val="center"/>
          </w:tcPr>
          <w:p w:rsidR="00202B72" w:rsidRPr="00A937B9" w:rsidRDefault="00202B72" w:rsidP="002A4886">
            <w:pPr>
              <w:pStyle w:val="TS-titolo-01"/>
              <w:outlineLvl w:val="0"/>
            </w:pPr>
            <w:bookmarkStart w:id="178" w:name="CALRIVP"/>
            <w:bookmarkStart w:id="179" w:name="_Toc467261848"/>
            <w:bookmarkStart w:id="180" w:name="_Toc467263189"/>
            <w:bookmarkStart w:id="181" w:name="_Toc499133407"/>
            <w:bookmarkStart w:id="182" w:name="_Toc499135159"/>
            <w:bookmarkEnd w:id="178"/>
            <w:r w:rsidRPr="00A937B9">
              <w:t>Imposta sostitutiva sulla rivalutazione TFR</w:t>
            </w:r>
            <w:bookmarkEnd w:id="179"/>
            <w:bookmarkEnd w:id="180"/>
            <w:bookmarkEnd w:id="181"/>
            <w:bookmarkEnd w:id="182"/>
          </w:p>
        </w:tc>
        <w:tc>
          <w:tcPr>
            <w:tcW w:w="2901" w:type="dxa"/>
            <w:tcBorders>
              <w:top w:val="single" w:sz="4" w:space="0" w:color="auto"/>
              <w:left w:val="nil"/>
              <w:bottom w:val="single" w:sz="4" w:space="0" w:color="auto"/>
              <w:right w:val="nil"/>
            </w:tcBorders>
            <w:shd w:val="clear" w:color="auto" w:fill="000000"/>
            <w:vAlign w:val="center"/>
          </w:tcPr>
          <w:p w:rsidR="00202B72" w:rsidRPr="00A937B9" w:rsidRDefault="00202B72" w:rsidP="002A4886">
            <w:pPr>
              <w:pStyle w:val="TS-titolo-02"/>
              <w:outlineLvl w:val="0"/>
            </w:pPr>
          </w:p>
        </w:tc>
      </w:tr>
    </w:tbl>
    <w:p w:rsidR="00202B72" w:rsidRPr="00A937B9" w:rsidRDefault="00202B72" w:rsidP="00202B72">
      <w:pPr>
        <w:pStyle w:val="Ignora"/>
      </w:pPr>
    </w:p>
    <w:p w:rsidR="00202B72" w:rsidRPr="00A937B9" w:rsidRDefault="00202B72" w:rsidP="00202B72">
      <w:pPr>
        <w:pStyle w:val="TS-titolo-04"/>
      </w:pPr>
      <w:bookmarkStart w:id="183" w:name="_Toc467261849"/>
      <w:bookmarkStart w:id="184" w:name="_Toc467263190"/>
      <w:bookmarkStart w:id="185" w:name="_Toc499133408"/>
      <w:bookmarkStart w:id="186" w:name="_Toc499135160"/>
      <w:r w:rsidRPr="00A937B9">
        <w:t>Acconto imposta sostitutiva sulla rivalutazione del TFR</w:t>
      </w:r>
      <w:bookmarkEnd w:id="183"/>
      <w:bookmarkEnd w:id="184"/>
      <w:bookmarkEnd w:id="185"/>
      <w:bookmarkEnd w:id="186"/>
    </w:p>
    <w:p w:rsidR="00202B72" w:rsidRPr="00A937B9" w:rsidRDefault="00202B72" w:rsidP="00202B72">
      <w:pPr>
        <w:pStyle w:val="CorpoAltF0"/>
        <w:spacing w:before="120"/>
      </w:pPr>
      <w:r w:rsidRPr="00A937B9">
        <w:t>Con la quadratura del mese di novembre il programma trasferisce nella delega F24 scadente il 16 dicembre 2017 l’importo dell’acconto dell’imposta sostitutiva sul TFR.</w:t>
      </w:r>
    </w:p>
    <w:p w:rsidR="00202B72" w:rsidRPr="00A937B9" w:rsidRDefault="00202B72" w:rsidP="00202B72">
      <w:pPr>
        <w:pStyle w:val="CorpoAltF0"/>
        <w:spacing w:before="120"/>
      </w:pPr>
      <w:r w:rsidRPr="00A937B9">
        <w:t>Di seguito si riportano le istruzioni operative da seguire prima di operare la quadratura di novembre (invariate rispetto all’anno precedente) per determinare l’importo dell’acconto applicando le modalità di calcolo (storica o previsionale) normativamente previste.</w:t>
      </w:r>
    </w:p>
    <w:p w:rsidR="00202B72" w:rsidRPr="00A937B9" w:rsidRDefault="00202B72" w:rsidP="00202B72">
      <w:pPr>
        <w:pStyle w:val="CorpoAltF0"/>
      </w:pPr>
    </w:p>
    <w:p w:rsidR="00202B72" w:rsidRPr="00A937B9" w:rsidRDefault="00202B72" w:rsidP="00202B72">
      <w:pPr>
        <w:pStyle w:val="CorpoAltF0"/>
      </w:pPr>
    </w:p>
    <w:p w:rsidR="00202B72" w:rsidRPr="00A937B9" w:rsidRDefault="00202B72" w:rsidP="00202B72">
      <w:pPr>
        <w:pStyle w:val="TS-titolo-04"/>
      </w:pPr>
      <w:bookmarkStart w:id="187" w:name="_Toc88043276"/>
      <w:bookmarkStart w:id="188" w:name="_Toc120442068"/>
      <w:bookmarkStart w:id="189" w:name="_Toc182393632"/>
      <w:bookmarkStart w:id="190" w:name="_Toc205378035"/>
      <w:bookmarkStart w:id="191" w:name="_Toc214343525"/>
      <w:bookmarkStart w:id="192" w:name="_Toc247441206"/>
      <w:bookmarkStart w:id="193" w:name="_Toc309640770"/>
      <w:bookmarkStart w:id="194" w:name="_Toc341345178"/>
      <w:bookmarkStart w:id="195" w:name="_Toc341370912"/>
      <w:bookmarkStart w:id="196" w:name="_Toc372737177"/>
      <w:bookmarkStart w:id="197" w:name="_Toc372737862"/>
      <w:bookmarkStart w:id="198" w:name="_Toc404003695"/>
      <w:bookmarkStart w:id="199" w:name="_Toc435779529"/>
      <w:bookmarkStart w:id="200" w:name="_Toc435782232"/>
      <w:bookmarkStart w:id="201" w:name="_Toc467261850"/>
      <w:bookmarkStart w:id="202" w:name="_Toc467263191"/>
      <w:bookmarkStart w:id="203" w:name="_Toc499133409"/>
      <w:bookmarkStart w:id="204" w:name="_Toc499135161"/>
      <w:r w:rsidRPr="00A937B9">
        <w:t>Modalità di calcolo</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202B72" w:rsidRPr="00A937B9" w:rsidRDefault="00202B72" w:rsidP="00202B72">
      <w:pPr>
        <w:pStyle w:val="CorpoAltF0"/>
        <w:spacing w:before="120"/>
      </w:pPr>
      <w:r w:rsidRPr="00A937B9">
        <w:t>L’acconto, pari al 90% dell’imposta sostitutiva sul TFR, può essere determinato secondo due modalità diverse ai sensi della circolare dell’Agenzia delle Entrate n. 29/E del 20/3/2001 che stabilisce:</w:t>
      </w:r>
    </w:p>
    <w:p w:rsidR="00202B72" w:rsidRPr="00A937B9" w:rsidRDefault="00202B72" w:rsidP="00202B72">
      <w:pPr>
        <w:pStyle w:val="CorpoAltF0"/>
        <w:spacing w:before="60"/>
        <w:rPr>
          <w:rFonts w:hAnsi="Arial Unicode MS" w:cs="Arial Unicode MS"/>
        </w:rPr>
      </w:pPr>
      <w:proofErr w:type="gramStart"/>
      <w:r w:rsidRPr="00A937B9">
        <w:t>“</w:t>
      </w:r>
      <w:r w:rsidRPr="00A937B9">
        <w:rPr>
          <w:i/>
          <w:iCs/>
        </w:rPr>
        <w:t>….</w:t>
      </w:r>
      <w:proofErr w:type="gramEnd"/>
      <w:r w:rsidRPr="00A937B9">
        <w:rPr>
          <w:i/>
          <w:iCs/>
        </w:rPr>
        <w:t xml:space="preserve">a norma del comma 4 dell’art. 11 del </w:t>
      </w:r>
      <w:proofErr w:type="spellStart"/>
      <w:r w:rsidRPr="00A937B9">
        <w:rPr>
          <w:i/>
          <w:iCs/>
        </w:rPr>
        <w:t>D.Lgs.</w:t>
      </w:r>
      <w:proofErr w:type="spellEnd"/>
      <w:r w:rsidRPr="00A937B9">
        <w:rPr>
          <w:i/>
          <w:iCs/>
        </w:rPr>
        <w:t xml:space="preserve"> n. 47/2000, è dovuto un acconto dell’imposta sostitutiva, calcolato sul 90 per cento delle rivalutazioni maturate nell’anno solare precedente, tenendo conto quindi anche delle rivalutazioni relative ai TFR erogati nel corso di detto anno. In alternativa, l'acconto può essere determinato presuntivamente, avendo riguardo al 90 per cento delle rivalutazioni che maturano nello stesso anno per il quale l'acconto è dovuto</w:t>
      </w:r>
      <w:r w:rsidRPr="00A937B9">
        <w:t>”.</w:t>
      </w:r>
    </w:p>
    <w:p w:rsidR="00202B72" w:rsidRPr="00A937B9" w:rsidRDefault="00202B72" w:rsidP="00202B72">
      <w:pPr>
        <w:pStyle w:val="CorpoAltF0"/>
      </w:pPr>
    </w:p>
    <w:p w:rsidR="00202B72" w:rsidRPr="00A937B9" w:rsidRDefault="00202B72" w:rsidP="00202B72">
      <w:pPr>
        <w:pStyle w:val="CorpoAltF0"/>
        <w:rPr>
          <w:b/>
          <w:bCs/>
        </w:rPr>
      </w:pPr>
      <w:r w:rsidRPr="00A937B9">
        <w:rPr>
          <w:b/>
          <w:bCs/>
        </w:rPr>
        <w:t>Metodo rivalutazione storica</w:t>
      </w:r>
    </w:p>
    <w:p w:rsidR="00202B72" w:rsidRPr="00A937B9" w:rsidRDefault="00202B72" w:rsidP="00202B72">
      <w:pPr>
        <w:pStyle w:val="CorpoAltF0"/>
        <w:spacing w:before="60"/>
      </w:pPr>
      <w:r w:rsidRPr="00A937B9">
        <w:t>Applicando il metodo storico l’acconto viene determinato sulla rivalutazione contabilizzata nell’anno precedente.</w:t>
      </w:r>
    </w:p>
    <w:p w:rsidR="00202B72" w:rsidRPr="00A937B9" w:rsidRDefault="00202B72" w:rsidP="00202B72">
      <w:pPr>
        <w:pStyle w:val="CorpoAltF0"/>
      </w:pPr>
    </w:p>
    <w:p w:rsidR="00202B72" w:rsidRPr="00A937B9" w:rsidRDefault="00202B72" w:rsidP="00202B72">
      <w:pPr>
        <w:pStyle w:val="CorpoAltF0"/>
        <w:rPr>
          <w:b/>
          <w:bCs/>
        </w:rPr>
      </w:pPr>
      <w:r w:rsidRPr="00A937B9">
        <w:rPr>
          <w:b/>
          <w:bCs/>
        </w:rPr>
        <w:t>Metodo rivalutazione previsionale</w:t>
      </w:r>
    </w:p>
    <w:p w:rsidR="00202B72" w:rsidRPr="00A937B9" w:rsidRDefault="00202B72" w:rsidP="00202B72">
      <w:pPr>
        <w:pStyle w:val="CorpoAltF0"/>
        <w:spacing w:before="60"/>
      </w:pPr>
      <w:r w:rsidRPr="00A937B9">
        <w:t>Applicando il metodo previsionale l’acconto viene determinato sulla rivalutazione dell’anno, calcolata, in via presuntiva, comprendendo anche la rivalutazione sulle erogazioni TFR effettuate nell’anno.</w:t>
      </w:r>
    </w:p>
    <w:p w:rsidR="00202B72" w:rsidRPr="00A937B9" w:rsidRDefault="00202B72" w:rsidP="00202B72">
      <w:pPr>
        <w:pStyle w:val="CorpoAltF0"/>
      </w:pPr>
    </w:p>
    <w:p w:rsidR="00202B72" w:rsidRPr="00A937B9" w:rsidRDefault="00202B72" w:rsidP="00202B72">
      <w:pPr>
        <w:pStyle w:val="CorpoAltF0"/>
      </w:pPr>
    </w:p>
    <w:p w:rsidR="00202B72" w:rsidRPr="00A937B9" w:rsidRDefault="00202B72" w:rsidP="00202B72">
      <w:pPr>
        <w:pStyle w:val="CorpoAltF0"/>
      </w:pPr>
      <w:r w:rsidRPr="00A937B9">
        <w:t>La circolare n. 50/E del 12/6/2002, al punto 28, stabilisce che:</w:t>
      </w:r>
    </w:p>
    <w:p w:rsidR="00202B72" w:rsidRPr="00A937B9" w:rsidRDefault="00202B72" w:rsidP="00202B72">
      <w:pPr>
        <w:pStyle w:val="CorpoAltF0"/>
        <w:spacing w:before="60"/>
        <w:rPr>
          <w:i/>
          <w:iCs/>
        </w:rPr>
      </w:pPr>
      <w:r w:rsidRPr="00A937B9">
        <w:t>“</w:t>
      </w:r>
      <w:r w:rsidRPr="00A937B9">
        <w:rPr>
          <w:i/>
          <w:iCs/>
        </w:rPr>
        <w:t>Al fine della determinazione della percentuale di rivalutazione si deve utilizzare l’incremento dell’indice ISTAT dei prezzi al consumo per le famiglie di operai e di impiegati rilevato nel mese di dicembre dell’anno precedente.</w:t>
      </w:r>
    </w:p>
    <w:p w:rsidR="00202B72" w:rsidRPr="00A937B9" w:rsidRDefault="00202B72" w:rsidP="00202B72">
      <w:pPr>
        <w:pStyle w:val="CorpoAltF0"/>
      </w:pPr>
      <w:r w:rsidRPr="00A937B9">
        <w:rPr>
          <w:i/>
          <w:iCs/>
        </w:rPr>
        <w:t>Per i dipendenti cessati in corso d’anno l’acconto è dovuto nella misura del 90 per cento dell’imposta trattenuta sulle rivalutazioni all’atto della cessazione del rapporto</w:t>
      </w:r>
      <w:r w:rsidRPr="00A937B9">
        <w:t>”.</w:t>
      </w:r>
    </w:p>
    <w:p w:rsidR="00202B72" w:rsidRPr="00A937B9" w:rsidRDefault="00202B72" w:rsidP="00202B72">
      <w:pPr>
        <w:pStyle w:val="Ignora"/>
      </w:pPr>
      <w:r w:rsidRPr="00A937B9">
        <w:br w:type="page"/>
      </w:r>
    </w:p>
    <w:p w:rsidR="00202B72" w:rsidRPr="00A937B9" w:rsidRDefault="00202B72" w:rsidP="00202B72">
      <w:pPr>
        <w:pStyle w:val="CorpoAltF0"/>
      </w:pPr>
    </w:p>
    <w:p w:rsidR="00202B72" w:rsidRPr="00A937B9" w:rsidRDefault="00202B72" w:rsidP="00202B72">
      <w:pPr>
        <w:pStyle w:val="TS-titolo-04"/>
      </w:pPr>
      <w:bookmarkStart w:id="205" w:name="_Toc309640771"/>
      <w:bookmarkStart w:id="206" w:name="_Toc341345179"/>
      <w:bookmarkStart w:id="207" w:name="_Toc341370913"/>
      <w:bookmarkStart w:id="208" w:name="_Toc372737178"/>
      <w:bookmarkStart w:id="209" w:name="_Toc372737863"/>
      <w:bookmarkStart w:id="210" w:name="_Toc404003696"/>
      <w:bookmarkStart w:id="211" w:name="_Toc435779530"/>
      <w:bookmarkStart w:id="212" w:name="_Toc435782233"/>
      <w:bookmarkStart w:id="213" w:name="_Toc467261851"/>
      <w:bookmarkStart w:id="214" w:name="_Toc467263192"/>
      <w:bookmarkStart w:id="215" w:name="_Toc499133410"/>
      <w:bookmarkStart w:id="216" w:name="_Toc499135162"/>
      <w:r w:rsidRPr="00A937B9">
        <w:t>Calcolo acconto imposta sostitutiva</w:t>
      </w:r>
      <w:bookmarkEnd w:id="205"/>
      <w:bookmarkEnd w:id="206"/>
      <w:bookmarkEnd w:id="207"/>
      <w:bookmarkEnd w:id="208"/>
      <w:bookmarkEnd w:id="209"/>
      <w:bookmarkEnd w:id="210"/>
      <w:bookmarkEnd w:id="211"/>
      <w:bookmarkEnd w:id="212"/>
      <w:bookmarkEnd w:id="213"/>
      <w:bookmarkEnd w:id="214"/>
      <w:bookmarkEnd w:id="215"/>
      <w:bookmarkEnd w:id="216"/>
    </w:p>
    <w:p w:rsidR="00202B72" w:rsidRPr="00A937B9" w:rsidRDefault="00202B72" w:rsidP="00202B72">
      <w:pPr>
        <w:pStyle w:val="CorpoAltF0"/>
        <w:spacing w:before="120"/>
      </w:pPr>
      <w:r w:rsidRPr="00A937B9">
        <w:t>La gestione dell’imposta sostitutiva sulla rivalutazione del trattamento di fine rapporto è attiva nella sezione “</w:t>
      </w:r>
      <w:r w:rsidRPr="00A937B9">
        <w:rPr>
          <w:i/>
        </w:rPr>
        <w:t>Altri dati &gt; Acconto T.F.R.</w:t>
      </w:r>
      <w:r w:rsidRPr="00A937B9">
        <w:t xml:space="preserve">” di </w:t>
      </w:r>
      <w:r w:rsidRPr="00A937B9">
        <w:rPr>
          <w:b/>
          <w:bCs/>
        </w:rPr>
        <w:t>AZIE</w:t>
      </w:r>
      <w:r w:rsidRPr="00A937B9">
        <w:t>, dove è presente un’apposita sezione con le informazioni utili al calcolo dell’acconto e del saldo.</w:t>
      </w:r>
    </w:p>
    <w:p w:rsidR="00202B72" w:rsidRPr="00A937B9" w:rsidRDefault="00202B72" w:rsidP="00202B72">
      <w:pPr>
        <w:pStyle w:val="CorpoAltF0"/>
      </w:pPr>
    </w:p>
    <w:p w:rsidR="00202B72" w:rsidRPr="00A937B9" w:rsidRDefault="00202B72" w:rsidP="00202B72">
      <w:pPr>
        <w:pStyle w:val="CorpoAltF0"/>
        <w:jc w:val="center"/>
        <w:rPr>
          <w:noProof/>
        </w:rPr>
      </w:pPr>
      <w:r w:rsidRPr="00A937B9">
        <w:rPr>
          <w:noProof/>
        </w:rPr>
        <w:drawing>
          <wp:inline distT="0" distB="0" distL="0" distR="0" wp14:anchorId="2B43F863" wp14:editId="699CC435">
            <wp:extent cx="5040000" cy="3625028"/>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40000" cy="3625028"/>
                    </a:xfrm>
                    <a:prstGeom prst="rect">
                      <a:avLst/>
                    </a:prstGeom>
                  </pic:spPr>
                </pic:pic>
              </a:graphicData>
            </a:graphic>
          </wp:inline>
        </w:drawing>
      </w:r>
    </w:p>
    <w:p w:rsidR="00202B72" w:rsidRPr="00A937B9" w:rsidRDefault="00202B72" w:rsidP="00202B72">
      <w:pPr>
        <w:pStyle w:val="CorpoAltF0"/>
      </w:pPr>
    </w:p>
    <w:p w:rsidR="00202B72" w:rsidRPr="00A937B9" w:rsidRDefault="00202B72" w:rsidP="00202B72">
      <w:pPr>
        <w:pStyle w:val="CorpoAltF0"/>
      </w:pPr>
      <w:r w:rsidRPr="00A937B9">
        <w:t>Per la determinazione dell’acconto è possibile scegliere il metodo di calcolo, come previsto dalla circolare dell’Agenzia delle Entrate n. 29/E del 20.3.2001, tramite il campo “</w:t>
      </w:r>
      <w:r w:rsidRPr="00A937B9">
        <w:rPr>
          <w:i/>
          <w:iCs/>
        </w:rPr>
        <w:t>Modalità</w:t>
      </w:r>
      <w:r w:rsidRPr="00A937B9">
        <w:t>” della suddetta sezione.</w:t>
      </w:r>
    </w:p>
    <w:p w:rsidR="00202B72" w:rsidRPr="00A937B9" w:rsidRDefault="00202B72" w:rsidP="00202B72">
      <w:pPr>
        <w:pStyle w:val="CorpoAltF0"/>
      </w:pPr>
    </w:p>
    <w:p w:rsidR="00202B72" w:rsidRPr="00A937B9" w:rsidRDefault="00202B72" w:rsidP="00202B72">
      <w:pPr>
        <w:pStyle w:val="CorpoAltF0"/>
        <w:rPr>
          <w:b/>
          <w:bCs/>
        </w:rPr>
      </w:pPr>
      <w:r w:rsidRPr="00A937B9">
        <w:rPr>
          <w:b/>
          <w:bCs/>
        </w:rPr>
        <w:t>Metodo storico</w:t>
      </w:r>
    </w:p>
    <w:p w:rsidR="00202B72" w:rsidRPr="00A937B9" w:rsidRDefault="00202B72" w:rsidP="00202B72">
      <w:pPr>
        <w:pStyle w:val="CorpoAltF0"/>
        <w:spacing w:before="60"/>
      </w:pPr>
      <w:r w:rsidRPr="00A937B9">
        <w:t>Selezionando l’opzione “</w:t>
      </w:r>
      <w:r w:rsidRPr="00A937B9">
        <w:rPr>
          <w:b/>
          <w:bCs/>
          <w:i/>
        </w:rPr>
        <w:t>RIV.STORICA</w:t>
      </w:r>
      <w:r w:rsidRPr="00A937B9">
        <w:t>” al campo “</w:t>
      </w:r>
      <w:r w:rsidRPr="00A937B9">
        <w:rPr>
          <w:i/>
          <w:iCs/>
        </w:rPr>
        <w:t>Modalità</w:t>
      </w:r>
      <w:r w:rsidRPr="00A937B9">
        <w:t>” (metodo proposto da programma), l’acconto viene determinato sull’importo presente al campo “</w:t>
      </w:r>
      <w:r w:rsidRPr="00A937B9">
        <w:rPr>
          <w:i/>
          <w:iCs/>
        </w:rPr>
        <w:t xml:space="preserve">Imposta sostitutiva calcolata </w:t>
      </w:r>
      <w:r w:rsidRPr="00A937B9">
        <w:rPr>
          <w:iCs/>
        </w:rPr>
        <w:t>(su)</w:t>
      </w:r>
      <w:r w:rsidRPr="00A937B9">
        <w:rPr>
          <w:i/>
          <w:iCs/>
        </w:rPr>
        <w:t xml:space="preserve"> Rivalutazione anno </w:t>
      </w:r>
      <w:proofErr w:type="spellStart"/>
      <w:r w:rsidRPr="00A937B9">
        <w:rPr>
          <w:i/>
          <w:iCs/>
        </w:rPr>
        <w:t>prec</w:t>
      </w:r>
      <w:proofErr w:type="spellEnd"/>
      <w:r w:rsidRPr="00A937B9">
        <w:rPr>
          <w:i/>
          <w:iCs/>
        </w:rPr>
        <w:t>.</w:t>
      </w:r>
      <w:r w:rsidRPr="00A937B9">
        <w:rPr>
          <w:iCs/>
        </w:rPr>
        <w:t>”, memorizzato</w:t>
      </w:r>
      <w:r w:rsidRPr="00A937B9">
        <w:rPr>
          <w:i/>
          <w:iCs/>
        </w:rPr>
        <w:t xml:space="preserve"> </w:t>
      </w:r>
      <w:r w:rsidRPr="00A937B9">
        <w:rPr>
          <w:iCs/>
        </w:rPr>
        <w:t xml:space="preserve">in fase di passaggio d’anno </w:t>
      </w:r>
      <w:r w:rsidRPr="00A937B9">
        <w:t xml:space="preserve">dai programmi </w:t>
      </w:r>
      <w:r w:rsidRPr="00A937B9">
        <w:rPr>
          <w:b/>
          <w:bCs/>
        </w:rPr>
        <w:t>AZZERA / RICTFR</w:t>
      </w:r>
      <w:r w:rsidRPr="00A937B9">
        <w:t>.</w:t>
      </w:r>
    </w:p>
    <w:p w:rsidR="00202B72" w:rsidRPr="00A937B9" w:rsidRDefault="00202B72" w:rsidP="00202B72">
      <w:pPr>
        <w:pStyle w:val="CorpoAltF0"/>
      </w:pPr>
    </w:p>
    <w:p w:rsidR="00202B72" w:rsidRPr="00A937B9" w:rsidRDefault="00202B72" w:rsidP="00202B72">
      <w:pPr>
        <w:pStyle w:val="CorpoAltF0"/>
        <w:rPr>
          <w:b/>
          <w:bCs/>
        </w:rPr>
      </w:pPr>
      <w:r w:rsidRPr="00A937B9">
        <w:rPr>
          <w:b/>
          <w:bCs/>
        </w:rPr>
        <w:t>Metodo previsionale</w:t>
      </w:r>
    </w:p>
    <w:p w:rsidR="00202B72" w:rsidRPr="00A937B9" w:rsidRDefault="00202B72" w:rsidP="00202B72">
      <w:pPr>
        <w:pStyle w:val="CorpoAltF0"/>
        <w:spacing w:before="60"/>
      </w:pPr>
      <w:r w:rsidRPr="00A937B9">
        <w:t>Selezionando l’opzione “</w:t>
      </w:r>
      <w:r w:rsidRPr="00A937B9">
        <w:rPr>
          <w:b/>
          <w:i/>
        </w:rPr>
        <w:t>RIV.PREVISIONALE</w:t>
      </w:r>
      <w:r w:rsidRPr="00A937B9">
        <w:t>” al campo “</w:t>
      </w:r>
      <w:r w:rsidRPr="00A937B9">
        <w:rPr>
          <w:i/>
        </w:rPr>
        <w:t>Modalità</w:t>
      </w:r>
      <w:r w:rsidRPr="00A937B9">
        <w:t>”, l’acconto viene determinato sull’importo del campo “</w:t>
      </w:r>
      <w:r w:rsidRPr="00A937B9">
        <w:rPr>
          <w:i/>
        </w:rPr>
        <w:t xml:space="preserve">Imposta sostitutiva calcolata </w:t>
      </w:r>
      <w:r w:rsidRPr="00A937B9">
        <w:t>(su)</w:t>
      </w:r>
      <w:r w:rsidRPr="00A937B9">
        <w:rPr>
          <w:i/>
        </w:rPr>
        <w:t xml:space="preserve"> </w:t>
      </w:r>
      <w:proofErr w:type="spellStart"/>
      <w:r w:rsidRPr="00A937B9">
        <w:rPr>
          <w:i/>
        </w:rPr>
        <w:t>Rivalut</w:t>
      </w:r>
      <w:proofErr w:type="spellEnd"/>
      <w:r w:rsidRPr="00A937B9">
        <w:rPr>
          <w:i/>
        </w:rPr>
        <w:t>. previsionale</w:t>
      </w:r>
      <w:r w:rsidRPr="00A937B9">
        <w:t>”.</w:t>
      </w:r>
    </w:p>
    <w:p w:rsidR="00202B72" w:rsidRPr="00A937B9" w:rsidRDefault="00202B72" w:rsidP="00202B72">
      <w:pPr>
        <w:pStyle w:val="CorpoAltF0"/>
        <w:spacing w:before="60"/>
      </w:pPr>
      <w:r w:rsidRPr="00A937B9">
        <w:t xml:space="preserve">Al fine di valorizzare automaticamente tale campo è necessario eseguire il programma </w:t>
      </w:r>
      <w:r w:rsidRPr="00A937B9">
        <w:rPr>
          <w:b/>
        </w:rPr>
        <w:t>CALRIVP</w:t>
      </w:r>
      <w:r w:rsidRPr="00A937B9">
        <w:t>.</w:t>
      </w:r>
    </w:p>
    <w:p w:rsidR="00202B72" w:rsidRPr="00A937B9" w:rsidRDefault="00202B72" w:rsidP="00202B72">
      <w:pPr>
        <w:pStyle w:val="Ignora"/>
      </w:pPr>
      <w:r w:rsidRPr="00A937B9">
        <w:br w:type="page"/>
      </w:r>
    </w:p>
    <w:p w:rsidR="00202B72" w:rsidRPr="00A937B9" w:rsidRDefault="00202B72" w:rsidP="00202B72">
      <w:pPr>
        <w:pStyle w:val="CorpoAltF0"/>
      </w:pPr>
    </w:p>
    <w:p w:rsidR="00202B72" w:rsidRPr="00A937B9" w:rsidRDefault="00202B72" w:rsidP="00202B72">
      <w:pPr>
        <w:pStyle w:val="TS-titolo-04"/>
      </w:pPr>
      <w:bookmarkStart w:id="217" w:name="_Toc88043279"/>
      <w:bookmarkStart w:id="218" w:name="_Toc120442071"/>
      <w:bookmarkStart w:id="219" w:name="_Toc182393635"/>
      <w:bookmarkStart w:id="220" w:name="_Toc205378038"/>
      <w:bookmarkStart w:id="221" w:name="_Toc214343528"/>
      <w:bookmarkStart w:id="222" w:name="_Toc247441209"/>
      <w:bookmarkStart w:id="223" w:name="_Toc309640772"/>
      <w:bookmarkStart w:id="224" w:name="_Toc341345180"/>
      <w:bookmarkStart w:id="225" w:name="_Toc341370914"/>
      <w:bookmarkStart w:id="226" w:name="_Toc372737179"/>
      <w:bookmarkStart w:id="227" w:name="_Toc372737864"/>
      <w:bookmarkStart w:id="228" w:name="_Toc404003697"/>
      <w:bookmarkStart w:id="229" w:name="_Toc435779531"/>
      <w:bookmarkStart w:id="230" w:name="_Toc435782234"/>
      <w:bookmarkStart w:id="231" w:name="_Toc467261852"/>
      <w:bookmarkStart w:id="232" w:name="_Toc467263193"/>
      <w:bookmarkStart w:id="233" w:name="_Toc499133411"/>
      <w:bookmarkStart w:id="234" w:name="_Toc499135163"/>
      <w:r w:rsidRPr="00A937B9">
        <w:t>CALRIVP</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202B72" w:rsidRPr="00A937B9" w:rsidRDefault="00202B72" w:rsidP="00202B72">
      <w:pPr>
        <w:pStyle w:val="CorpoAltF0"/>
        <w:spacing w:before="120"/>
      </w:pPr>
      <w:r w:rsidRPr="00A937B9">
        <w:t xml:space="preserve">Il programma </w:t>
      </w:r>
      <w:r w:rsidRPr="00A937B9">
        <w:rPr>
          <w:b/>
          <w:bCs/>
        </w:rPr>
        <w:t>CALRIVP</w:t>
      </w:r>
      <w:r w:rsidRPr="00A937B9">
        <w:t xml:space="preserve"> determina la rivalutazione previsionale e la relativa imposta, applicando sul fondo TFR dei dipendenti in forza (sezione “</w:t>
      </w:r>
      <w:r w:rsidRPr="00A937B9">
        <w:rPr>
          <w:i/>
        </w:rPr>
        <w:t>Progressivi &gt; T.F.R.</w:t>
      </w:r>
      <w:r w:rsidRPr="00A937B9">
        <w:t xml:space="preserve">” di </w:t>
      </w:r>
      <w:r w:rsidRPr="00A937B9">
        <w:rPr>
          <w:b/>
          <w:bCs/>
        </w:rPr>
        <w:t>DIPE</w:t>
      </w:r>
      <w:r w:rsidRPr="00A937B9">
        <w:t>) il coefficiente di rivalutazione ottenuto dalla differenza tra dicembre 2015 (99,9066) e dicembre 2016 (100,30). Per i dipendenti cessati, la rivalutazione viene acquisita dalla sezione “</w:t>
      </w:r>
      <w:r w:rsidRPr="00A937B9">
        <w:rPr>
          <w:i/>
        </w:rPr>
        <w:t>Progressivi &gt; T.F.R.</w:t>
      </w:r>
      <w:r w:rsidRPr="00A937B9">
        <w:t xml:space="preserve">” di </w:t>
      </w:r>
      <w:r w:rsidRPr="00A937B9">
        <w:rPr>
          <w:b/>
          <w:bCs/>
        </w:rPr>
        <w:t>DIPE</w:t>
      </w:r>
      <w:r w:rsidRPr="00A937B9">
        <w:t>.</w:t>
      </w:r>
    </w:p>
    <w:p w:rsidR="00202B72" w:rsidRPr="00A937B9" w:rsidRDefault="00202B72" w:rsidP="00202B72">
      <w:pPr>
        <w:pStyle w:val="CorpoAltF0"/>
      </w:pPr>
    </w:p>
    <w:p w:rsidR="00202B72" w:rsidRPr="00A937B9" w:rsidRDefault="00202B72" w:rsidP="00202B72">
      <w:pPr>
        <w:pStyle w:val="CorpoAltF0"/>
      </w:pPr>
      <w:r w:rsidRPr="00A937B9">
        <w:t xml:space="preserve">Eseguendo il programma </w:t>
      </w:r>
      <w:r w:rsidRPr="00A937B9">
        <w:rPr>
          <w:b/>
          <w:bCs/>
        </w:rPr>
        <w:t>CALRIVP</w:t>
      </w:r>
      <w:r w:rsidRPr="00A937B9">
        <w:t xml:space="preserve"> viene visualizzata la seguente schermata nella quale vengono proposti, con possibilità di variazione, gli indici ISTAT dei mesi di dicembre degli anni di riferimento rilevati dalla tabella “</w:t>
      </w:r>
      <w:r w:rsidRPr="00A937B9">
        <w:rPr>
          <w:i/>
        </w:rPr>
        <w:t>Indici ISTAT</w:t>
      </w:r>
      <w:r w:rsidRPr="00A937B9">
        <w:t>” (</w:t>
      </w:r>
      <w:r w:rsidRPr="00A937B9">
        <w:rPr>
          <w:b/>
          <w:bCs/>
        </w:rPr>
        <w:t>TB0003</w:t>
      </w:r>
      <w:r w:rsidRPr="00A937B9">
        <w:rPr>
          <w:bCs/>
        </w:rPr>
        <w:t>)</w:t>
      </w:r>
      <w:r w:rsidRPr="00A937B9">
        <w:t>.</w:t>
      </w:r>
    </w:p>
    <w:p w:rsidR="00202B72" w:rsidRPr="00A937B9" w:rsidRDefault="00202B72" w:rsidP="00202B72">
      <w:pPr>
        <w:pStyle w:val="CorpoAltF0"/>
        <w:spacing w:before="120"/>
        <w:rPr>
          <w:b/>
          <w:bCs/>
        </w:rPr>
      </w:pPr>
      <w:r w:rsidRPr="00A937B9">
        <w:rPr>
          <w:b/>
          <w:bCs/>
        </w:rPr>
        <w:t>L’utente dovrà verificarne la correttezza e, in presenza di valori errati, provvedere all’inserimento degli indici corretti.</w:t>
      </w:r>
    </w:p>
    <w:p w:rsidR="00202B72" w:rsidRPr="00A937B9" w:rsidRDefault="00202B72" w:rsidP="00202B72">
      <w:pPr>
        <w:pStyle w:val="CorpoAltF0"/>
      </w:pPr>
    </w:p>
    <w:p w:rsidR="00202B72" w:rsidRPr="00A937B9" w:rsidRDefault="00202B72" w:rsidP="00202B72">
      <w:pPr>
        <w:pStyle w:val="CorpoAltF0"/>
        <w:jc w:val="center"/>
      </w:pPr>
      <w:r w:rsidRPr="00A937B9">
        <w:rPr>
          <w:noProof/>
        </w:rPr>
        <w:drawing>
          <wp:inline distT="0" distB="0" distL="0" distR="0" wp14:anchorId="3E2001B7" wp14:editId="6CEEA8DD">
            <wp:extent cx="5040000" cy="1180517"/>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40000" cy="1180517"/>
                    </a:xfrm>
                    <a:prstGeom prst="rect">
                      <a:avLst/>
                    </a:prstGeom>
                  </pic:spPr>
                </pic:pic>
              </a:graphicData>
            </a:graphic>
          </wp:inline>
        </w:drawing>
      </w:r>
    </w:p>
    <w:p w:rsidR="00202B72" w:rsidRPr="00A937B9" w:rsidRDefault="00202B72" w:rsidP="00202B72">
      <w:pPr>
        <w:pStyle w:val="CorpoAltF0"/>
      </w:pPr>
    </w:p>
    <w:p w:rsidR="00202B72" w:rsidRPr="00A937B9" w:rsidRDefault="00202B72" w:rsidP="00202B72">
      <w:pPr>
        <w:pStyle w:val="CorpoAltF0"/>
      </w:pPr>
      <w:r w:rsidRPr="00A937B9">
        <w:t>Confermando gli indici ISTAT, viene proposto il seguente menù con le diverse opzioni disponibili:</w:t>
      </w:r>
    </w:p>
    <w:p w:rsidR="00202B72" w:rsidRPr="00A937B9" w:rsidRDefault="00202B72" w:rsidP="00202B72">
      <w:pPr>
        <w:pStyle w:val="CorpoAltF0"/>
      </w:pPr>
    </w:p>
    <w:p w:rsidR="00202B72" w:rsidRPr="00A937B9" w:rsidRDefault="00202B72" w:rsidP="00202B72">
      <w:pPr>
        <w:pStyle w:val="CorpoAltF0"/>
        <w:jc w:val="center"/>
      </w:pPr>
      <w:r w:rsidRPr="00A937B9">
        <w:rPr>
          <w:noProof/>
        </w:rPr>
        <w:drawing>
          <wp:inline distT="0" distB="0" distL="0" distR="0" wp14:anchorId="1AD108E5" wp14:editId="604EEE2A">
            <wp:extent cx="5040000" cy="3615753"/>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0000" cy="3615753"/>
                    </a:xfrm>
                    <a:prstGeom prst="rect">
                      <a:avLst/>
                    </a:prstGeom>
                  </pic:spPr>
                </pic:pic>
              </a:graphicData>
            </a:graphic>
          </wp:inline>
        </w:drawing>
      </w:r>
    </w:p>
    <w:p w:rsidR="00202B72" w:rsidRPr="00A937B9" w:rsidRDefault="00202B72" w:rsidP="00202B72">
      <w:pPr>
        <w:pStyle w:val="CorpoAltF0"/>
      </w:pPr>
    </w:p>
    <w:p w:rsidR="00202B72" w:rsidRPr="00A937B9" w:rsidRDefault="00202B72" w:rsidP="00202B72">
      <w:pPr>
        <w:pStyle w:val="CorpoAltF0"/>
      </w:pPr>
      <w:r w:rsidRPr="00A937B9">
        <w:t>Con la scelta “</w:t>
      </w:r>
      <w:r w:rsidRPr="00A937B9">
        <w:rPr>
          <w:i/>
        </w:rPr>
        <w:t xml:space="preserve">Calcolo previsione </w:t>
      </w:r>
      <w:proofErr w:type="spellStart"/>
      <w:r w:rsidRPr="00A937B9">
        <w:rPr>
          <w:i/>
        </w:rPr>
        <w:t>riv</w:t>
      </w:r>
      <w:proofErr w:type="spellEnd"/>
      <w:r w:rsidRPr="00A937B9">
        <w:rPr>
          <w:i/>
        </w:rPr>
        <w:t>. fondo TFR</w:t>
      </w:r>
      <w:r w:rsidRPr="00A937B9">
        <w:t>”, il programma calcola l’imposta applicando il metodo previsionale, utilizzando gli indici ISTAT indicati nella schermata precedente, e aggiorna l’importo al campo “</w:t>
      </w:r>
      <w:r w:rsidRPr="00A937B9">
        <w:rPr>
          <w:i/>
          <w:iCs/>
        </w:rPr>
        <w:t xml:space="preserve">Imposta sostitutiva calcolata </w:t>
      </w:r>
      <w:r w:rsidRPr="00A937B9">
        <w:rPr>
          <w:iCs/>
        </w:rPr>
        <w:t>(su)</w:t>
      </w:r>
      <w:r w:rsidRPr="00A937B9">
        <w:rPr>
          <w:i/>
          <w:iCs/>
        </w:rPr>
        <w:t xml:space="preserve"> </w:t>
      </w:r>
      <w:proofErr w:type="spellStart"/>
      <w:r w:rsidRPr="00A937B9">
        <w:rPr>
          <w:i/>
          <w:iCs/>
        </w:rPr>
        <w:t>Rivalut</w:t>
      </w:r>
      <w:proofErr w:type="spellEnd"/>
      <w:r w:rsidRPr="00A937B9">
        <w:rPr>
          <w:i/>
          <w:iCs/>
        </w:rPr>
        <w:t>. previsionale</w:t>
      </w:r>
      <w:r w:rsidRPr="00A937B9">
        <w:t>” della sezione “</w:t>
      </w:r>
      <w:r w:rsidRPr="00A937B9">
        <w:rPr>
          <w:i/>
        </w:rPr>
        <w:t>Altri dati &gt; Acconto T.F.R.</w:t>
      </w:r>
      <w:r w:rsidRPr="00A937B9">
        <w:t xml:space="preserve">” di </w:t>
      </w:r>
      <w:r w:rsidRPr="00A937B9">
        <w:rPr>
          <w:b/>
          <w:bCs/>
        </w:rPr>
        <w:t>AZIE</w:t>
      </w:r>
      <w:r w:rsidRPr="00A937B9">
        <w:t>.</w:t>
      </w:r>
    </w:p>
    <w:p w:rsidR="00202B72" w:rsidRPr="00A937B9" w:rsidRDefault="00202B72" w:rsidP="00202B72">
      <w:pPr>
        <w:pStyle w:val="Ignora"/>
      </w:pPr>
      <w:r w:rsidRPr="00A937B9">
        <w:br w:type="page"/>
      </w:r>
    </w:p>
    <w:p w:rsidR="00202B72" w:rsidRPr="00A937B9" w:rsidRDefault="00202B72" w:rsidP="00202B72">
      <w:pPr>
        <w:pStyle w:val="CorpoAltF0"/>
      </w:pPr>
    </w:p>
    <w:p w:rsidR="00202B72" w:rsidRPr="00A937B9" w:rsidRDefault="00202B72" w:rsidP="00202B72">
      <w:pPr>
        <w:pStyle w:val="CorpoAltF0"/>
      </w:pPr>
      <w:r w:rsidRPr="00A937B9">
        <w:t>Con la scelta “</w:t>
      </w:r>
      <w:r w:rsidRPr="00A937B9">
        <w:rPr>
          <w:i/>
        </w:rPr>
        <w:t xml:space="preserve">Calcolo e stampa </w:t>
      </w:r>
      <w:proofErr w:type="spellStart"/>
      <w:r w:rsidRPr="00A937B9">
        <w:rPr>
          <w:i/>
        </w:rPr>
        <w:t>prev</w:t>
      </w:r>
      <w:proofErr w:type="spellEnd"/>
      <w:r w:rsidRPr="00A937B9">
        <w:rPr>
          <w:i/>
        </w:rPr>
        <w:t xml:space="preserve">. </w:t>
      </w:r>
      <w:proofErr w:type="spellStart"/>
      <w:r w:rsidRPr="00A937B9">
        <w:rPr>
          <w:i/>
        </w:rPr>
        <w:t>riv</w:t>
      </w:r>
      <w:proofErr w:type="spellEnd"/>
      <w:r w:rsidRPr="00A937B9">
        <w:rPr>
          <w:i/>
        </w:rPr>
        <w:t>. fondo</w:t>
      </w:r>
      <w:r w:rsidRPr="00A937B9">
        <w:t>” è possibile effettuare una stampa del dettaglio, per singolo dipendente, del calcolo effettuato dal programma per determinare l’imposta sostituiva su base previsionale.</w:t>
      </w:r>
    </w:p>
    <w:p w:rsidR="00202B72" w:rsidRPr="00A937B9" w:rsidRDefault="00202B72" w:rsidP="00202B72">
      <w:pPr>
        <w:pStyle w:val="CorpoAltF0"/>
      </w:pPr>
    </w:p>
    <w:p w:rsidR="00202B72" w:rsidRPr="00A937B9" w:rsidRDefault="00202B72" w:rsidP="00202B72">
      <w:pPr>
        <w:pStyle w:val="CorpoAltF0"/>
        <w:jc w:val="center"/>
        <w:rPr>
          <w:noProof/>
        </w:rPr>
      </w:pPr>
      <w:r w:rsidRPr="00A937B9">
        <w:rPr>
          <w:noProof/>
        </w:rPr>
        <w:drawing>
          <wp:inline distT="0" distB="0" distL="0" distR="0" wp14:anchorId="4F13AB35" wp14:editId="409BE3F3">
            <wp:extent cx="6120000" cy="2553494"/>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000" cy="2553494"/>
                    </a:xfrm>
                    <a:prstGeom prst="rect">
                      <a:avLst/>
                    </a:prstGeom>
                  </pic:spPr>
                </pic:pic>
              </a:graphicData>
            </a:graphic>
          </wp:inline>
        </w:drawing>
      </w:r>
    </w:p>
    <w:p w:rsidR="00202B72" w:rsidRPr="00A937B9" w:rsidRDefault="00202B72" w:rsidP="00202B72">
      <w:pPr>
        <w:pStyle w:val="CorpoAltF0"/>
      </w:pPr>
    </w:p>
    <w:p w:rsidR="00202B72" w:rsidRPr="00A937B9" w:rsidRDefault="00202B72" w:rsidP="00202B72">
      <w:pPr>
        <w:pStyle w:val="CorpoAltF0"/>
      </w:pPr>
      <w:r w:rsidRPr="00A937B9">
        <w:t>Nella colonna “</w:t>
      </w:r>
      <w:r w:rsidRPr="00A937B9">
        <w:rPr>
          <w:i/>
          <w:iCs/>
        </w:rPr>
        <w:t>Tipo</w:t>
      </w:r>
      <w:r w:rsidRPr="00A937B9">
        <w:t>” vengono evidenziati i seguenti codici:</w:t>
      </w:r>
    </w:p>
    <w:p w:rsidR="00202B72" w:rsidRPr="00A937B9" w:rsidRDefault="00202B72" w:rsidP="00202B72">
      <w:pPr>
        <w:pStyle w:val="CorpoAltF0"/>
        <w:spacing w:before="60"/>
      </w:pPr>
      <w:r w:rsidRPr="00A937B9">
        <w:rPr>
          <w:b/>
          <w:bCs/>
        </w:rPr>
        <w:t>P</w:t>
      </w:r>
      <w:r w:rsidRPr="00A937B9">
        <w:rPr>
          <w:bCs/>
        </w:rPr>
        <w:t xml:space="preserve">   =   </w:t>
      </w:r>
      <w:r w:rsidRPr="00A937B9">
        <w:t>rivalutazione previsionale calcolata per i dipendenti in forza;</w:t>
      </w:r>
    </w:p>
    <w:p w:rsidR="00202B72" w:rsidRPr="00A937B9" w:rsidRDefault="00202B72" w:rsidP="00202B72">
      <w:pPr>
        <w:pStyle w:val="CorpoAltF0"/>
        <w:spacing w:before="60"/>
      </w:pPr>
      <w:r w:rsidRPr="00A937B9">
        <w:rPr>
          <w:b/>
          <w:bCs/>
        </w:rPr>
        <w:t>E</w:t>
      </w:r>
      <w:r w:rsidRPr="00A937B9">
        <w:rPr>
          <w:bCs/>
        </w:rPr>
        <w:t xml:space="preserve">   =</w:t>
      </w:r>
      <w:r w:rsidRPr="00A937B9">
        <w:t xml:space="preserve">   rivalutazione effettiva acquisita dalla sezione “</w:t>
      </w:r>
      <w:r w:rsidRPr="00A937B9">
        <w:rPr>
          <w:i/>
        </w:rPr>
        <w:t>Progressivi &gt; T.F.R.</w:t>
      </w:r>
      <w:r w:rsidRPr="00A937B9">
        <w:t xml:space="preserve">” di </w:t>
      </w:r>
      <w:r w:rsidRPr="00A937B9">
        <w:rPr>
          <w:b/>
          <w:bCs/>
        </w:rPr>
        <w:t>DIPE</w:t>
      </w:r>
      <w:r w:rsidRPr="00A937B9">
        <w:rPr>
          <w:bCs/>
        </w:rPr>
        <w:t xml:space="preserve"> </w:t>
      </w:r>
      <w:r w:rsidRPr="00A937B9">
        <w:t>per i dipendenti cessati.</w:t>
      </w:r>
    </w:p>
    <w:p w:rsidR="00202B72" w:rsidRPr="00A937B9" w:rsidRDefault="00202B72" w:rsidP="00202B72">
      <w:pPr>
        <w:pStyle w:val="CorpoAltF0"/>
      </w:pPr>
    </w:p>
    <w:p w:rsidR="00202B72" w:rsidRPr="00A937B9" w:rsidRDefault="00202B72" w:rsidP="00202B72">
      <w:pPr>
        <w:pStyle w:val="TS-titolo-05"/>
      </w:pPr>
      <w:bookmarkStart w:id="235" w:name="_Toc88043280"/>
      <w:bookmarkStart w:id="236" w:name="_Toc120442072"/>
      <w:bookmarkStart w:id="237" w:name="_Toc182393636"/>
      <w:bookmarkStart w:id="238" w:name="_Toc205378039"/>
      <w:bookmarkStart w:id="239" w:name="_Toc214343529"/>
      <w:bookmarkStart w:id="240" w:name="_Toc247441210"/>
      <w:bookmarkStart w:id="241" w:name="_Toc309640773"/>
      <w:bookmarkStart w:id="242" w:name="_Toc341345181"/>
      <w:bookmarkStart w:id="243" w:name="_Toc341370915"/>
      <w:bookmarkStart w:id="244" w:name="_Toc372737180"/>
      <w:bookmarkStart w:id="245" w:name="_Toc372737865"/>
      <w:bookmarkStart w:id="246" w:name="_Toc404003698"/>
      <w:bookmarkStart w:id="247" w:name="_Toc435779532"/>
      <w:bookmarkStart w:id="248" w:name="_Toc435782235"/>
      <w:bookmarkStart w:id="249" w:name="_Toc467261853"/>
      <w:bookmarkStart w:id="250" w:name="_Toc467263194"/>
      <w:bookmarkStart w:id="251" w:name="_Toc499133412"/>
      <w:bookmarkStart w:id="252" w:name="_Toc499135164"/>
      <w:r w:rsidRPr="00A937B9">
        <w:t>Casi particolari</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rsidR="00202B72" w:rsidRPr="00A937B9" w:rsidRDefault="00202B72" w:rsidP="00202B72">
      <w:pPr>
        <w:pStyle w:val="CorpoAltF0"/>
        <w:spacing w:before="120"/>
      </w:pPr>
      <w:r w:rsidRPr="00A937B9">
        <w:t>Per i dipendenti licenziati dal mese di novembre (con “</w:t>
      </w:r>
      <w:r w:rsidRPr="00A937B9">
        <w:rPr>
          <w:i/>
        </w:rPr>
        <w:t>Data di licenziamento</w:t>
      </w:r>
      <w:r w:rsidRPr="00A937B9">
        <w:t>” nella scheda “</w:t>
      </w:r>
      <w:r w:rsidRPr="00A937B9">
        <w:rPr>
          <w:i/>
        </w:rPr>
        <w:t>Dati generali</w:t>
      </w:r>
      <w:r w:rsidRPr="00A937B9">
        <w:t xml:space="preserve">” di </w:t>
      </w:r>
      <w:r w:rsidRPr="00A937B9">
        <w:rPr>
          <w:b/>
        </w:rPr>
        <w:t>DIPE</w:t>
      </w:r>
      <w:r w:rsidRPr="00A937B9">
        <w:t>, ma senza “</w:t>
      </w:r>
      <w:r w:rsidRPr="00A937B9">
        <w:rPr>
          <w:i/>
        </w:rPr>
        <w:t>Stato dipendente</w:t>
      </w:r>
      <w:r w:rsidRPr="00A937B9">
        <w:t>” pari a 9 per aggiornamento non effettuato) la rivalutazione viene calcolata come per i dipendenti in forza.</w:t>
      </w:r>
    </w:p>
    <w:p w:rsidR="00202B72" w:rsidRPr="00A937B9" w:rsidRDefault="00202B72" w:rsidP="00202B72">
      <w:pPr>
        <w:pStyle w:val="CorpoAltF0"/>
        <w:spacing w:before="120"/>
      </w:pPr>
      <w:r w:rsidRPr="00A937B9">
        <w:t>Vengono esclusi dal calcolo dell’acconto su base previsionale (</w:t>
      </w:r>
      <w:r w:rsidRPr="00A937B9">
        <w:rPr>
          <w:b/>
        </w:rPr>
        <w:t>CALRIVP</w:t>
      </w:r>
      <w:r w:rsidRPr="00A937B9">
        <w:t>) i dipendenti con “</w:t>
      </w:r>
      <w:r w:rsidRPr="00A937B9">
        <w:rPr>
          <w:i/>
        </w:rPr>
        <w:t>Stato dipendente</w:t>
      </w:r>
      <w:r w:rsidRPr="00A937B9">
        <w:t xml:space="preserve">” pari a </w:t>
      </w:r>
      <w:r w:rsidRPr="00A937B9">
        <w:rPr>
          <w:b/>
        </w:rPr>
        <w:t>9</w:t>
      </w:r>
      <w:r w:rsidRPr="00A937B9">
        <w:t xml:space="preserve"> per i quali non è stato compilato il campo “</w:t>
      </w:r>
      <w:r w:rsidRPr="00A937B9">
        <w:rPr>
          <w:i/>
        </w:rPr>
        <w:t>Data di licenziamento</w:t>
      </w:r>
      <w:r w:rsidRPr="00A937B9">
        <w:t>” (es. dipendenti interessati da passaggio diretto).</w:t>
      </w:r>
    </w:p>
    <w:p w:rsidR="00202B72" w:rsidRPr="00A937B9" w:rsidRDefault="00202B72" w:rsidP="00202B72">
      <w:pPr>
        <w:pStyle w:val="CorpoAltF0"/>
        <w:spacing w:before="120"/>
      </w:pPr>
      <w:r w:rsidRPr="00A937B9">
        <w:t>Si ricorda che per le aziende cessate che devono versare l’acconto dell’imposta sostitutiva, non eseguendo le quadrature del mese di novembre, si dovranno inserire i dati direttamente nella gestione tributi della procedura F24.</w:t>
      </w:r>
    </w:p>
    <w:p w:rsidR="00202B72" w:rsidRPr="00A937B9" w:rsidRDefault="00202B72" w:rsidP="00202B72">
      <w:pPr>
        <w:pStyle w:val="CorpoAltF0"/>
      </w:pPr>
    </w:p>
    <w:p w:rsidR="00202B72" w:rsidRPr="00A937B9" w:rsidRDefault="00202B72" w:rsidP="00202B72">
      <w:pPr>
        <w:pStyle w:val="CorpoAltF0"/>
      </w:pPr>
    </w:p>
    <w:p w:rsidR="00202B72" w:rsidRPr="00A937B9" w:rsidRDefault="00202B72" w:rsidP="00202B72">
      <w:pPr>
        <w:pStyle w:val="TS-titolo-04"/>
      </w:pPr>
      <w:bookmarkStart w:id="253" w:name="_Toc88043281"/>
      <w:bookmarkStart w:id="254" w:name="_Toc120442073"/>
      <w:bookmarkStart w:id="255" w:name="_Toc182393637"/>
      <w:bookmarkStart w:id="256" w:name="_Toc205378040"/>
      <w:bookmarkStart w:id="257" w:name="_Toc214343530"/>
      <w:bookmarkStart w:id="258" w:name="_Toc247441211"/>
      <w:bookmarkStart w:id="259" w:name="_Toc309640774"/>
      <w:bookmarkStart w:id="260" w:name="_Toc341345182"/>
      <w:bookmarkStart w:id="261" w:name="_Toc341370916"/>
      <w:bookmarkStart w:id="262" w:name="_Toc372737181"/>
      <w:bookmarkStart w:id="263" w:name="_Toc372737866"/>
      <w:bookmarkStart w:id="264" w:name="_Toc404003699"/>
      <w:bookmarkStart w:id="265" w:name="_Toc435779533"/>
      <w:bookmarkStart w:id="266" w:name="_Toc435782236"/>
      <w:bookmarkStart w:id="267" w:name="_Toc467261854"/>
      <w:bookmarkStart w:id="268" w:name="_Toc467263195"/>
      <w:bookmarkStart w:id="269" w:name="_Toc499133413"/>
      <w:bookmarkStart w:id="270" w:name="_Toc499135165"/>
      <w:r w:rsidRPr="00A937B9">
        <w:t>Scelta del metodo di calcolo da utilizzare</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rsidR="00202B72" w:rsidRPr="00A937B9" w:rsidRDefault="00202B72" w:rsidP="00202B72">
      <w:pPr>
        <w:pStyle w:val="CorpoAltF0"/>
        <w:spacing w:before="120"/>
      </w:pPr>
      <w:r w:rsidRPr="00A937B9">
        <w:t xml:space="preserve">Il metodo di calcolo proposto di </w:t>
      </w:r>
      <w:r w:rsidRPr="00A937B9">
        <w:rPr>
          <w:i/>
        </w:rPr>
        <w:t>default</w:t>
      </w:r>
      <w:r w:rsidRPr="00A937B9">
        <w:t xml:space="preserve"> nella sezione “</w:t>
      </w:r>
      <w:r w:rsidRPr="00A937B9">
        <w:rPr>
          <w:i/>
        </w:rPr>
        <w:t>Altri dati &gt; Acconto T.F.R.</w:t>
      </w:r>
      <w:r w:rsidRPr="00A937B9">
        <w:t xml:space="preserve">” di </w:t>
      </w:r>
      <w:r w:rsidRPr="00A937B9">
        <w:rPr>
          <w:b/>
          <w:bCs/>
        </w:rPr>
        <w:t>AZIE</w:t>
      </w:r>
      <w:r w:rsidRPr="00A937B9">
        <w:t xml:space="preserve"> è quello storico.</w:t>
      </w:r>
    </w:p>
    <w:p w:rsidR="00202B72" w:rsidRPr="00A937B9" w:rsidRDefault="00202B72" w:rsidP="00202B72">
      <w:pPr>
        <w:pStyle w:val="CorpoAltF0"/>
        <w:spacing w:before="60"/>
      </w:pPr>
      <w:r w:rsidRPr="00A937B9">
        <w:t xml:space="preserve">Una volta eseguito il calcolo con metodo previsionale (mediante il programma </w:t>
      </w:r>
      <w:r w:rsidRPr="00A937B9">
        <w:rPr>
          <w:b/>
          <w:bCs/>
        </w:rPr>
        <w:t>CALRIVP</w:t>
      </w:r>
      <w:r w:rsidRPr="00A937B9">
        <w:t xml:space="preserve">), è possibile confrontare il dato con quello storico e verificare quali aziende non hanno convenienza ad utilizzare il metodo scelto in </w:t>
      </w:r>
      <w:r w:rsidRPr="00A937B9">
        <w:rPr>
          <w:b/>
          <w:bCs/>
        </w:rPr>
        <w:t>AZIE</w:t>
      </w:r>
      <w:r w:rsidRPr="00A937B9">
        <w:t>.</w:t>
      </w:r>
    </w:p>
    <w:p w:rsidR="00202B72" w:rsidRPr="00A937B9" w:rsidRDefault="00202B72" w:rsidP="00202B72">
      <w:pPr>
        <w:pStyle w:val="CorpoAltF0"/>
        <w:spacing w:before="60"/>
      </w:pPr>
      <w:r w:rsidRPr="00A937B9">
        <w:t>Il confronto degli importi di acconto determinati con i due metodi di calcolo può essere effettuato mediante la scelta “</w:t>
      </w:r>
      <w:r w:rsidRPr="00A937B9">
        <w:rPr>
          <w:i/>
        </w:rPr>
        <w:t>Elenco acconto imposta sostitutiva</w:t>
      </w:r>
      <w:r w:rsidRPr="00A937B9">
        <w:t xml:space="preserve">” del comando </w:t>
      </w:r>
      <w:r w:rsidRPr="00A937B9">
        <w:rPr>
          <w:b/>
          <w:bCs/>
        </w:rPr>
        <w:t>STIMPSOS</w:t>
      </w:r>
      <w:r w:rsidRPr="00A937B9">
        <w:t>.</w:t>
      </w:r>
    </w:p>
    <w:p w:rsidR="00202B72" w:rsidRPr="00A937B9" w:rsidRDefault="00202B72" w:rsidP="00202B72">
      <w:pPr>
        <w:pStyle w:val="CorpoAltF0"/>
      </w:pPr>
    </w:p>
    <w:p w:rsidR="00202B72" w:rsidRPr="00A937B9" w:rsidRDefault="00202B72" w:rsidP="00202B72">
      <w:pPr>
        <w:pStyle w:val="CorpoAltF0"/>
        <w:jc w:val="center"/>
      </w:pPr>
      <w:r w:rsidRPr="00A937B9">
        <w:rPr>
          <w:noProof/>
        </w:rPr>
        <w:drawing>
          <wp:inline distT="0" distB="0" distL="0" distR="0" wp14:anchorId="3784B6FF" wp14:editId="796D26AE">
            <wp:extent cx="6120000" cy="571267"/>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000" cy="571267"/>
                    </a:xfrm>
                    <a:prstGeom prst="rect">
                      <a:avLst/>
                    </a:prstGeom>
                  </pic:spPr>
                </pic:pic>
              </a:graphicData>
            </a:graphic>
          </wp:inline>
        </w:drawing>
      </w:r>
    </w:p>
    <w:p w:rsidR="00202B72" w:rsidRPr="00A937B9" w:rsidRDefault="00202B72" w:rsidP="00202B72">
      <w:pPr>
        <w:pStyle w:val="CorpoAltF0"/>
      </w:pPr>
    </w:p>
    <w:p w:rsidR="00202B72" w:rsidRPr="00A937B9" w:rsidRDefault="00202B72" w:rsidP="00202B72">
      <w:pPr>
        <w:pStyle w:val="CorpoAltF0"/>
      </w:pPr>
      <w:r w:rsidRPr="00A937B9">
        <w:t xml:space="preserve">In stampa possono essere riportate tutte le aziende oppure le sole aziende che non hanno convenienza ad utilizzare l’attuale metodo di calcolo impostato in </w:t>
      </w:r>
      <w:r w:rsidRPr="00A937B9">
        <w:rPr>
          <w:b/>
          <w:bCs/>
        </w:rPr>
        <w:t>AZIE</w:t>
      </w:r>
      <w:r w:rsidRPr="00A937B9">
        <w:t>.</w:t>
      </w:r>
    </w:p>
    <w:p w:rsidR="00202B72" w:rsidRPr="00A937B9" w:rsidRDefault="00202B72" w:rsidP="00202B72">
      <w:pPr>
        <w:pStyle w:val="Ignora"/>
      </w:pPr>
      <w:r w:rsidRPr="00A937B9">
        <w:br w:type="page"/>
      </w:r>
    </w:p>
    <w:p w:rsidR="00202B72" w:rsidRPr="00A937B9" w:rsidRDefault="00202B72" w:rsidP="00202B72">
      <w:pPr>
        <w:pStyle w:val="CorpoAltF0"/>
      </w:pPr>
    </w:p>
    <w:p w:rsidR="00202B72" w:rsidRPr="00A937B9" w:rsidRDefault="00202B72" w:rsidP="00202B72">
      <w:pPr>
        <w:pStyle w:val="CorpoAltF0"/>
      </w:pPr>
      <w:r w:rsidRPr="00A937B9">
        <w:t>A tal fine nella maschera di impostazione dei limiti di stampa è presente il campo “</w:t>
      </w:r>
      <w:r w:rsidRPr="00A937B9">
        <w:rPr>
          <w:i/>
        </w:rPr>
        <w:t>Solo ditte modalità non vantaggiosa</w:t>
      </w:r>
      <w:r w:rsidRPr="00A937B9">
        <w:t>”, che può assumere i seguenti valori:</w:t>
      </w:r>
    </w:p>
    <w:tbl>
      <w:tblPr>
        <w:tblW w:w="9889" w:type="dxa"/>
        <w:tblLook w:val="04A0" w:firstRow="1" w:lastRow="0" w:firstColumn="1" w:lastColumn="0" w:noHBand="0" w:noVBand="1"/>
      </w:tblPr>
      <w:tblGrid>
        <w:gridCol w:w="1017"/>
        <w:gridCol w:w="8872"/>
      </w:tblGrid>
      <w:tr w:rsidR="00202B72" w:rsidRPr="00A937B9" w:rsidTr="002A4886">
        <w:tc>
          <w:tcPr>
            <w:tcW w:w="1017" w:type="dxa"/>
            <w:shd w:val="clear" w:color="auto" w:fill="auto"/>
          </w:tcPr>
          <w:p w:rsidR="00202B72" w:rsidRPr="00A937B9" w:rsidRDefault="00202B72" w:rsidP="002A4886">
            <w:pPr>
              <w:pStyle w:val="CorpoAltF0"/>
              <w:spacing w:before="60"/>
            </w:pPr>
            <w:r w:rsidRPr="00A937B9">
              <w:rPr>
                <w:b/>
                <w:bCs/>
              </w:rPr>
              <w:t>N</w:t>
            </w:r>
          </w:p>
        </w:tc>
        <w:tc>
          <w:tcPr>
            <w:tcW w:w="8872" w:type="dxa"/>
            <w:shd w:val="clear" w:color="auto" w:fill="auto"/>
          </w:tcPr>
          <w:p w:rsidR="00202B72" w:rsidRPr="00A937B9" w:rsidRDefault="00202B72" w:rsidP="002A4886">
            <w:pPr>
              <w:pStyle w:val="CorpoAltF0"/>
              <w:spacing w:before="60"/>
            </w:pPr>
            <w:r w:rsidRPr="00A937B9">
              <w:t>viene stampato l’elenco di tutte le aziende con gli importi di acconto determinati sia con il metodo previsionale che con quello storico;</w:t>
            </w:r>
          </w:p>
          <w:p w:rsidR="00202B72" w:rsidRPr="00A937B9" w:rsidRDefault="00202B72" w:rsidP="002A4886">
            <w:pPr>
              <w:pStyle w:val="CorpoAltF0"/>
            </w:pPr>
          </w:p>
        </w:tc>
      </w:tr>
      <w:tr w:rsidR="00202B72" w:rsidRPr="00A937B9" w:rsidTr="002A4886">
        <w:tc>
          <w:tcPr>
            <w:tcW w:w="1017" w:type="dxa"/>
            <w:shd w:val="clear" w:color="auto" w:fill="auto"/>
          </w:tcPr>
          <w:p w:rsidR="00202B72" w:rsidRPr="00A937B9" w:rsidRDefault="00202B72" w:rsidP="002A4886">
            <w:pPr>
              <w:pStyle w:val="CorpoAltF0"/>
            </w:pPr>
            <w:r w:rsidRPr="00A937B9">
              <w:rPr>
                <w:b/>
                <w:bCs/>
              </w:rPr>
              <w:t>S</w:t>
            </w:r>
          </w:p>
        </w:tc>
        <w:tc>
          <w:tcPr>
            <w:tcW w:w="8872" w:type="dxa"/>
            <w:shd w:val="clear" w:color="auto" w:fill="auto"/>
          </w:tcPr>
          <w:p w:rsidR="00202B72" w:rsidRPr="00A937B9" w:rsidRDefault="00202B72" w:rsidP="002A4886">
            <w:pPr>
              <w:pStyle w:val="CorpoAltF0"/>
            </w:pPr>
            <w:r w:rsidRPr="00A937B9">
              <w:t>viene stampato l’elenco delle sole aziende che non hanno convenienza ad utilizzare il metodo di calcolo presente in azienda.</w:t>
            </w:r>
          </w:p>
          <w:p w:rsidR="00202B72" w:rsidRPr="00A937B9" w:rsidRDefault="00202B72" w:rsidP="002A4886">
            <w:pPr>
              <w:pStyle w:val="CorpoAltF0"/>
              <w:spacing w:before="60"/>
            </w:pPr>
            <w:r w:rsidRPr="00A937B9">
              <w:t>Tale consente di rilevare quelle aziende sulle quali intervenire se si vuole versare l’acconto con la modalità più conveniente; in tal caso è necessario sostituire il metodo di calcolo al campo “</w:t>
            </w:r>
            <w:r w:rsidRPr="00A937B9">
              <w:rPr>
                <w:i/>
                <w:iCs/>
              </w:rPr>
              <w:t>Modalità</w:t>
            </w:r>
            <w:r w:rsidRPr="00A937B9">
              <w:t>” nella sezione “</w:t>
            </w:r>
            <w:r w:rsidRPr="00A937B9">
              <w:rPr>
                <w:i/>
              </w:rPr>
              <w:t>Altri dati &gt; Acconto T.F.R.</w:t>
            </w:r>
            <w:r w:rsidRPr="00A937B9">
              <w:t xml:space="preserve">” di </w:t>
            </w:r>
            <w:r w:rsidRPr="00A937B9">
              <w:rPr>
                <w:b/>
                <w:bCs/>
              </w:rPr>
              <w:t>AZIE</w:t>
            </w:r>
            <w:r w:rsidRPr="00A937B9">
              <w:t>.</w:t>
            </w:r>
          </w:p>
        </w:tc>
      </w:tr>
    </w:tbl>
    <w:p w:rsidR="00202B72" w:rsidRPr="00A937B9" w:rsidRDefault="00202B72" w:rsidP="00202B72">
      <w:pPr>
        <w:pStyle w:val="CorpoAltF0"/>
      </w:pPr>
    </w:p>
    <w:p w:rsidR="00202B72" w:rsidRPr="00A937B9" w:rsidRDefault="00202B72" w:rsidP="00202B72">
      <w:pPr>
        <w:pStyle w:val="CorpoAltF0"/>
        <w:spacing w:before="60"/>
      </w:pPr>
      <w:r w:rsidRPr="00A937B9">
        <w:t>L’opzione “</w:t>
      </w:r>
      <w:r w:rsidRPr="00A937B9">
        <w:rPr>
          <w:i/>
        </w:rPr>
        <w:t>Selezione su licenziati</w:t>
      </w:r>
      <w:r w:rsidRPr="00A937B9">
        <w:t>” non è attiva e va quindi confermata con la proposta “</w:t>
      </w:r>
      <w:r w:rsidRPr="00A937B9">
        <w:rPr>
          <w:b/>
          <w:bCs/>
        </w:rPr>
        <w:t>N</w:t>
      </w:r>
      <w:r w:rsidRPr="00A937B9">
        <w:t>”.</w:t>
      </w:r>
    </w:p>
    <w:p w:rsidR="00202B72" w:rsidRPr="00A937B9" w:rsidRDefault="00202B72" w:rsidP="00202B72">
      <w:pPr>
        <w:pStyle w:val="CorpoAltF0"/>
      </w:pPr>
    </w:p>
    <w:p w:rsidR="00202B72" w:rsidRPr="00A937B9" w:rsidRDefault="00202B72" w:rsidP="00202B72">
      <w:pPr>
        <w:pStyle w:val="CorpoAltF0"/>
      </w:pPr>
    </w:p>
    <w:p w:rsidR="00202B72" w:rsidRPr="00A937B9" w:rsidRDefault="00202B72" w:rsidP="00202B72">
      <w:pPr>
        <w:pStyle w:val="TS-titolo-04"/>
      </w:pPr>
      <w:bookmarkStart w:id="271" w:name="_Toc88043282"/>
      <w:bookmarkStart w:id="272" w:name="_Toc120442074"/>
      <w:bookmarkStart w:id="273" w:name="_Toc182393638"/>
      <w:bookmarkStart w:id="274" w:name="_Toc205378041"/>
      <w:bookmarkStart w:id="275" w:name="_Toc214343531"/>
      <w:bookmarkStart w:id="276" w:name="_Toc247441212"/>
      <w:bookmarkStart w:id="277" w:name="_Toc309640775"/>
      <w:bookmarkStart w:id="278" w:name="_Toc341345183"/>
      <w:bookmarkStart w:id="279" w:name="_Toc341370917"/>
      <w:bookmarkStart w:id="280" w:name="_Toc372737182"/>
      <w:bookmarkStart w:id="281" w:name="_Toc372737867"/>
      <w:bookmarkStart w:id="282" w:name="_Toc404003700"/>
      <w:bookmarkStart w:id="283" w:name="_Toc435779534"/>
      <w:bookmarkStart w:id="284" w:name="_Toc435782237"/>
      <w:bookmarkStart w:id="285" w:name="_Toc467261855"/>
      <w:bookmarkStart w:id="286" w:name="_Toc467263196"/>
      <w:bookmarkStart w:id="287" w:name="_Toc499133414"/>
      <w:bookmarkStart w:id="288" w:name="_Toc499135166"/>
      <w:r w:rsidRPr="00A937B9">
        <w:t>Versamento acconto su imposta sostitutiva</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rsidR="00202B72" w:rsidRPr="00A937B9" w:rsidRDefault="00202B72" w:rsidP="00202B72">
      <w:pPr>
        <w:pStyle w:val="CorpoAltF0"/>
        <w:spacing w:before="120"/>
      </w:pPr>
      <w:r w:rsidRPr="00A937B9">
        <w:t>L’acconto dell’imposta sostitutiva va versato entro il 16 dicembre utilizzando in delega il codice tributo 1712.</w:t>
      </w:r>
    </w:p>
    <w:p w:rsidR="00202B72" w:rsidRPr="00A937B9" w:rsidRDefault="00202B72" w:rsidP="00202B72">
      <w:pPr>
        <w:pStyle w:val="CorpoAltF0"/>
        <w:spacing w:before="60"/>
      </w:pPr>
      <w:r w:rsidRPr="00A937B9">
        <w:t>Tale tributo può essere compensato in F24 con il credito d’imposta sul TFR (codice tributo 1250) come previsto dalla circolare 29/E del 20.3.2001:</w:t>
      </w:r>
    </w:p>
    <w:p w:rsidR="00202B72" w:rsidRPr="00A937B9" w:rsidRDefault="00202B72" w:rsidP="00202B72">
      <w:pPr>
        <w:pStyle w:val="CorpoAltF0"/>
        <w:spacing w:before="60"/>
        <w:rPr>
          <w:rFonts w:hAnsi="Arial Unicode MS" w:cs="Arial Unicode MS"/>
          <w:i/>
          <w:iCs/>
        </w:rPr>
      </w:pPr>
      <w:proofErr w:type="gramStart"/>
      <w:r w:rsidRPr="00A937B9">
        <w:rPr>
          <w:iCs/>
        </w:rPr>
        <w:t>“</w:t>
      </w:r>
      <w:r w:rsidRPr="00A937B9">
        <w:rPr>
          <w:i/>
          <w:iCs/>
        </w:rPr>
        <w:t>….</w:t>
      </w:r>
      <w:proofErr w:type="gramEnd"/>
      <w:r w:rsidRPr="00A937B9">
        <w:rPr>
          <w:i/>
          <w:iCs/>
        </w:rPr>
        <w:t>per il versamento dell’imposta sostitutiva, sia in acconto che a saldo, può essere utilizzato il credito d’imposta di cui all’articolo 3, comma 213, della legge 23 dicembre 1996, n. 662, come modificato dall’articolo 2 del D.L. 28 marzo 1997, n. 79, convertito dalla legge 28 maggio 1997, n. 140.</w:t>
      </w:r>
    </w:p>
    <w:p w:rsidR="00202B72" w:rsidRPr="00A937B9" w:rsidRDefault="00202B72" w:rsidP="00202B72">
      <w:pPr>
        <w:pStyle w:val="CorpoAltF0"/>
        <w:spacing w:before="60"/>
        <w:rPr>
          <w:i/>
          <w:iCs/>
        </w:rPr>
      </w:pPr>
      <w:r w:rsidRPr="00A937B9">
        <w:rPr>
          <w:i/>
          <w:iCs/>
        </w:rPr>
        <w:t>Al riguardo, si precisa che tale credito, derivante dal versamento dell’anticipo d’imposta sui TFR, può essere utilizzato (in aggiunta alle modalità proprie di utilizzo specificamente previste) fino a compensazione dell’imposta sostitutiva dovuta, mediante l’utilizzo del modello di pagamento F24, senza alcun limite di importo e indipendentemente dalle percentuali di utilizzo previste per il suddetto credito d’imposta.</w:t>
      </w:r>
    </w:p>
    <w:p w:rsidR="00202B72" w:rsidRPr="00A937B9" w:rsidRDefault="00202B72" w:rsidP="00202B72">
      <w:pPr>
        <w:pStyle w:val="CorpoAltF0"/>
        <w:spacing w:before="60"/>
        <w:rPr>
          <w:i/>
          <w:iCs/>
        </w:rPr>
      </w:pPr>
      <w:r w:rsidRPr="00A937B9">
        <w:rPr>
          <w:i/>
          <w:iCs/>
        </w:rPr>
        <w:t>Detto credito, tuttavia, non è utilizzabile ai fini della compensazione di altre imposte o contributi.</w:t>
      </w:r>
      <w:r w:rsidRPr="00A937B9">
        <w:rPr>
          <w:iCs/>
        </w:rPr>
        <w:t>”</w:t>
      </w:r>
    </w:p>
    <w:p w:rsidR="00202B72" w:rsidRPr="00A937B9" w:rsidRDefault="00202B72" w:rsidP="00202B72">
      <w:pPr>
        <w:pStyle w:val="CorpoAltF0"/>
        <w:spacing w:before="120"/>
      </w:pPr>
      <w:r w:rsidRPr="00A937B9">
        <w:t>Il credito d’imposta sul TFR è memorizzato nella sezione “</w:t>
      </w:r>
      <w:r w:rsidRPr="00A937B9">
        <w:rPr>
          <w:i/>
        </w:rPr>
        <w:t>Altri dati &gt; Acconto T.F.R.</w:t>
      </w:r>
      <w:r w:rsidRPr="00A937B9">
        <w:t xml:space="preserve">” di </w:t>
      </w:r>
      <w:r w:rsidRPr="00A937B9">
        <w:rPr>
          <w:b/>
          <w:bCs/>
        </w:rPr>
        <w:t>AZIE</w:t>
      </w:r>
      <w:r w:rsidRPr="00A937B9">
        <w:t>.</w:t>
      </w:r>
    </w:p>
    <w:p w:rsidR="00202B72" w:rsidRPr="00A937B9" w:rsidRDefault="00202B72" w:rsidP="00202B72">
      <w:pPr>
        <w:pStyle w:val="CorpoAltF0"/>
        <w:spacing w:before="60"/>
      </w:pPr>
      <w:r w:rsidRPr="00A937B9">
        <w:t>L’importo, compensabile con i codici tributo 1712 e 1713, viene riportato in delega con il codice 1250.</w:t>
      </w:r>
    </w:p>
    <w:p w:rsidR="00202B72" w:rsidRPr="00A937B9" w:rsidRDefault="00202B72" w:rsidP="00202B72">
      <w:pPr>
        <w:pStyle w:val="CorpoAltF0"/>
        <w:spacing w:before="60"/>
      </w:pPr>
      <w:r w:rsidRPr="00A937B9">
        <w:t>Il suo utilizzo può essere controllato tramite la scelta “</w:t>
      </w:r>
      <w:r w:rsidRPr="00A937B9">
        <w:rPr>
          <w:i/>
        </w:rPr>
        <w:t xml:space="preserve">Stampa </w:t>
      </w:r>
      <w:proofErr w:type="spellStart"/>
      <w:r w:rsidRPr="00A937B9">
        <w:rPr>
          <w:i/>
        </w:rPr>
        <w:t>sit</w:t>
      </w:r>
      <w:proofErr w:type="spellEnd"/>
      <w:r w:rsidRPr="00A937B9">
        <w:rPr>
          <w:i/>
        </w:rPr>
        <w:t xml:space="preserve">. credito </w:t>
      </w:r>
      <w:proofErr w:type="spellStart"/>
      <w:r w:rsidRPr="00A937B9">
        <w:rPr>
          <w:i/>
        </w:rPr>
        <w:t>acc.tas</w:t>
      </w:r>
      <w:proofErr w:type="spellEnd"/>
      <w:r w:rsidRPr="00A937B9">
        <w:rPr>
          <w:i/>
        </w:rPr>
        <w:t>. TFR</w:t>
      </w:r>
      <w:r w:rsidRPr="00A937B9">
        <w:t xml:space="preserve">” del comando </w:t>
      </w:r>
      <w:r w:rsidRPr="00A937B9">
        <w:rPr>
          <w:b/>
          <w:bCs/>
        </w:rPr>
        <w:t>STCOMP</w:t>
      </w:r>
      <w:r w:rsidRPr="00A937B9">
        <w:t>.</w:t>
      </w:r>
    </w:p>
    <w:p w:rsidR="00202B72" w:rsidRPr="00A937B9" w:rsidRDefault="00202B72" w:rsidP="00202B72">
      <w:pPr>
        <w:pStyle w:val="CorpoAltF0"/>
      </w:pPr>
    </w:p>
    <w:p w:rsidR="00202B72" w:rsidRPr="00A937B9" w:rsidRDefault="00202B72" w:rsidP="00202B72">
      <w:pPr>
        <w:pStyle w:val="CorpoAltF0"/>
      </w:pPr>
    </w:p>
    <w:p w:rsidR="00202B72" w:rsidRPr="00A937B9" w:rsidRDefault="00202B72" w:rsidP="00202B72">
      <w:pPr>
        <w:pStyle w:val="TS-titolo-04"/>
      </w:pPr>
      <w:bookmarkStart w:id="289" w:name="_Toc88043283"/>
      <w:bookmarkStart w:id="290" w:name="_Toc120442075"/>
      <w:bookmarkStart w:id="291" w:name="_Toc182393639"/>
      <w:bookmarkStart w:id="292" w:name="_Toc205378042"/>
      <w:bookmarkStart w:id="293" w:name="_Toc214343532"/>
      <w:bookmarkStart w:id="294" w:name="_Toc247441213"/>
      <w:bookmarkStart w:id="295" w:name="_Toc309640776"/>
      <w:bookmarkStart w:id="296" w:name="_Toc341345184"/>
      <w:bookmarkStart w:id="297" w:name="_Toc341370918"/>
      <w:bookmarkStart w:id="298" w:name="_Toc372737183"/>
      <w:bookmarkStart w:id="299" w:name="_Toc372737868"/>
      <w:bookmarkStart w:id="300" w:name="_Toc404003701"/>
      <w:bookmarkStart w:id="301" w:name="_Toc435779535"/>
      <w:bookmarkStart w:id="302" w:name="_Toc435782238"/>
      <w:bookmarkStart w:id="303" w:name="_Toc467261856"/>
      <w:bookmarkStart w:id="304" w:name="_Toc467263197"/>
      <w:bookmarkStart w:id="305" w:name="_Toc499133415"/>
      <w:bookmarkStart w:id="306" w:name="_Toc499135167"/>
      <w:r w:rsidRPr="00A937B9">
        <w:t>Riepilogo sequenza operativa</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rsidR="00202B72" w:rsidRPr="00A937B9" w:rsidRDefault="00202B72" w:rsidP="00202B72">
      <w:pPr>
        <w:pStyle w:val="CorpoAltF0"/>
        <w:spacing w:before="120"/>
      </w:pPr>
      <w:r w:rsidRPr="00A937B9">
        <w:t>Si riepilogano di seguito le operazioni da eseguire in sequenza per effettuare il calcolo dell’acconto:</w:t>
      </w:r>
    </w:p>
    <w:p w:rsidR="00202B72" w:rsidRPr="00A937B9" w:rsidRDefault="00202B72" w:rsidP="00202B72">
      <w:pPr>
        <w:pStyle w:val="CorpoAltF0"/>
        <w:numPr>
          <w:ilvl w:val="0"/>
          <w:numId w:val="16"/>
        </w:numPr>
        <w:spacing w:before="60"/>
        <w:ind w:left="284" w:hanging="284"/>
      </w:pPr>
      <w:r w:rsidRPr="00A937B9">
        <w:t xml:space="preserve">eseguire il calcolo previsionale con il comando </w:t>
      </w:r>
      <w:r w:rsidRPr="00A937B9">
        <w:rPr>
          <w:b/>
          <w:bCs/>
        </w:rPr>
        <w:t>CALRIVP</w:t>
      </w:r>
      <w:r w:rsidRPr="00A937B9">
        <w:t>;</w:t>
      </w:r>
    </w:p>
    <w:p w:rsidR="00202B72" w:rsidRPr="00A937B9" w:rsidRDefault="00202B72" w:rsidP="00202B72">
      <w:pPr>
        <w:pStyle w:val="CorpoAltF0"/>
        <w:numPr>
          <w:ilvl w:val="0"/>
          <w:numId w:val="16"/>
        </w:numPr>
        <w:spacing w:before="60"/>
        <w:ind w:left="284" w:hanging="284"/>
      </w:pPr>
      <w:r w:rsidRPr="00A937B9">
        <w:t>stampare l’elenco delle situazioni di acconto con la scelta “</w:t>
      </w:r>
      <w:r w:rsidRPr="00A937B9">
        <w:rPr>
          <w:i/>
        </w:rPr>
        <w:t>Elenco acconto imposta sostitutiva</w:t>
      </w:r>
      <w:r w:rsidRPr="00A937B9">
        <w:t xml:space="preserve">” di </w:t>
      </w:r>
      <w:r w:rsidRPr="00A937B9">
        <w:rPr>
          <w:b/>
          <w:bCs/>
        </w:rPr>
        <w:t>STIMPSOS</w:t>
      </w:r>
      <w:r w:rsidRPr="00A937B9">
        <w:t>;</w:t>
      </w:r>
    </w:p>
    <w:p w:rsidR="00202B72" w:rsidRPr="00A937B9" w:rsidRDefault="00202B72" w:rsidP="00202B72">
      <w:pPr>
        <w:pStyle w:val="CorpoAltF0"/>
        <w:numPr>
          <w:ilvl w:val="0"/>
          <w:numId w:val="16"/>
        </w:numPr>
        <w:spacing w:before="60"/>
        <w:ind w:left="284" w:hanging="284"/>
      </w:pPr>
      <w:r w:rsidRPr="00A937B9">
        <w:t>modificare nella sezione “</w:t>
      </w:r>
      <w:r w:rsidRPr="00A937B9">
        <w:rPr>
          <w:i/>
        </w:rPr>
        <w:t>Altri dati &gt; Acconto T.F.R.</w:t>
      </w:r>
      <w:r w:rsidRPr="00A937B9">
        <w:t xml:space="preserve">” di </w:t>
      </w:r>
      <w:r w:rsidRPr="00A937B9">
        <w:rPr>
          <w:b/>
          <w:bCs/>
        </w:rPr>
        <w:t>AZIE</w:t>
      </w:r>
      <w:r w:rsidRPr="00A937B9">
        <w:t xml:space="preserve"> la modalità di calcolo per quelle aziende che hanno convenienza ad applicare il metodo previsionale anziché quello storico;</w:t>
      </w:r>
    </w:p>
    <w:p w:rsidR="00202B72" w:rsidRPr="00A937B9" w:rsidRDefault="00202B72" w:rsidP="00202B72">
      <w:pPr>
        <w:pStyle w:val="CorpoAltF0"/>
        <w:numPr>
          <w:ilvl w:val="0"/>
          <w:numId w:val="16"/>
        </w:numPr>
        <w:spacing w:before="60"/>
        <w:ind w:left="284" w:hanging="284"/>
      </w:pPr>
      <w:r w:rsidRPr="00A937B9">
        <w:t>eseguire le quadrature (</w:t>
      </w:r>
      <w:r w:rsidRPr="00A937B9">
        <w:rPr>
          <w:b/>
        </w:rPr>
        <w:t>QUADR</w:t>
      </w:r>
      <w:r w:rsidRPr="00A937B9">
        <w:t>) del mese di novembre;</w:t>
      </w:r>
    </w:p>
    <w:p w:rsidR="00202B72" w:rsidRPr="00A937B9" w:rsidRDefault="00202B72" w:rsidP="00202B72">
      <w:pPr>
        <w:pStyle w:val="CorpoAltF0"/>
        <w:numPr>
          <w:ilvl w:val="0"/>
          <w:numId w:val="16"/>
        </w:numPr>
        <w:spacing w:before="60"/>
        <w:ind w:left="284" w:hanging="284"/>
      </w:pPr>
      <w:r w:rsidRPr="00A937B9">
        <w:t>elaborare il modello F24.</w:t>
      </w:r>
    </w:p>
    <w:p w:rsidR="00202B72" w:rsidRPr="00A937B9" w:rsidRDefault="00202B72" w:rsidP="00202B72">
      <w:pPr>
        <w:pStyle w:val="Ignora"/>
      </w:pPr>
      <w:r w:rsidRPr="00A937B9">
        <w:br w:type="page"/>
      </w:r>
    </w:p>
    <w:p w:rsidR="00202B72" w:rsidRPr="00A937B9" w:rsidRDefault="00202B72" w:rsidP="00202B72">
      <w:pPr>
        <w:pStyle w:val="CorpoAltF0"/>
      </w:pPr>
    </w:p>
    <w:p w:rsidR="00202B72" w:rsidRPr="00A937B9" w:rsidRDefault="00202B72" w:rsidP="00202B72">
      <w:pPr>
        <w:pStyle w:val="TS-titolo-04"/>
      </w:pPr>
      <w:bookmarkStart w:id="307" w:name="_Toc341370919"/>
      <w:bookmarkStart w:id="308" w:name="_Toc372737184"/>
      <w:bookmarkStart w:id="309" w:name="_Toc372737869"/>
      <w:bookmarkStart w:id="310" w:name="_Toc404003702"/>
      <w:bookmarkStart w:id="311" w:name="_Toc435779536"/>
      <w:bookmarkStart w:id="312" w:name="_Toc435782239"/>
      <w:bookmarkStart w:id="313" w:name="_Toc467261857"/>
      <w:bookmarkStart w:id="314" w:name="_Toc467263198"/>
      <w:bookmarkStart w:id="315" w:name="_Toc499133416"/>
      <w:bookmarkStart w:id="316" w:name="_Toc499135168"/>
      <w:r w:rsidRPr="00A937B9">
        <w:t xml:space="preserve">Recupero acconto imposta </w:t>
      </w:r>
      <w:proofErr w:type="spellStart"/>
      <w:r w:rsidRPr="00A937B9">
        <w:t>sost</w:t>
      </w:r>
      <w:proofErr w:type="spellEnd"/>
      <w:r w:rsidRPr="00A937B9">
        <w:t xml:space="preserve">. su </w:t>
      </w:r>
      <w:proofErr w:type="spellStart"/>
      <w:r w:rsidRPr="00A937B9">
        <w:t>rivalutaz</w:t>
      </w:r>
      <w:proofErr w:type="spellEnd"/>
      <w:r w:rsidRPr="00A937B9">
        <w:t>. TFR a Fondo Tesoreria</w:t>
      </w:r>
      <w:bookmarkEnd w:id="307"/>
      <w:bookmarkEnd w:id="308"/>
      <w:bookmarkEnd w:id="309"/>
      <w:bookmarkEnd w:id="310"/>
      <w:bookmarkEnd w:id="311"/>
      <w:bookmarkEnd w:id="312"/>
      <w:bookmarkEnd w:id="313"/>
      <w:bookmarkEnd w:id="314"/>
      <w:bookmarkEnd w:id="315"/>
      <w:bookmarkEnd w:id="316"/>
    </w:p>
    <w:p w:rsidR="00202B72" w:rsidRPr="00A937B9" w:rsidRDefault="00202B72" w:rsidP="00202B72">
      <w:pPr>
        <w:pStyle w:val="CorpoAltF0"/>
        <w:spacing w:before="120"/>
      </w:pPr>
      <w:r w:rsidRPr="00A937B9">
        <w:t>Sulla base di quanto previsto dalla Circolare n. 4 del 14.1.2009 (punto 9), il recupero dell’importo di imposta sostitutiva versata in acconto con riferimento al TFR conferito al Fondo di Tesoreria INPS, deve essere effettuato con le seguenti modalità:</w:t>
      </w:r>
    </w:p>
    <w:p w:rsidR="00202B72" w:rsidRPr="00A937B9" w:rsidRDefault="00202B72" w:rsidP="00202B72">
      <w:pPr>
        <w:pStyle w:val="CorpoAltF0"/>
        <w:numPr>
          <w:ilvl w:val="0"/>
          <w:numId w:val="17"/>
        </w:numPr>
        <w:spacing w:before="60"/>
        <w:ind w:left="284" w:hanging="284"/>
      </w:pPr>
      <w:r w:rsidRPr="00A937B9">
        <w:t xml:space="preserve">i datori di lavoro </w:t>
      </w:r>
      <w:r w:rsidRPr="00A937B9">
        <w:rPr>
          <w:b/>
        </w:rPr>
        <w:t>possono conguagliare l’importo versato</w:t>
      </w:r>
      <w:r w:rsidRPr="00A937B9">
        <w:t xml:space="preserve"> </w:t>
      </w:r>
      <w:r w:rsidRPr="00A937B9">
        <w:rPr>
          <w:b/>
        </w:rPr>
        <w:t>con la denuncia UNIEMENS riferita al mese di “dicembre”</w:t>
      </w:r>
      <w:r w:rsidRPr="00A937B9">
        <w:t>, salvo conguaglio da eseguirsi sulla denuncia contributiva di “febbraio”;</w:t>
      </w:r>
    </w:p>
    <w:p w:rsidR="00202B72" w:rsidRPr="00A937B9" w:rsidRDefault="00202B72" w:rsidP="00202B72">
      <w:pPr>
        <w:pStyle w:val="CorpoAltF0"/>
        <w:numPr>
          <w:ilvl w:val="0"/>
          <w:numId w:val="17"/>
        </w:numPr>
        <w:spacing w:before="60"/>
        <w:ind w:left="284" w:hanging="284"/>
      </w:pPr>
      <w:r w:rsidRPr="00A937B9">
        <w:t xml:space="preserve">per individuarne l’ammontare, i datori di lavoro potranno calcolare </w:t>
      </w:r>
      <w:r w:rsidRPr="00A937B9">
        <w:rPr>
          <w:b/>
        </w:rPr>
        <w:t>una presunta rivalutazione delle quote di TFR trasferite al Fondo di Tesoreria, avvalendosi dell’ultimo (o del penultimo) indice ISTAT</w:t>
      </w:r>
      <w:r w:rsidRPr="00A937B9">
        <w:t>.</w:t>
      </w:r>
    </w:p>
    <w:p w:rsidR="00202B72" w:rsidRPr="00A937B9" w:rsidRDefault="00202B72" w:rsidP="00202B72">
      <w:pPr>
        <w:pStyle w:val="CorpoAltF0"/>
      </w:pPr>
    </w:p>
    <w:p w:rsidR="00202B72" w:rsidRPr="00A937B9" w:rsidRDefault="00202B72" w:rsidP="00202B72">
      <w:pPr>
        <w:pStyle w:val="CorpoAltF0"/>
      </w:pPr>
      <w:r w:rsidRPr="00A937B9">
        <w:t>Il programma consente la determinazione dell’acconto dell’imposta sostitutiva riferita alle quote di TFR trasferite al Fondo di Tesoreria da recuperare tramite denuncia UNIEMENS (causale PF30), sulla base del criterio stabilito dalla Circolare INPS n. 4/2009 in alternativa a quello utilizzato dalla procedura (modalità di calcolo storica o previsionale indicata in azienda).</w:t>
      </w:r>
    </w:p>
    <w:p w:rsidR="00202B72" w:rsidRPr="00A937B9" w:rsidRDefault="00202B72" w:rsidP="00202B72">
      <w:pPr>
        <w:pStyle w:val="CorpoAltF0"/>
      </w:pPr>
    </w:p>
    <w:p w:rsidR="00202B72" w:rsidRPr="00A937B9" w:rsidRDefault="00202B72" w:rsidP="00202B72">
      <w:pPr>
        <w:pStyle w:val="CorpoAltF0"/>
      </w:pPr>
      <w:r w:rsidRPr="00A937B9">
        <w:t>A tal fine nella sezione “</w:t>
      </w:r>
      <w:r w:rsidRPr="00A937B9">
        <w:rPr>
          <w:i/>
        </w:rPr>
        <w:t>QUADR</w:t>
      </w:r>
      <w:r w:rsidRPr="00A937B9">
        <w:t>” della tabella “</w:t>
      </w:r>
      <w:r w:rsidRPr="00A937B9">
        <w:rPr>
          <w:i/>
        </w:rPr>
        <w:t>Personalizzazione procedura</w:t>
      </w:r>
      <w:r w:rsidRPr="00A937B9">
        <w:t>” (</w:t>
      </w:r>
      <w:r w:rsidRPr="00A937B9">
        <w:rPr>
          <w:b/>
        </w:rPr>
        <w:t>TB1203</w:t>
      </w:r>
      <w:r w:rsidRPr="00A937B9">
        <w:t>) è presente il campo “</w:t>
      </w:r>
      <w:r w:rsidRPr="00A937B9">
        <w:rPr>
          <w:b/>
          <w:i/>
        </w:rPr>
        <w:t xml:space="preserve">Calcolo acconto imposta sostitutiva INPS da recuperare in </w:t>
      </w:r>
      <w:proofErr w:type="spellStart"/>
      <w:r w:rsidRPr="00A937B9">
        <w:rPr>
          <w:b/>
          <w:i/>
        </w:rPr>
        <w:t>Uniemens</w:t>
      </w:r>
      <w:proofErr w:type="spellEnd"/>
      <w:r w:rsidRPr="00A937B9">
        <w:t>” (campo 106):</w:t>
      </w:r>
    </w:p>
    <w:p w:rsidR="00202B72" w:rsidRPr="00A937B9" w:rsidRDefault="00202B72" w:rsidP="00202B72">
      <w:pPr>
        <w:pStyle w:val="CorpoAltF0"/>
        <w:numPr>
          <w:ilvl w:val="0"/>
          <w:numId w:val="18"/>
        </w:numPr>
        <w:spacing w:before="60"/>
        <w:ind w:left="284" w:hanging="284"/>
      </w:pPr>
      <w:r w:rsidRPr="00A937B9">
        <w:t>indicando “</w:t>
      </w:r>
      <w:r w:rsidRPr="00A937B9">
        <w:rPr>
          <w:b/>
        </w:rPr>
        <w:t>S</w:t>
      </w:r>
      <w:r w:rsidRPr="00A937B9">
        <w:t>” in tale campo, l’importo verrà determinato in base alla modalità di calcolo (storica o previsionale) indicata in azienda.</w:t>
      </w:r>
    </w:p>
    <w:p w:rsidR="00202B72" w:rsidRPr="00A937B9" w:rsidRDefault="00202B72" w:rsidP="00202B72">
      <w:pPr>
        <w:pStyle w:val="CorpoAltF0"/>
        <w:spacing w:before="60"/>
        <w:ind w:left="284"/>
      </w:pPr>
      <w:r w:rsidRPr="00A937B9">
        <w:t>Gli importi sono memorizzati nella pagina “</w:t>
      </w:r>
      <w:r w:rsidRPr="00A937B9">
        <w:rPr>
          <w:i/>
        </w:rPr>
        <w:t>Progressivi &gt; T.F.R. &gt; TFR INPS</w:t>
      </w:r>
      <w:r w:rsidRPr="00A937B9">
        <w:t xml:space="preserve">” di </w:t>
      </w:r>
      <w:r w:rsidRPr="00A937B9">
        <w:rPr>
          <w:b/>
        </w:rPr>
        <w:t>DIPE</w:t>
      </w:r>
      <w:r w:rsidRPr="00A937B9">
        <w:t xml:space="preserve"> ai campi “</w:t>
      </w:r>
      <w:r w:rsidRPr="00A937B9">
        <w:rPr>
          <w:i/>
        </w:rPr>
        <w:t>Imposta sostitutiva previsionale</w:t>
      </w:r>
      <w:r w:rsidRPr="00A937B9">
        <w:t xml:space="preserve">” (calcolato da </w:t>
      </w:r>
      <w:r w:rsidRPr="00A937B9">
        <w:rPr>
          <w:b/>
        </w:rPr>
        <w:t>CALRIVP</w:t>
      </w:r>
      <w:r w:rsidRPr="00A937B9">
        <w:t>) e “</w:t>
      </w:r>
      <w:r w:rsidRPr="00A937B9">
        <w:rPr>
          <w:i/>
        </w:rPr>
        <w:t>Imposta sostitutiva storica</w:t>
      </w:r>
      <w:r w:rsidRPr="00A937B9">
        <w:t xml:space="preserve">” (calcolato da </w:t>
      </w:r>
      <w:r w:rsidRPr="00A937B9">
        <w:rPr>
          <w:b/>
        </w:rPr>
        <w:t>AZZERA / RICTFR</w:t>
      </w:r>
      <w:r w:rsidRPr="00A937B9">
        <w:t>);</w:t>
      </w:r>
    </w:p>
    <w:p w:rsidR="00202B72" w:rsidRPr="00A937B9" w:rsidRDefault="00202B72" w:rsidP="00202B72">
      <w:pPr>
        <w:pStyle w:val="CorpoAltF0"/>
        <w:numPr>
          <w:ilvl w:val="0"/>
          <w:numId w:val="18"/>
        </w:numPr>
        <w:spacing w:before="60"/>
        <w:ind w:left="284" w:hanging="284"/>
      </w:pPr>
      <w:r w:rsidRPr="00A937B9">
        <w:t>indicando “</w:t>
      </w:r>
      <w:r w:rsidRPr="00A937B9">
        <w:rPr>
          <w:b/>
        </w:rPr>
        <w:t>N</w:t>
      </w:r>
      <w:r w:rsidRPr="00A937B9">
        <w:t xml:space="preserve">” o </w:t>
      </w:r>
      <w:r w:rsidRPr="00A937B9">
        <w:rPr>
          <w:b/>
        </w:rPr>
        <w:t>spazio</w:t>
      </w:r>
      <w:r w:rsidRPr="00A937B9">
        <w:t xml:space="preserve"> (valore di </w:t>
      </w:r>
      <w:r w:rsidRPr="00A937B9">
        <w:rPr>
          <w:i/>
        </w:rPr>
        <w:t>default</w:t>
      </w:r>
      <w:r w:rsidRPr="00A937B9">
        <w:t xml:space="preserve">), la quota di acconto di imposta sostitutiva da recuperare nella denuncia UNIEMENS, verrà determinata secondo il criterio stabilito dall’INPS nella circolare n. 4/2009: il programma calcola </w:t>
      </w:r>
      <w:r w:rsidRPr="00A937B9">
        <w:rPr>
          <w:b/>
        </w:rPr>
        <w:t>l’imposta sostitutiva sulla rivalutazione del TFR a Fondo di Tesoreria sulla base dell’indice ISTAT relativo al mese di novembre</w:t>
      </w:r>
      <w:r w:rsidRPr="00A937B9">
        <w:t xml:space="preserve"> (penultimo mese di riferimento).</w:t>
      </w:r>
    </w:p>
    <w:p w:rsidR="00202B72" w:rsidRPr="00A937B9" w:rsidRDefault="00202B72" w:rsidP="00202B72">
      <w:pPr>
        <w:pStyle w:val="CorpoAltF0"/>
      </w:pPr>
    </w:p>
    <w:p w:rsidR="00202B72" w:rsidRPr="00A937B9" w:rsidRDefault="00202B72" w:rsidP="00202B72">
      <w:pPr>
        <w:pStyle w:val="CorpoAltF0"/>
      </w:pPr>
    </w:p>
    <w:p w:rsidR="00202B72" w:rsidRPr="00A937B9" w:rsidRDefault="00202B72" w:rsidP="00202B72">
      <w:pPr>
        <w:pStyle w:val="CorpoAltF0"/>
        <w:spacing w:before="120"/>
      </w:pPr>
      <w:r w:rsidRPr="00A937B9">
        <w:t xml:space="preserve">La quadratura </w:t>
      </w:r>
      <w:r w:rsidRPr="00A937B9">
        <w:rPr>
          <w:b/>
        </w:rPr>
        <w:t xml:space="preserve">del </w:t>
      </w:r>
      <w:r w:rsidRPr="00A937B9">
        <w:rPr>
          <w:b/>
          <w:u w:val="single"/>
        </w:rPr>
        <w:t>mese di dicembre</w:t>
      </w:r>
      <w:r w:rsidRPr="00A937B9">
        <w:t xml:space="preserve"> provvederà:</w:t>
      </w:r>
    </w:p>
    <w:p w:rsidR="00202B72" w:rsidRPr="00A937B9" w:rsidRDefault="00202B72" w:rsidP="00202B72">
      <w:pPr>
        <w:pStyle w:val="CorpoAltF0"/>
        <w:numPr>
          <w:ilvl w:val="0"/>
          <w:numId w:val="18"/>
        </w:numPr>
        <w:spacing w:before="60"/>
        <w:ind w:left="284" w:hanging="284"/>
      </w:pPr>
      <w:r w:rsidRPr="00A937B9">
        <w:t>ad aggiornare l’importo calcolato, sulla base del criterio prescelto (modalità storica/previsionale o modalità Circolare INPS n. 4/2009) al campo “</w:t>
      </w:r>
      <w:r w:rsidRPr="00A937B9">
        <w:rPr>
          <w:i/>
        </w:rPr>
        <w:t>Acconto</w:t>
      </w:r>
      <w:r w:rsidRPr="00A937B9">
        <w:t>” nella scheda “</w:t>
      </w:r>
      <w:r w:rsidRPr="00A937B9">
        <w:rPr>
          <w:i/>
        </w:rPr>
        <w:t>TFR INPS</w:t>
      </w:r>
      <w:r w:rsidRPr="00A937B9">
        <w:t>” della sezione “</w:t>
      </w:r>
      <w:r w:rsidRPr="00A937B9">
        <w:rPr>
          <w:i/>
        </w:rPr>
        <w:t>Progressivi &gt; T.F.R.</w:t>
      </w:r>
      <w:r w:rsidRPr="00A937B9">
        <w:t>”</w:t>
      </w:r>
      <w:r w:rsidRPr="00A937B9">
        <w:rPr>
          <w:i/>
        </w:rPr>
        <w:t xml:space="preserve"> </w:t>
      </w:r>
      <w:r w:rsidRPr="00A937B9">
        <w:t xml:space="preserve">di </w:t>
      </w:r>
      <w:r w:rsidRPr="00A937B9">
        <w:rPr>
          <w:b/>
        </w:rPr>
        <w:t>DIPE</w:t>
      </w:r>
      <w:r w:rsidRPr="00A937B9">
        <w:t>;</w:t>
      </w:r>
    </w:p>
    <w:p w:rsidR="00202B72" w:rsidRPr="00A937B9" w:rsidRDefault="00202B72" w:rsidP="00202B72">
      <w:pPr>
        <w:pStyle w:val="CorpoAltF0"/>
        <w:numPr>
          <w:ilvl w:val="0"/>
          <w:numId w:val="18"/>
        </w:numPr>
        <w:spacing w:before="60"/>
        <w:ind w:left="284" w:hanging="284"/>
      </w:pPr>
      <w:r w:rsidRPr="00A937B9">
        <w:t>a trasferire predetto importo nella denuncia UNIEMENS di dicembre con codice PF30.</w:t>
      </w:r>
    </w:p>
    <w:p w:rsidR="00202B72" w:rsidRPr="00A937B9" w:rsidRDefault="00202B72" w:rsidP="00202B72">
      <w:pPr>
        <w:pStyle w:val="CorpoAltF0"/>
      </w:pPr>
      <w:r w:rsidRPr="00A937B9">
        <w:br w:type="page"/>
      </w:r>
    </w:p>
    <w:p w:rsidR="00FB5239" w:rsidRPr="00A937B9" w:rsidRDefault="00FB5239">
      <w:pPr>
        <w:pStyle w:val="CorpoAltF0"/>
      </w:pPr>
    </w:p>
    <w:p w:rsidR="00FB5239" w:rsidRPr="00A937B9" w:rsidRDefault="00FB5239">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FB5239" w:rsidRPr="00A937B9">
        <w:trPr>
          <w:trHeight w:val="558"/>
        </w:trPr>
        <w:tc>
          <w:tcPr>
            <w:tcW w:w="6874" w:type="dxa"/>
            <w:tcBorders>
              <w:top w:val="nil"/>
              <w:left w:val="nil"/>
              <w:bottom w:val="single" w:sz="12" w:space="0" w:color="auto"/>
              <w:right w:val="nil"/>
            </w:tcBorders>
            <w:vAlign w:val="center"/>
          </w:tcPr>
          <w:p w:rsidR="00FB5239" w:rsidRPr="00A937B9" w:rsidRDefault="00D53339">
            <w:pPr>
              <w:pStyle w:val="TS-titolo-01"/>
              <w:outlineLvl w:val="0"/>
            </w:pPr>
            <w:bookmarkStart w:id="317" w:name="_Toc499135169"/>
            <w:r w:rsidRPr="00A937B9">
              <w:t>Archivi di base</w:t>
            </w:r>
            <w:bookmarkEnd w:id="317"/>
          </w:p>
        </w:tc>
        <w:tc>
          <w:tcPr>
            <w:tcW w:w="2901" w:type="dxa"/>
            <w:tcBorders>
              <w:top w:val="single" w:sz="4" w:space="0" w:color="auto"/>
              <w:left w:val="nil"/>
              <w:bottom w:val="single" w:sz="4" w:space="0" w:color="auto"/>
              <w:right w:val="nil"/>
            </w:tcBorders>
            <w:shd w:val="clear" w:color="auto" w:fill="000000"/>
            <w:vAlign w:val="center"/>
          </w:tcPr>
          <w:p w:rsidR="00FB5239" w:rsidRPr="00A937B9" w:rsidRDefault="00FB5239">
            <w:pPr>
              <w:pStyle w:val="TS-titolo-02"/>
              <w:outlineLvl w:val="0"/>
            </w:pPr>
          </w:p>
        </w:tc>
      </w:tr>
    </w:tbl>
    <w:p w:rsidR="0097034A" w:rsidRPr="00A937B9" w:rsidRDefault="0097034A" w:rsidP="0097034A">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97034A" w:rsidRPr="00A937B9" w:rsidTr="002A4886">
        <w:trPr>
          <w:trHeight w:val="545"/>
        </w:trPr>
        <w:tc>
          <w:tcPr>
            <w:tcW w:w="6874" w:type="dxa"/>
            <w:tcBorders>
              <w:top w:val="single" w:sz="12" w:space="0" w:color="auto"/>
              <w:left w:val="nil"/>
              <w:bottom w:val="nil"/>
              <w:right w:val="nil"/>
            </w:tcBorders>
          </w:tcPr>
          <w:p w:rsidR="0097034A" w:rsidRPr="00A937B9" w:rsidRDefault="0097034A" w:rsidP="002A4886">
            <w:pPr>
              <w:pStyle w:val="Intestazione"/>
              <w:outlineLvl w:val="1"/>
              <w:rPr>
                <w:rFonts w:ascii="Arial" w:hAnsi="Arial" w:cs="Arial"/>
                <w:b/>
                <w:i/>
                <w:sz w:val="24"/>
                <w:szCs w:val="24"/>
              </w:rPr>
            </w:pPr>
            <w:r w:rsidRPr="00A937B9">
              <w:rPr>
                <w:rFonts w:ascii="Arial" w:hAnsi="Arial" w:cs="Arial"/>
                <w:b/>
                <w:i/>
                <w:sz w:val="24"/>
                <w:szCs w:val="24"/>
              </w:rPr>
              <w:t xml:space="preserve">Tabelle procedura </w:t>
            </w:r>
          </w:p>
        </w:tc>
        <w:tc>
          <w:tcPr>
            <w:tcW w:w="2901" w:type="dxa"/>
            <w:tcBorders>
              <w:top w:val="single" w:sz="4" w:space="0" w:color="auto"/>
              <w:left w:val="nil"/>
              <w:bottom w:val="nil"/>
              <w:right w:val="nil"/>
            </w:tcBorders>
            <w:shd w:val="clear" w:color="auto" w:fill="D9D9D9" w:themeFill="background1" w:themeFillShade="D9"/>
            <w:vAlign w:val="center"/>
          </w:tcPr>
          <w:p w:rsidR="0097034A" w:rsidRPr="00A937B9" w:rsidRDefault="0097034A" w:rsidP="002A4886">
            <w:pPr>
              <w:pStyle w:val="TS-titolo-Comando"/>
              <w:outlineLvl w:val="1"/>
            </w:pPr>
            <w:bookmarkStart w:id="318" w:name="TB0305_TB0801"/>
            <w:bookmarkStart w:id="319" w:name="_Toc499133596"/>
            <w:bookmarkStart w:id="320" w:name="_Toc499135170"/>
            <w:bookmarkEnd w:id="318"/>
            <w:r w:rsidRPr="00A937B9">
              <w:t>TB0305 / TB0801</w:t>
            </w:r>
            <w:bookmarkEnd w:id="319"/>
            <w:bookmarkEnd w:id="320"/>
          </w:p>
        </w:tc>
      </w:tr>
    </w:tbl>
    <w:p w:rsidR="0097034A" w:rsidRPr="00A937B9" w:rsidRDefault="0097034A" w:rsidP="0097034A">
      <w:pPr>
        <w:pStyle w:val="TS-titolo-04"/>
      </w:pPr>
      <w:bookmarkStart w:id="321" w:name="_Toc349154980"/>
      <w:bookmarkStart w:id="322" w:name="_Toc349157442"/>
      <w:bookmarkStart w:id="323" w:name="_Toc379551048"/>
      <w:bookmarkStart w:id="324" w:name="_Toc385521763"/>
      <w:bookmarkStart w:id="325" w:name="_Toc411343870"/>
      <w:bookmarkStart w:id="326" w:name="_Toc411357943"/>
      <w:bookmarkStart w:id="327" w:name="_Toc478753391"/>
      <w:bookmarkStart w:id="328" w:name="_Toc499133597"/>
      <w:bookmarkStart w:id="329" w:name="_Toc499135171"/>
      <w:r w:rsidRPr="00A937B9">
        <w:t>Creazione nuovi codici enti e fondi</w:t>
      </w:r>
      <w:bookmarkEnd w:id="321"/>
      <w:bookmarkEnd w:id="322"/>
      <w:bookmarkEnd w:id="323"/>
      <w:bookmarkEnd w:id="324"/>
      <w:bookmarkEnd w:id="325"/>
      <w:bookmarkEnd w:id="326"/>
      <w:bookmarkEnd w:id="327"/>
      <w:bookmarkEnd w:id="328"/>
      <w:bookmarkEnd w:id="329"/>
    </w:p>
    <w:p w:rsidR="0097034A" w:rsidRPr="00A937B9" w:rsidRDefault="0097034A" w:rsidP="0097034A">
      <w:pPr>
        <w:pStyle w:val="CorpoAltF0"/>
        <w:spacing w:before="120"/>
      </w:pPr>
      <w:r w:rsidRPr="00A937B9">
        <w:t>Inseriti i seguenti codici ente interno, da collegare al campo “</w:t>
      </w:r>
      <w:r w:rsidRPr="00A937B9">
        <w:rPr>
          <w:i/>
        </w:rPr>
        <w:t>Codice ente</w:t>
      </w:r>
      <w:r w:rsidRPr="00A937B9">
        <w:t>” di tabella “</w:t>
      </w:r>
      <w:r w:rsidRPr="00A937B9">
        <w:rPr>
          <w:i/>
        </w:rPr>
        <w:t>Descrizione altri enti</w:t>
      </w:r>
      <w:r w:rsidRPr="00A937B9">
        <w:t>” (</w:t>
      </w:r>
      <w:r w:rsidRPr="00A937B9">
        <w:rPr>
          <w:b/>
        </w:rPr>
        <w:t>TB0305</w:t>
      </w:r>
      <w:r w:rsidRPr="00A937B9">
        <w:t>).</w:t>
      </w:r>
    </w:p>
    <w:p w:rsidR="0097034A" w:rsidRPr="00A937B9" w:rsidRDefault="0097034A" w:rsidP="0097034A">
      <w:pPr>
        <w:pStyle w:val="CorpoAltF0"/>
        <w:spacing w:before="60"/>
      </w:pPr>
      <w:r w:rsidRPr="00A937B9">
        <w:t>Laddove specificato è stato altresì associato il codice contributo istituito ai fini del versamento della relativa contribuzione mediante delega F24 ed il codice convenzione, utile per la compilazione dell’elemento &lt;</w:t>
      </w:r>
      <w:proofErr w:type="spellStart"/>
      <w:r w:rsidRPr="00A937B9">
        <w:t>CodConv</w:t>
      </w:r>
      <w:proofErr w:type="spellEnd"/>
      <w:r w:rsidRPr="00A937B9">
        <w:t>&gt; di &lt;</w:t>
      </w:r>
      <w:proofErr w:type="spellStart"/>
      <w:r w:rsidRPr="00A937B9">
        <w:t>ConvBilat</w:t>
      </w:r>
      <w:proofErr w:type="spellEnd"/>
      <w:r w:rsidRPr="00A937B9">
        <w:t>&gt; della denuncia UNIEMENS.</w:t>
      </w:r>
    </w:p>
    <w:p w:rsidR="0097034A" w:rsidRPr="00A937B9" w:rsidRDefault="0097034A" w:rsidP="0097034A">
      <w:pPr>
        <w:pStyle w:val="CorpoAltF0"/>
      </w:pPr>
    </w:p>
    <w:tbl>
      <w:tblPr>
        <w:tblW w:w="965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68"/>
        <w:gridCol w:w="4382"/>
        <w:gridCol w:w="993"/>
        <w:gridCol w:w="1008"/>
        <w:gridCol w:w="2408"/>
      </w:tblGrid>
      <w:tr w:rsidR="0097034A" w:rsidRPr="00A937B9" w:rsidTr="002A4886">
        <w:tc>
          <w:tcPr>
            <w:tcW w:w="868" w:type="dxa"/>
            <w:shd w:val="clear" w:color="auto" w:fill="auto"/>
          </w:tcPr>
          <w:p w:rsidR="0097034A" w:rsidRPr="00A937B9" w:rsidRDefault="0097034A" w:rsidP="002A4886">
            <w:pPr>
              <w:pStyle w:val="CorpoAltF0"/>
              <w:spacing w:before="60" w:after="60"/>
              <w:jc w:val="center"/>
              <w:rPr>
                <w:b/>
              </w:rPr>
            </w:pPr>
            <w:r w:rsidRPr="00A937B9">
              <w:rPr>
                <w:b/>
              </w:rPr>
              <w:t>CODICE ENTE</w:t>
            </w:r>
          </w:p>
        </w:tc>
        <w:tc>
          <w:tcPr>
            <w:tcW w:w="4382" w:type="dxa"/>
            <w:shd w:val="clear" w:color="auto" w:fill="auto"/>
          </w:tcPr>
          <w:p w:rsidR="0097034A" w:rsidRPr="00A937B9" w:rsidRDefault="0097034A" w:rsidP="002A4886">
            <w:pPr>
              <w:pStyle w:val="CorpoAltF0"/>
              <w:spacing w:before="60" w:after="60"/>
              <w:jc w:val="center"/>
              <w:rPr>
                <w:b/>
              </w:rPr>
            </w:pPr>
            <w:r w:rsidRPr="00A937B9">
              <w:rPr>
                <w:b/>
              </w:rPr>
              <w:t>DESCRIZIONE</w:t>
            </w:r>
          </w:p>
        </w:tc>
        <w:tc>
          <w:tcPr>
            <w:tcW w:w="993" w:type="dxa"/>
            <w:shd w:val="clear" w:color="auto" w:fill="auto"/>
          </w:tcPr>
          <w:p w:rsidR="0097034A" w:rsidRPr="00A937B9" w:rsidRDefault="0097034A" w:rsidP="002A4886">
            <w:pPr>
              <w:pStyle w:val="CorpoAltF0"/>
              <w:spacing w:before="60" w:after="60"/>
              <w:jc w:val="center"/>
              <w:rPr>
                <w:b/>
              </w:rPr>
            </w:pPr>
            <w:r w:rsidRPr="00A937B9">
              <w:rPr>
                <w:b/>
              </w:rPr>
              <w:t>COD.F24</w:t>
            </w:r>
          </w:p>
        </w:tc>
        <w:tc>
          <w:tcPr>
            <w:tcW w:w="1008" w:type="dxa"/>
          </w:tcPr>
          <w:p w:rsidR="0097034A" w:rsidRPr="00A937B9" w:rsidRDefault="0097034A" w:rsidP="002A4886">
            <w:pPr>
              <w:pStyle w:val="CorpoAltF0"/>
              <w:spacing w:before="60" w:after="60"/>
              <w:jc w:val="center"/>
              <w:rPr>
                <w:b/>
              </w:rPr>
            </w:pPr>
            <w:proofErr w:type="spellStart"/>
            <w:r w:rsidRPr="00A937B9">
              <w:rPr>
                <w:b/>
              </w:rPr>
              <w:t>CodConv</w:t>
            </w:r>
            <w:proofErr w:type="spellEnd"/>
          </w:p>
        </w:tc>
        <w:tc>
          <w:tcPr>
            <w:tcW w:w="2408" w:type="dxa"/>
            <w:shd w:val="clear" w:color="auto" w:fill="auto"/>
          </w:tcPr>
          <w:p w:rsidR="0097034A" w:rsidRPr="00A937B9" w:rsidRDefault="0097034A" w:rsidP="002A4886">
            <w:pPr>
              <w:pStyle w:val="CorpoAltF0"/>
              <w:spacing w:before="60" w:after="60"/>
              <w:jc w:val="center"/>
              <w:rPr>
                <w:b/>
              </w:rPr>
            </w:pPr>
            <w:proofErr w:type="spellStart"/>
            <w:r w:rsidRPr="00A937B9">
              <w:rPr>
                <w:b/>
              </w:rPr>
              <w:t>Ris</w:t>
            </w:r>
            <w:proofErr w:type="spellEnd"/>
            <w:r w:rsidRPr="00A937B9">
              <w:rPr>
                <w:b/>
              </w:rPr>
              <w:t>. Ag. delle Entrate</w:t>
            </w:r>
          </w:p>
        </w:tc>
      </w:tr>
    </w:tbl>
    <w:p w:rsidR="0097034A" w:rsidRPr="00A937B9" w:rsidRDefault="0097034A" w:rsidP="0097034A">
      <w:pPr>
        <w:pStyle w:val="CorpoAltF0"/>
        <w:rPr>
          <w:sz w:val="4"/>
          <w:szCs w:val="4"/>
        </w:rPr>
      </w:pPr>
    </w:p>
    <w:p w:rsidR="0097034A" w:rsidRPr="00A937B9" w:rsidRDefault="0097034A" w:rsidP="0097034A">
      <w:pPr>
        <w:pStyle w:val="CorpoAltF0"/>
        <w:rPr>
          <w:b/>
        </w:rPr>
      </w:pPr>
      <w:r w:rsidRPr="00A937B9">
        <w:rPr>
          <w:b/>
        </w:rPr>
        <w:t>Enti sanitari</w:t>
      </w:r>
    </w:p>
    <w:p w:rsidR="0097034A" w:rsidRPr="00A937B9" w:rsidRDefault="0097034A" w:rsidP="0097034A">
      <w:pPr>
        <w:pStyle w:val="CorpoAltF0"/>
        <w:rPr>
          <w:sz w:val="4"/>
          <w:szCs w:val="4"/>
        </w:rPr>
      </w:pP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68"/>
        <w:gridCol w:w="4377"/>
        <w:gridCol w:w="1012"/>
        <w:gridCol w:w="994"/>
        <w:gridCol w:w="2394"/>
      </w:tblGrid>
      <w:tr w:rsidR="0097034A" w:rsidRPr="00A937B9" w:rsidTr="002A4886">
        <w:tc>
          <w:tcPr>
            <w:tcW w:w="868" w:type="dxa"/>
            <w:shd w:val="clear" w:color="auto" w:fill="auto"/>
          </w:tcPr>
          <w:p w:rsidR="0097034A" w:rsidRPr="00A937B9" w:rsidRDefault="0097034A" w:rsidP="002A4886">
            <w:pPr>
              <w:pStyle w:val="CorpoAltF0"/>
              <w:spacing w:before="60" w:after="60"/>
              <w:jc w:val="center"/>
              <w:rPr>
                <w:b/>
              </w:rPr>
            </w:pPr>
            <w:r w:rsidRPr="00A937B9">
              <w:rPr>
                <w:b/>
              </w:rPr>
              <w:t>130</w:t>
            </w:r>
          </w:p>
        </w:tc>
        <w:tc>
          <w:tcPr>
            <w:tcW w:w="4377" w:type="dxa"/>
            <w:shd w:val="clear" w:color="auto" w:fill="auto"/>
          </w:tcPr>
          <w:p w:rsidR="0097034A" w:rsidRPr="00A937B9" w:rsidRDefault="0097034A" w:rsidP="002A4886">
            <w:pPr>
              <w:pStyle w:val="CorpoAltF0"/>
              <w:spacing w:before="60" w:after="60"/>
            </w:pPr>
            <w:r w:rsidRPr="00A937B9">
              <w:t>SANIMODA</w:t>
            </w:r>
          </w:p>
        </w:tc>
        <w:tc>
          <w:tcPr>
            <w:tcW w:w="1012" w:type="dxa"/>
            <w:shd w:val="clear" w:color="auto" w:fill="auto"/>
          </w:tcPr>
          <w:p w:rsidR="0097034A" w:rsidRPr="00A937B9" w:rsidRDefault="0097034A" w:rsidP="002A4886">
            <w:pPr>
              <w:pStyle w:val="CorpoAltF0"/>
              <w:spacing w:before="60" w:after="60"/>
              <w:jc w:val="center"/>
              <w:rPr>
                <w:b/>
              </w:rPr>
            </w:pPr>
          </w:p>
        </w:tc>
        <w:tc>
          <w:tcPr>
            <w:tcW w:w="994" w:type="dxa"/>
          </w:tcPr>
          <w:p w:rsidR="0097034A" w:rsidRPr="00A937B9" w:rsidRDefault="0097034A" w:rsidP="002A4886">
            <w:pPr>
              <w:pStyle w:val="CorpoAltF0"/>
              <w:spacing w:before="60" w:after="60"/>
              <w:jc w:val="center"/>
            </w:pPr>
          </w:p>
        </w:tc>
        <w:tc>
          <w:tcPr>
            <w:tcW w:w="2394" w:type="dxa"/>
            <w:shd w:val="clear" w:color="auto" w:fill="auto"/>
          </w:tcPr>
          <w:p w:rsidR="0097034A" w:rsidRPr="00A937B9" w:rsidRDefault="0097034A" w:rsidP="002A4886">
            <w:pPr>
              <w:pStyle w:val="CorpoAltF0"/>
              <w:spacing w:before="60" w:after="60"/>
            </w:pPr>
          </w:p>
        </w:tc>
      </w:tr>
      <w:tr w:rsidR="0097034A" w:rsidRPr="00A937B9" w:rsidTr="002A4886">
        <w:tc>
          <w:tcPr>
            <w:tcW w:w="868" w:type="dxa"/>
            <w:shd w:val="clear" w:color="auto" w:fill="auto"/>
          </w:tcPr>
          <w:p w:rsidR="0097034A" w:rsidRPr="00A937B9" w:rsidRDefault="0097034A" w:rsidP="002A4886">
            <w:pPr>
              <w:pStyle w:val="CorpoAltF0"/>
              <w:spacing w:before="60" w:after="60"/>
              <w:jc w:val="center"/>
              <w:rPr>
                <w:b/>
              </w:rPr>
            </w:pPr>
            <w:r w:rsidRPr="00A937B9">
              <w:rPr>
                <w:b/>
              </w:rPr>
              <w:t>131</w:t>
            </w:r>
          </w:p>
        </w:tc>
        <w:tc>
          <w:tcPr>
            <w:tcW w:w="4377" w:type="dxa"/>
            <w:shd w:val="clear" w:color="auto" w:fill="auto"/>
          </w:tcPr>
          <w:p w:rsidR="0097034A" w:rsidRPr="00A937B9" w:rsidRDefault="0097034A" w:rsidP="002A4886">
            <w:pPr>
              <w:pStyle w:val="CorpoAltF0"/>
              <w:spacing w:before="60" w:after="60"/>
            </w:pPr>
            <w:r w:rsidRPr="00A937B9">
              <w:t>MUTUA MIA</w:t>
            </w:r>
          </w:p>
        </w:tc>
        <w:tc>
          <w:tcPr>
            <w:tcW w:w="1012" w:type="dxa"/>
            <w:shd w:val="clear" w:color="auto" w:fill="auto"/>
          </w:tcPr>
          <w:p w:rsidR="0097034A" w:rsidRPr="00A937B9" w:rsidRDefault="0097034A" w:rsidP="002A4886">
            <w:pPr>
              <w:pStyle w:val="CorpoAltF0"/>
              <w:spacing w:before="60" w:after="60"/>
              <w:jc w:val="center"/>
              <w:rPr>
                <w:b/>
              </w:rPr>
            </w:pPr>
          </w:p>
        </w:tc>
        <w:tc>
          <w:tcPr>
            <w:tcW w:w="994" w:type="dxa"/>
          </w:tcPr>
          <w:p w:rsidR="0097034A" w:rsidRPr="00A937B9" w:rsidRDefault="0097034A" w:rsidP="002A4886">
            <w:pPr>
              <w:pStyle w:val="CorpoAltF0"/>
              <w:spacing w:before="60" w:after="60"/>
              <w:jc w:val="center"/>
            </w:pPr>
          </w:p>
        </w:tc>
        <w:tc>
          <w:tcPr>
            <w:tcW w:w="2394" w:type="dxa"/>
            <w:shd w:val="clear" w:color="auto" w:fill="auto"/>
          </w:tcPr>
          <w:p w:rsidR="0097034A" w:rsidRPr="00A937B9" w:rsidRDefault="0097034A" w:rsidP="002A4886">
            <w:pPr>
              <w:pStyle w:val="CorpoAltF0"/>
              <w:spacing w:before="60" w:after="60"/>
            </w:pPr>
          </w:p>
        </w:tc>
      </w:tr>
      <w:tr w:rsidR="0097034A" w:rsidRPr="00A937B9" w:rsidTr="002A4886">
        <w:tc>
          <w:tcPr>
            <w:tcW w:w="868" w:type="dxa"/>
            <w:shd w:val="clear" w:color="auto" w:fill="auto"/>
          </w:tcPr>
          <w:p w:rsidR="0097034A" w:rsidRPr="00A937B9" w:rsidRDefault="0097034A" w:rsidP="002A4886">
            <w:pPr>
              <w:pStyle w:val="CorpoAltF0"/>
              <w:spacing w:before="60" w:after="60"/>
              <w:jc w:val="center"/>
              <w:rPr>
                <w:b/>
              </w:rPr>
            </w:pPr>
            <w:r w:rsidRPr="00A937B9">
              <w:rPr>
                <w:b/>
              </w:rPr>
              <w:t>132</w:t>
            </w:r>
          </w:p>
        </w:tc>
        <w:tc>
          <w:tcPr>
            <w:tcW w:w="4377" w:type="dxa"/>
            <w:shd w:val="clear" w:color="auto" w:fill="auto"/>
          </w:tcPr>
          <w:p w:rsidR="0097034A" w:rsidRPr="00A937B9" w:rsidRDefault="0097034A" w:rsidP="002A4886">
            <w:pPr>
              <w:pStyle w:val="CorpoAltF0"/>
              <w:spacing w:before="60" w:after="60"/>
            </w:pPr>
            <w:r w:rsidRPr="00A937B9">
              <w:t>CASPIE – Cassa Autonoma di Assistenza Sanitaria</w:t>
            </w:r>
          </w:p>
        </w:tc>
        <w:tc>
          <w:tcPr>
            <w:tcW w:w="1012" w:type="dxa"/>
            <w:shd w:val="clear" w:color="auto" w:fill="auto"/>
          </w:tcPr>
          <w:p w:rsidR="0097034A" w:rsidRPr="00A937B9" w:rsidRDefault="0097034A" w:rsidP="002A4886">
            <w:pPr>
              <w:pStyle w:val="CorpoAltF0"/>
              <w:spacing w:before="60" w:after="60"/>
              <w:jc w:val="center"/>
              <w:rPr>
                <w:b/>
              </w:rPr>
            </w:pPr>
          </w:p>
        </w:tc>
        <w:tc>
          <w:tcPr>
            <w:tcW w:w="994" w:type="dxa"/>
          </w:tcPr>
          <w:p w:rsidR="0097034A" w:rsidRPr="00A937B9" w:rsidRDefault="0097034A" w:rsidP="002A4886">
            <w:pPr>
              <w:pStyle w:val="CorpoAltF0"/>
              <w:spacing w:before="60" w:after="60"/>
              <w:jc w:val="center"/>
            </w:pPr>
          </w:p>
        </w:tc>
        <w:tc>
          <w:tcPr>
            <w:tcW w:w="2394" w:type="dxa"/>
            <w:shd w:val="clear" w:color="auto" w:fill="auto"/>
          </w:tcPr>
          <w:p w:rsidR="0097034A" w:rsidRPr="00A937B9" w:rsidRDefault="0097034A" w:rsidP="002A4886">
            <w:pPr>
              <w:pStyle w:val="CorpoAltF0"/>
              <w:spacing w:before="60" w:after="60"/>
            </w:pPr>
          </w:p>
        </w:tc>
      </w:tr>
    </w:tbl>
    <w:p w:rsidR="0097034A" w:rsidRPr="00A937B9" w:rsidRDefault="0097034A" w:rsidP="0097034A">
      <w:pPr>
        <w:pStyle w:val="CorpoAltF0"/>
        <w:rPr>
          <w:sz w:val="4"/>
          <w:szCs w:val="4"/>
        </w:rPr>
      </w:pPr>
    </w:p>
    <w:p w:rsidR="0097034A" w:rsidRPr="00A937B9" w:rsidRDefault="0097034A" w:rsidP="0097034A">
      <w:pPr>
        <w:pStyle w:val="CorpoAltF0"/>
        <w:rPr>
          <w:b/>
        </w:rPr>
      </w:pPr>
      <w:r w:rsidRPr="00A937B9">
        <w:rPr>
          <w:b/>
        </w:rPr>
        <w:t>Enti bilaterali</w:t>
      </w:r>
    </w:p>
    <w:p w:rsidR="0097034A" w:rsidRPr="00A937B9" w:rsidRDefault="0097034A" w:rsidP="0097034A">
      <w:pPr>
        <w:pStyle w:val="CorpoAltF0"/>
        <w:rPr>
          <w:sz w:val="4"/>
          <w:szCs w:val="4"/>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4382"/>
        <w:gridCol w:w="1004"/>
        <w:gridCol w:w="993"/>
        <w:gridCol w:w="2409"/>
      </w:tblGrid>
      <w:tr w:rsidR="0097034A" w:rsidRPr="00A937B9" w:rsidTr="002A4886">
        <w:tc>
          <w:tcPr>
            <w:tcW w:w="851" w:type="dxa"/>
            <w:shd w:val="clear" w:color="auto" w:fill="auto"/>
          </w:tcPr>
          <w:p w:rsidR="0097034A" w:rsidRPr="00A937B9" w:rsidRDefault="0097034A" w:rsidP="002A4886">
            <w:pPr>
              <w:pStyle w:val="CorpoAltF0"/>
              <w:spacing w:before="60" w:after="60"/>
              <w:jc w:val="center"/>
              <w:rPr>
                <w:b/>
              </w:rPr>
            </w:pPr>
            <w:r w:rsidRPr="00A937B9">
              <w:rPr>
                <w:b/>
              </w:rPr>
              <w:t>393</w:t>
            </w:r>
          </w:p>
        </w:tc>
        <w:tc>
          <w:tcPr>
            <w:tcW w:w="4382" w:type="dxa"/>
            <w:shd w:val="clear" w:color="auto" w:fill="auto"/>
          </w:tcPr>
          <w:p w:rsidR="0097034A" w:rsidRPr="00A937B9" w:rsidRDefault="0097034A" w:rsidP="002A4886">
            <w:pPr>
              <w:pStyle w:val="CorpoAltF0"/>
              <w:spacing w:before="60" w:after="60"/>
            </w:pPr>
            <w:r w:rsidRPr="00A937B9">
              <w:t xml:space="preserve">ELAV – Ente Bilaterale dei lavoratori </w:t>
            </w:r>
          </w:p>
        </w:tc>
        <w:tc>
          <w:tcPr>
            <w:tcW w:w="1004" w:type="dxa"/>
            <w:shd w:val="clear" w:color="auto" w:fill="auto"/>
          </w:tcPr>
          <w:p w:rsidR="0097034A" w:rsidRPr="00A937B9" w:rsidRDefault="0097034A" w:rsidP="002A4886">
            <w:pPr>
              <w:pStyle w:val="CorpoAltF0"/>
              <w:spacing w:before="60" w:after="60"/>
              <w:jc w:val="center"/>
              <w:rPr>
                <w:b/>
              </w:rPr>
            </w:pPr>
            <w:r w:rsidRPr="00A937B9">
              <w:rPr>
                <w:b/>
              </w:rPr>
              <w:t>ELAV</w:t>
            </w:r>
          </w:p>
        </w:tc>
        <w:tc>
          <w:tcPr>
            <w:tcW w:w="993" w:type="dxa"/>
          </w:tcPr>
          <w:p w:rsidR="0097034A" w:rsidRPr="00A937B9" w:rsidRDefault="0097034A" w:rsidP="002A4886">
            <w:pPr>
              <w:pStyle w:val="CorpoAltF0"/>
              <w:spacing w:before="60" w:after="60"/>
              <w:jc w:val="center"/>
            </w:pPr>
            <w:r w:rsidRPr="00A937B9">
              <w:rPr>
                <w:b/>
              </w:rPr>
              <w:t>ELAV</w:t>
            </w:r>
          </w:p>
        </w:tc>
        <w:tc>
          <w:tcPr>
            <w:tcW w:w="2409" w:type="dxa"/>
            <w:shd w:val="clear" w:color="auto" w:fill="auto"/>
          </w:tcPr>
          <w:p w:rsidR="0097034A" w:rsidRPr="00A937B9" w:rsidRDefault="0097034A" w:rsidP="002A4886">
            <w:pPr>
              <w:pStyle w:val="CorpoAltF0"/>
              <w:spacing w:before="60" w:after="60"/>
            </w:pPr>
            <w:proofErr w:type="spellStart"/>
            <w:r w:rsidRPr="00A937B9">
              <w:t>Ris</w:t>
            </w:r>
            <w:proofErr w:type="spellEnd"/>
            <w:r w:rsidRPr="00A937B9">
              <w:t>. 116/E del 12/09/2017</w:t>
            </w:r>
          </w:p>
        </w:tc>
      </w:tr>
      <w:tr w:rsidR="0097034A" w:rsidRPr="00A937B9" w:rsidTr="002A4886">
        <w:tc>
          <w:tcPr>
            <w:tcW w:w="851" w:type="dxa"/>
            <w:shd w:val="clear" w:color="auto" w:fill="auto"/>
          </w:tcPr>
          <w:p w:rsidR="0097034A" w:rsidRPr="00A937B9" w:rsidRDefault="0097034A" w:rsidP="002A4886">
            <w:pPr>
              <w:pStyle w:val="CorpoAltF0"/>
              <w:spacing w:before="60" w:after="60"/>
              <w:jc w:val="center"/>
              <w:rPr>
                <w:b/>
              </w:rPr>
            </w:pPr>
            <w:r w:rsidRPr="00A937B9">
              <w:rPr>
                <w:b/>
              </w:rPr>
              <w:t>394</w:t>
            </w:r>
          </w:p>
        </w:tc>
        <w:tc>
          <w:tcPr>
            <w:tcW w:w="4382" w:type="dxa"/>
            <w:shd w:val="clear" w:color="auto" w:fill="auto"/>
          </w:tcPr>
          <w:p w:rsidR="0097034A" w:rsidRPr="00A937B9" w:rsidRDefault="0097034A" w:rsidP="002A4886">
            <w:pPr>
              <w:pStyle w:val="CorpoAltF0"/>
              <w:spacing w:before="60" w:after="60"/>
            </w:pPr>
            <w:r w:rsidRPr="00A937B9">
              <w:t>EBICONF - Ente Bilaterale Nazionale Confederale</w:t>
            </w:r>
          </w:p>
        </w:tc>
        <w:tc>
          <w:tcPr>
            <w:tcW w:w="1004" w:type="dxa"/>
            <w:shd w:val="clear" w:color="auto" w:fill="auto"/>
          </w:tcPr>
          <w:p w:rsidR="0097034A" w:rsidRPr="00A937B9" w:rsidRDefault="0097034A" w:rsidP="002A4886">
            <w:pPr>
              <w:pStyle w:val="CorpoAltF0"/>
              <w:spacing w:before="60" w:after="60"/>
              <w:jc w:val="center"/>
              <w:rPr>
                <w:b/>
              </w:rPr>
            </w:pPr>
            <w:r w:rsidRPr="00A937B9">
              <w:rPr>
                <w:b/>
              </w:rPr>
              <w:t>EBCD</w:t>
            </w:r>
          </w:p>
        </w:tc>
        <w:tc>
          <w:tcPr>
            <w:tcW w:w="993" w:type="dxa"/>
          </w:tcPr>
          <w:p w:rsidR="0097034A" w:rsidRPr="00A937B9" w:rsidRDefault="0097034A" w:rsidP="002A4886">
            <w:pPr>
              <w:pStyle w:val="CorpoAltF0"/>
              <w:spacing w:before="60" w:after="60"/>
              <w:jc w:val="center"/>
            </w:pPr>
            <w:r w:rsidRPr="00A937B9">
              <w:rPr>
                <w:b/>
              </w:rPr>
              <w:t>EBCD</w:t>
            </w:r>
          </w:p>
        </w:tc>
        <w:tc>
          <w:tcPr>
            <w:tcW w:w="2409" w:type="dxa"/>
            <w:shd w:val="clear" w:color="auto" w:fill="auto"/>
          </w:tcPr>
          <w:p w:rsidR="0097034A" w:rsidRPr="00A937B9" w:rsidRDefault="0097034A" w:rsidP="002A4886">
            <w:pPr>
              <w:pStyle w:val="CorpoAltF0"/>
              <w:spacing w:before="60" w:after="60"/>
            </w:pPr>
            <w:proofErr w:type="spellStart"/>
            <w:r w:rsidRPr="00A937B9">
              <w:t>Ris</w:t>
            </w:r>
            <w:proofErr w:type="spellEnd"/>
            <w:r w:rsidRPr="00A937B9">
              <w:t>. 117/E del 12/09/2017</w:t>
            </w:r>
          </w:p>
        </w:tc>
      </w:tr>
      <w:tr w:rsidR="0097034A" w:rsidRPr="00A937B9" w:rsidTr="002A4886">
        <w:tc>
          <w:tcPr>
            <w:tcW w:w="851" w:type="dxa"/>
            <w:shd w:val="clear" w:color="auto" w:fill="auto"/>
          </w:tcPr>
          <w:p w:rsidR="0097034A" w:rsidRPr="00A937B9" w:rsidRDefault="0097034A" w:rsidP="002A4886">
            <w:pPr>
              <w:pStyle w:val="CorpoAltF0"/>
              <w:spacing w:before="60" w:after="60"/>
              <w:jc w:val="center"/>
              <w:rPr>
                <w:b/>
              </w:rPr>
            </w:pPr>
            <w:r w:rsidRPr="00A937B9">
              <w:rPr>
                <w:b/>
              </w:rPr>
              <w:t>395</w:t>
            </w:r>
          </w:p>
        </w:tc>
        <w:tc>
          <w:tcPr>
            <w:tcW w:w="4382" w:type="dxa"/>
            <w:shd w:val="clear" w:color="auto" w:fill="auto"/>
          </w:tcPr>
          <w:p w:rsidR="0097034A" w:rsidRPr="00A937B9" w:rsidRDefault="0097034A" w:rsidP="002A4886">
            <w:pPr>
              <w:pStyle w:val="CorpoAltF0"/>
              <w:spacing w:before="60" w:after="60"/>
            </w:pPr>
            <w:r w:rsidRPr="00A937B9">
              <w:t>EBIWELFARE – Ente Bilaterale Nazionale Socio-Sanitario-Assistenziale-Educativo</w:t>
            </w:r>
          </w:p>
        </w:tc>
        <w:tc>
          <w:tcPr>
            <w:tcW w:w="1004" w:type="dxa"/>
            <w:shd w:val="clear" w:color="auto" w:fill="auto"/>
          </w:tcPr>
          <w:p w:rsidR="0097034A" w:rsidRPr="00A937B9" w:rsidRDefault="0097034A" w:rsidP="002A4886">
            <w:pPr>
              <w:pStyle w:val="CorpoAltF0"/>
              <w:spacing w:before="60" w:after="60"/>
              <w:jc w:val="center"/>
              <w:rPr>
                <w:b/>
              </w:rPr>
            </w:pPr>
            <w:r w:rsidRPr="00A937B9">
              <w:rPr>
                <w:b/>
              </w:rPr>
              <w:t>EBFW</w:t>
            </w:r>
          </w:p>
        </w:tc>
        <w:tc>
          <w:tcPr>
            <w:tcW w:w="993" w:type="dxa"/>
          </w:tcPr>
          <w:p w:rsidR="0097034A" w:rsidRPr="00A937B9" w:rsidRDefault="0097034A" w:rsidP="002A4886">
            <w:pPr>
              <w:pStyle w:val="CorpoAltF0"/>
              <w:spacing w:before="60" w:after="60"/>
              <w:jc w:val="center"/>
            </w:pPr>
          </w:p>
        </w:tc>
        <w:tc>
          <w:tcPr>
            <w:tcW w:w="2409" w:type="dxa"/>
            <w:shd w:val="clear" w:color="auto" w:fill="auto"/>
          </w:tcPr>
          <w:p w:rsidR="0097034A" w:rsidRPr="00A937B9" w:rsidRDefault="0097034A" w:rsidP="002A4886">
            <w:pPr>
              <w:pStyle w:val="CorpoAltF0"/>
              <w:spacing w:before="60" w:after="60"/>
            </w:pPr>
            <w:proofErr w:type="spellStart"/>
            <w:r w:rsidRPr="00A937B9">
              <w:t>Ris</w:t>
            </w:r>
            <w:proofErr w:type="spellEnd"/>
            <w:r w:rsidRPr="00A937B9">
              <w:t>. 141/E del 17/11/2017</w:t>
            </w:r>
          </w:p>
        </w:tc>
      </w:tr>
    </w:tbl>
    <w:p w:rsidR="0097034A" w:rsidRPr="00A937B9" w:rsidRDefault="0097034A" w:rsidP="0097034A">
      <w:pPr>
        <w:pStyle w:val="CorpoAltF0"/>
      </w:pPr>
    </w:p>
    <w:p w:rsidR="0097034A" w:rsidRPr="00A937B9" w:rsidRDefault="0097034A" w:rsidP="0097034A">
      <w:pPr>
        <w:pStyle w:val="CorpoAltF0"/>
        <w:rPr>
          <w:b/>
        </w:rPr>
      </w:pPr>
      <w:r w:rsidRPr="00A937B9">
        <w:rPr>
          <w:b/>
        </w:rPr>
        <w:t>L’istituzione di tali codici interni avviene con l’aggiornamento delle tabelle fisse, eseguito automaticamente dal programma di conversione (CONVERS).</w:t>
      </w:r>
    </w:p>
    <w:p w:rsidR="0097034A" w:rsidRPr="00A937B9" w:rsidRDefault="0097034A" w:rsidP="0097034A">
      <w:pPr>
        <w:pStyle w:val="CorpoAltF0"/>
      </w:pPr>
    </w:p>
    <w:p w:rsidR="0097034A" w:rsidRPr="00A937B9" w:rsidRDefault="0097034A" w:rsidP="0097034A">
      <w:pPr>
        <w:pStyle w:val="CorpoAltF0"/>
      </w:pPr>
      <w:r w:rsidRPr="00A937B9">
        <w:t xml:space="preserve">Lo stesso comando di conversione provvede ad aggiornare le strutture di </w:t>
      </w:r>
      <w:proofErr w:type="spellStart"/>
      <w:r w:rsidRPr="00A937B9">
        <w:t>primanota</w:t>
      </w:r>
      <w:proofErr w:type="spellEnd"/>
      <w:r w:rsidRPr="00A937B9">
        <w:t xml:space="preserve"> </w:t>
      </w:r>
      <w:r w:rsidRPr="00A937B9">
        <w:rPr>
          <w:i/>
          <w:iCs/>
        </w:rPr>
        <w:t>standard</w:t>
      </w:r>
      <w:r w:rsidRPr="00A937B9">
        <w:t xml:space="preserve"> in funzione dei nuovi codici ente. Per l’aggiornamento delle </w:t>
      </w:r>
      <w:proofErr w:type="spellStart"/>
      <w:r w:rsidRPr="00A937B9">
        <w:t>primanota</w:t>
      </w:r>
      <w:proofErr w:type="spellEnd"/>
      <w:r w:rsidRPr="00A937B9">
        <w:t xml:space="preserve"> personalizzate è invece necessario eseguire il comando </w:t>
      </w:r>
      <w:r w:rsidRPr="00A937B9">
        <w:rPr>
          <w:b/>
        </w:rPr>
        <w:t>GEPRI</w:t>
      </w:r>
      <w:r w:rsidRPr="00A937B9">
        <w:t xml:space="preserve"> &gt; Utility &gt; 3-Aggiornamento PN duplicate (vedi MANUALE PAGHE </w:t>
      </w:r>
      <w:r w:rsidRPr="00A937B9">
        <w:rPr>
          <w:i/>
          <w:iCs/>
        </w:rPr>
        <w:t xml:space="preserve">“Archivi di base &gt; Anagrafiche e Gestioni &gt; Gestione </w:t>
      </w:r>
      <w:proofErr w:type="spellStart"/>
      <w:r w:rsidRPr="00A937B9">
        <w:rPr>
          <w:i/>
          <w:iCs/>
        </w:rPr>
        <w:t>Primanota</w:t>
      </w:r>
      <w:proofErr w:type="spellEnd"/>
      <w:r w:rsidRPr="00A937B9">
        <w:rPr>
          <w:i/>
          <w:iCs/>
        </w:rPr>
        <w:t xml:space="preserve"> &gt; Duplicazione quadrature”</w:t>
      </w:r>
      <w:r w:rsidRPr="00A937B9">
        <w:t>).</w:t>
      </w:r>
    </w:p>
    <w:p w:rsidR="0097034A" w:rsidRPr="00A937B9" w:rsidRDefault="0097034A" w:rsidP="0097034A">
      <w:pPr>
        <w:pStyle w:val="CorpoAltF0"/>
      </w:pPr>
    </w:p>
    <w:p w:rsidR="0097034A" w:rsidRPr="00A937B9" w:rsidRDefault="0097034A" w:rsidP="0097034A">
      <w:pPr>
        <w:pStyle w:val="CorpoAltF0"/>
      </w:pPr>
    </w:p>
    <w:p w:rsidR="0097034A" w:rsidRPr="00A937B9" w:rsidRDefault="0097034A" w:rsidP="0097034A">
      <w:pPr>
        <w:pStyle w:val="CorpoAltF0"/>
      </w:pPr>
      <w:r w:rsidRPr="00A937B9">
        <w:t>Per i seguenti codici ente interno, già presenti, è stato introdotto il relativo codice convenzione, utile per la compilazione dell’elemento &lt;</w:t>
      </w:r>
      <w:proofErr w:type="spellStart"/>
      <w:r w:rsidRPr="00A937B9">
        <w:t>CodConv</w:t>
      </w:r>
      <w:proofErr w:type="spellEnd"/>
      <w:r w:rsidRPr="00A937B9">
        <w:t>&gt; di &lt;</w:t>
      </w:r>
      <w:proofErr w:type="spellStart"/>
      <w:r w:rsidRPr="00A937B9">
        <w:t>ConvBilat</w:t>
      </w:r>
      <w:proofErr w:type="spellEnd"/>
      <w:r w:rsidRPr="00A937B9">
        <w:t>&gt; della denuncia UNIEMENS.</w:t>
      </w:r>
    </w:p>
    <w:p w:rsidR="0097034A" w:rsidRPr="00A937B9" w:rsidRDefault="0097034A" w:rsidP="0097034A">
      <w:pPr>
        <w:pStyle w:val="CorpoAltF0"/>
        <w:spacing w:before="60"/>
      </w:pPr>
      <w:r w:rsidRPr="00A937B9">
        <w:t>Il trasferimento avviene a partire dalle denunce di competenza del mese di novembre 2017 e nella stessa denuncia verranno automaticamente riportati gli importi arretrati con decorrenza luglio 2017:</w:t>
      </w:r>
    </w:p>
    <w:p w:rsidR="0097034A" w:rsidRPr="00A937B9" w:rsidRDefault="0097034A" w:rsidP="0097034A">
      <w:pPr>
        <w:pStyle w:val="CorpoAltF0"/>
      </w:pPr>
    </w:p>
    <w:tbl>
      <w:tblPr>
        <w:tblW w:w="963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7"/>
        <w:gridCol w:w="4380"/>
        <w:gridCol w:w="997"/>
        <w:gridCol w:w="994"/>
        <w:gridCol w:w="2420"/>
      </w:tblGrid>
      <w:tr w:rsidR="0097034A" w:rsidRPr="00A937B9" w:rsidTr="002A4886">
        <w:tc>
          <w:tcPr>
            <w:tcW w:w="847" w:type="dxa"/>
            <w:shd w:val="clear" w:color="auto" w:fill="auto"/>
          </w:tcPr>
          <w:p w:rsidR="0097034A" w:rsidRPr="00A937B9" w:rsidRDefault="0097034A" w:rsidP="002A4886">
            <w:pPr>
              <w:pStyle w:val="CorpoAltF0"/>
              <w:spacing w:before="60" w:after="60"/>
              <w:jc w:val="center"/>
              <w:rPr>
                <w:b/>
              </w:rPr>
            </w:pPr>
            <w:r w:rsidRPr="00A937B9">
              <w:rPr>
                <w:b/>
              </w:rPr>
              <w:t>CODICE ENTE</w:t>
            </w:r>
          </w:p>
        </w:tc>
        <w:tc>
          <w:tcPr>
            <w:tcW w:w="4380" w:type="dxa"/>
            <w:shd w:val="clear" w:color="auto" w:fill="auto"/>
          </w:tcPr>
          <w:p w:rsidR="0097034A" w:rsidRPr="00A937B9" w:rsidRDefault="0097034A" w:rsidP="002A4886">
            <w:pPr>
              <w:pStyle w:val="CorpoAltF0"/>
              <w:spacing w:before="60" w:after="60"/>
              <w:jc w:val="center"/>
              <w:rPr>
                <w:b/>
              </w:rPr>
            </w:pPr>
            <w:r w:rsidRPr="00A937B9">
              <w:rPr>
                <w:b/>
              </w:rPr>
              <w:t>DESCRIZIONE</w:t>
            </w:r>
          </w:p>
        </w:tc>
        <w:tc>
          <w:tcPr>
            <w:tcW w:w="997" w:type="dxa"/>
            <w:shd w:val="clear" w:color="auto" w:fill="auto"/>
          </w:tcPr>
          <w:p w:rsidR="0097034A" w:rsidRPr="00A937B9" w:rsidRDefault="0097034A" w:rsidP="002A4886">
            <w:pPr>
              <w:pStyle w:val="CorpoAltF0"/>
              <w:spacing w:before="60" w:after="60"/>
              <w:jc w:val="center"/>
              <w:rPr>
                <w:b/>
              </w:rPr>
            </w:pPr>
            <w:r w:rsidRPr="00A937B9">
              <w:rPr>
                <w:b/>
              </w:rPr>
              <w:t>COD.F24</w:t>
            </w:r>
          </w:p>
        </w:tc>
        <w:tc>
          <w:tcPr>
            <w:tcW w:w="994" w:type="dxa"/>
          </w:tcPr>
          <w:p w:rsidR="0097034A" w:rsidRPr="00A937B9" w:rsidRDefault="0097034A" w:rsidP="002A4886">
            <w:pPr>
              <w:pStyle w:val="CorpoAltF0"/>
              <w:spacing w:before="60" w:after="60"/>
              <w:jc w:val="center"/>
              <w:rPr>
                <w:b/>
              </w:rPr>
            </w:pPr>
            <w:proofErr w:type="spellStart"/>
            <w:r w:rsidRPr="00A937B9">
              <w:rPr>
                <w:b/>
              </w:rPr>
              <w:t>CodConv</w:t>
            </w:r>
            <w:proofErr w:type="spellEnd"/>
          </w:p>
        </w:tc>
        <w:tc>
          <w:tcPr>
            <w:tcW w:w="2420" w:type="dxa"/>
            <w:shd w:val="clear" w:color="auto" w:fill="auto"/>
          </w:tcPr>
          <w:p w:rsidR="0097034A" w:rsidRPr="00A937B9" w:rsidRDefault="0097034A" w:rsidP="002A4886">
            <w:pPr>
              <w:pStyle w:val="CorpoAltF0"/>
              <w:spacing w:before="60" w:after="60"/>
              <w:jc w:val="center"/>
              <w:rPr>
                <w:b/>
              </w:rPr>
            </w:pPr>
            <w:r w:rsidRPr="00A937B9">
              <w:rPr>
                <w:b/>
              </w:rPr>
              <w:t>Decorrenza</w:t>
            </w:r>
          </w:p>
        </w:tc>
      </w:tr>
      <w:tr w:rsidR="0097034A" w:rsidRPr="00A937B9" w:rsidTr="002A4886">
        <w:tc>
          <w:tcPr>
            <w:tcW w:w="847" w:type="dxa"/>
            <w:tcBorders>
              <w:top w:val="single" w:sz="4" w:space="0" w:color="auto"/>
              <w:left w:val="single" w:sz="4" w:space="0" w:color="auto"/>
              <w:bottom w:val="single" w:sz="4" w:space="0" w:color="auto"/>
              <w:right w:val="single" w:sz="4" w:space="0" w:color="auto"/>
            </w:tcBorders>
            <w:shd w:val="clear" w:color="auto" w:fill="auto"/>
          </w:tcPr>
          <w:p w:rsidR="0097034A" w:rsidRPr="00A937B9" w:rsidRDefault="0097034A" w:rsidP="002A4886">
            <w:pPr>
              <w:pStyle w:val="CorpoAltF0"/>
              <w:spacing w:before="60" w:after="60"/>
              <w:jc w:val="center"/>
              <w:rPr>
                <w:b/>
              </w:rPr>
            </w:pPr>
            <w:r w:rsidRPr="00A937B9">
              <w:rPr>
                <w:b/>
              </w:rPr>
              <w:t>129</w:t>
            </w:r>
          </w:p>
        </w:tc>
        <w:tc>
          <w:tcPr>
            <w:tcW w:w="4380" w:type="dxa"/>
            <w:tcBorders>
              <w:top w:val="single" w:sz="4" w:space="0" w:color="auto"/>
              <w:left w:val="single" w:sz="4" w:space="0" w:color="auto"/>
              <w:bottom w:val="single" w:sz="4" w:space="0" w:color="auto"/>
              <w:right w:val="single" w:sz="4" w:space="0" w:color="auto"/>
            </w:tcBorders>
            <w:shd w:val="clear" w:color="auto" w:fill="auto"/>
          </w:tcPr>
          <w:p w:rsidR="0097034A" w:rsidRPr="00A937B9" w:rsidRDefault="0097034A" w:rsidP="002A4886">
            <w:pPr>
              <w:pStyle w:val="CorpoAltF0"/>
              <w:spacing w:before="60" w:after="60"/>
              <w:ind w:left="79" w:right="79"/>
            </w:pPr>
            <w:r w:rsidRPr="00A937B9">
              <w:t>ASICOOP – Fondo Assistenza Sanitaria Integrativa per i lavoratori di Cooperative</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97034A" w:rsidRPr="00A937B9" w:rsidRDefault="0097034A" w:rsidP="002A4886">
            <w:pPr>
              <w:pStyle w:val="CorpoAltF0"/>
              <w:spacing w:before="60" w:after="60"/>
              <w:jc w:val="center"/>
              <w:rPr>
                <w:b/>
              </w:rPr>
            </w:pPr>
          </w:p>
        </w:tc>
        <w:tc>
          <w:tcPr>
            <w:tcW w:w="994" w:type="dxa"/>
            <w:tcBorders>
              <w:top w:val="single" w:sz="4" w:space="0" w:color="auto"/>
              <w:left w:val="single" w:sz="4" w:space="0" w:color="auto"/>
              <w:bottom w:val="single" w:sz="4" w:space="0" w:color="auto"/>
              <w:right w:val="single" w:sz="4" w:space="0" w:color="auto"/>
            </w:tcBorders>
          </w:tcPr>
          <w:p w:rsidR="0097034A" w:rsidRPr="00A937B9" w:rsidRDefault="0097034A" w:rsidP="002A4886">
            <w:pPr>
              <w:pStyle w:val="CorpoAltF0"/>
              <w:spacing w:before="60" w:after="60"/>
              <w:jc w:val="center"/>
              <w:rPr>
                <w:b/>
              </w:rPr>
            </w:pPr>
            <w:r w:rsidRPr="00A937B9">
              <w:rPr>
                <w:b/>
              </w:rPr>
              <w:t>ASI1</w:t>
            </w:r>
          </w:p>
        </w:tc>
        <w:tc>
          <w:tcPr>
            <w:tcW w:w="2420" w:type="dxa"/>
            <w:tcBorders>
              <w:top w:val="single" w:sz="4" w:space="0" w:color="auto"/>
              <w:left w:val="single" w:sz="4" w:space="0" w:color="auto"/>
              <w:bottom w:val="single" w:sz="4" w:space="0" w:color="auto"/>
              <w:right w:val="single" w:sz="4" w:space="0" w:color="auto"/>
            </w:tcBorders>
            <w:shd w:val="clear" w:color="auto" w:fill="auto"/>
          </w:tcPr>
          <w:p w:rsidR="0097034A" w:rsidRPr="00A937B9" w:rsidRDefault="0097034A" w:rsidP="002A4886">
            <w:pPr>
              <w:pStyle w:val="CorpoAltF0"/>
              <w:spacing w:before="60" w:after="60"/>
              <w:jc w:val="center"/>
            </w:pPr>
            <w:r w:rsidRPr="00A937B9">
              <w:t>Luglio 2017</w:t>
            </w:r>
          </w:p>
        </w:tc>
      </w:tr>
      <w:tr w:rsidR="0097034A" w:rsidRPr="00A937B9" w:rsidTr="002A4886">
        <w:tc>
          <w:tcPr>
            <w:tcW w:w="847" w:type="dxa"/>
            <w:tcBorders>
              <w:top w:val="single" w:sz="4" w:space="0" w:color="auto"/>
              <w:left w:val="single" w:sz="4" w:space="0" w:color="auto"/>
              <w:bottom w:val="single" w:sz="4" w:space="0" w:color="auto"/>
              <w:right w:val="single" w:sz="4" w:space="0" w:color="auto"/>
            </w:tcBorders>
            <w:shd w:val="clear" w:color="auto" w:fill="auto"/>
          </w:tcPr>
          <w:p w:rsidR="0097034A" w:rsidRPr="00A937B9" w:rsidRDefault="0097034A" w:rsidP="002A4886">
            <w:pPr>
              <w:pStyle w:val="CorpoAltF0"/>
              <w:spacing w:before="60" w:after="60"/>
              <w:jc w:val="center"/>
              <w:rPr>
                <w:b/>
              </w:rPr>
            </w:pPr>
            <w:r w:rsidRPr="00A937B9">
              <w:rPr>
                <w:b/>
              </w:rPr>
              <w:t>390</w:t>
            </w:r>
          </w:p>
        </w:tc>
        <w:tc>
          <w:tcPr>
            <w:tcW w:w="4380" w:type="dxa"/>
            <w:tcBorders>
              <w:top w:val="single" w:sz="4" w:space="0" w:color="auto"/>
              <w:left w:val="single" w:sz="4" w:space="0" w:color="auto"/>
              <w:bottom w:val="single" w:sz="4" w:space="0" w:color="auto"/>
              <w:right w:val="single" w:sz="4" w:space="0" w:color="auto"/>
            </w:tcBorders>
            <w:shd w:val="clear" w:color="auto" w:fill="auto"/>
          </w:tcPr>
          <w:p w:rsidR="0097034A" w:rsidRPr="00A937B9" w:rsidRDefault="0097034A" w:rsidP="002A4886">
            <w:pPr>
              <w:pStyle w:val="CorpoAltF0"/>
              <w:spacing w:before="60" w:after="60"/>
              <w:ind w:left="79" w:right="79"/>
            </w:pPr>
            <w:r w:rsidRPr="00A937B9">
              <w:t xml:space="preserve">EBICOST – Ente Bilaterale Commercio Servizi e Turismo </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97034A" w:rsidRPr="00A937B9" w:rsidRDefault="0097034A" w:rsidP="002A4886">
            <w:pPr>
              <w:pStyle w:val="CorpoAltF0"/>
              <w:spacing w:before="60" w:after="60"/>
              <w:jc w:val="center"/>
              <w:rPr>
                <w:b/>
              </w:rPr>
            </w:pPr>
          </w:p>
        </w:tc>
        <w:tc>
          <w:tcPr>
            <w:tcW w:w="994" w:type="dxa"/>
            <w:tcBorders>
              <w:top w:val="single" w:sz="4" w:space="0" w:color="auto"/>
              <w:left w:val="single" w:sz="4" w:space="0" w:color="auto"/>
              <w:bottom w:val="single" w:sz="4" w:space="0" w:color="auto"/>
              <w:right w:val="single" w:sz="4" w:space="0" w:color="auto"/>
            </w:tcBorders>
          </w:tcPr>
          <w:p w:rsidR="0097034A" w:rsidRPr="00A937B9" w:rsidRDefault="0097034A" w:rsidP="002A4886">
            <w:pPr>
              <w:pStyle w:val="CorpoAltF0"/>
              <w:spacing w:before="60" w:after="60"/>
              <w:jc w:val="center"/>
              <w:rPr>
                <w:b/>
              </w:rPr>
            </w:pPr>
            <w:r w:rsidRPr="00A937B9">
              <w:rPr>
                <w:b/>
              </w:rPr>
              <w:t>EBIC</w:t>
            </w:r>
          </w:p>
        </w:tc>
        <w:tc>
          <w:tcPr>
            <w:tcW w:w="2420" w:type="dxa"/>
            <w:tcBorders>
              <w:top w:val="single" w:sz="4" w:space="0" w:color="auto"/>
              <w:left w:val="single" w:sz="4" w:space="0" w:color="auto"/>
              <w:bottom w:val="single" w:sz="4" w:space="0" w:color="auto"/>
              <w:right w:val="single" w:sz="4" w:space="0" w:color="auto"/>
            </w:tcBorders>
            <w:shd w:val="clear" w:color="auto" w:fill="auto"/>
          </w:tcPr>
          <w:p w:rsidR="0097034A" w:rsidRPr="00A937B9" w:rsidRDefault="0097034A" w:rsidP="002A4886">
            <w:pPr>
              <w:pStyle w:val="CorpoAltF0"/>
              <w:spacing w:before="60" w:after="60"/>
              <w:jc w:val="center"/>
            </w:pPr>
            <w:r w:rsidRPr="00A937B9">
              <w:t>Luglio 2017</w:t>
            </w:r>
          </w:p>
        </w:tc>
      </w:tr>
      <w:tr w:rsidR="0097034A" w:rsidRPr="00A937B9" w:rsidTr="002A4886">
        <w:tc>
          <w:tcPr>
            <w:tcW w:w="847" w:type="dxa"/>
            <w:tcBorders>
              <w:top w:val="single" w:sz="4" w:space="0" w:color="auto"/>
              <w:left w:val="single" w:sz="4" w:space="0" w:color="auto"/>
              <w:bottom w:val="single" w:sz="4" w:space="0" w:color="auto"/>
              <w:right w:val="single" w:sz="4" w:space="0" w:color="auto"/>
            </w:tcBorders>
            <w:shd w:val="clear" w:color="auto" w:fill="auto"/>
          </w:tcPr>
          <w:p w:rsidR="0097034A" w:rsidRPr="00A937B9" w:rsidRDefault="0097034A" w:rsidP="002A4886">
            <w:pPr>
              <w:pStyle w:val="CorpoAltF0"/>
              <w:spacing w:before="60" w:after="60"/>
              <w:jc w:val="center"/>
              <w:rPr>
                <w:b/>
              </w:rPr>
            </w:pPr>
            <w:r w:rsidRPr="00A937B9">
              <w:rPr>
                <w:b/>
              </w:rPr>
              <w:t>391</w:t>
            </w:r>
          </w:p>
        </w:tc>
        <w:tc>
          <w:tcPr>
            <w:tcW w:w="4380" w:type="dxa"/>
            <w:tcBorders>
              <w:top w:val="single" w:sz="4" w:space="0" w:color="auto"/>
              <w:left w:val="single" w:sz="4" w:space="0" w:color="auto"/>
              <w:bottom w:val="single" w:sz="4" w:space="0" w:color="auto"/>
              <w:right w:val="single" w:sz="4" w:space="0" w:color="auto"/>
            </w:tcBorders>
            <w:shd w:val="clear" w:color="auto" w:fill="auto"/>
          </w:tcPr>
          <w:p w:rsidR="0097034A" w:rsidRPr="00A937B9" w:rsidRDefault="0097034A" w:rsidP="002A4886">
            <w:pPr>
              <w:pStyle w:val="CorpoAltF0"/>
              <w:spacing w:before="60" w:after="60"/>
              <w:ind w:left="79" w:right="57"/>
            </w:pPr>
            <w:r w:rsidRPr="00A937B9">
              <w:t>E.BI.GEN. – Ente Bilaterale Generale UGL/CONFIMEA</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97034A" w:rsidRPr="00A937B9" w:rsidRDefault="0097034A" w:rsidP="002A4886">
            <w:pPr>
              <w:pStyle w:val="CorpoAltF0"/>
              <w:spacing w:before="60" w:after="60"/>
              <w:jc w:val="center"/>
              <w:rPr>
                <w:b/>
              </w:rPr>
            </w:pPr>
          </w:p>
        </w:tc>
        <w:tc>
          <w:tcPr>
            <w:tcW w:w="994" w:type="dxa"/>
            <w:tcBorders>
              <w:top w:val="single" w:sz="4" w:space="0" w:color="auto"/>
              <w:left w:val="single" w:sz="4" w:space="0" w:color="auto"/>
              <w:bottom w:val="single" w:sz="4" w:space="0" w:color="auto"/>
              <w:right w:val="single" w:sz="4" w:space="0" w:color="auto"/>
            </w:tcBorders>
          </w:tcPr>
          <w:p w:rsidR="0097034A" w:rsidRPr="00A937B9" w:rsidRDefault="0097034A" w:rsidP="002A4886">
            <w:pPr>
              <w:pStyle w:val="CorpoAltF0"/>
              <w:spacing w:before="60" w:after="60"/>
              <w:jc w:val="center"/>
            </w:pPr>
            <w:r w:rsidRPr="00A937B9">
              <w:rPr>
                <w:b/>
              </w:rPr>
              <w:t>EBG1</w:t>
            </w:r>
          </w:p>
        </w:tc>
        <w:tc>
          <w:tcPr>
            <w:tcW w:w="2420" w:type="dxa"/>
            <w:tcBorders>
              <w:top w:val="single" w:sz="4" w:space="0" w:color="auto"/>
              <w:left w:val="single" w:sz="4" w:space="0" w:color="auto"/>
              <w:bottom w:val="single" w:sz="4" w:space="0" w:color="auto"/>
              <w:right w:val="single" w:sz="4" w:space="0" w:color="auto"/>
            </w:tcBorders>
            <w:shd w:val="clear" w:color="auto" w:fill="auto"/>
          </w:tcPr>
          <w:p w:rsidR="0097034A" w:rsidRPr="00A937B9" w:rsidRDefault="0097034A" w:rsidP="002A4886">
            <w:pPr>
              <w:pStyle w:val="CorpoAltF0"/>
              <w:spacing w:before="60" w:after="60"/>
              <w:jc w:val="center"/>
            </w:pPr>
            <w:r w:rsidRPr="00A937B9">
              <w:t>Luglio 2017</w:t>
            </w:r>
          </w:p>
        </w:tc>
      </w:tr>
      <w:tr w:rsidR="0097034A" w:rsidRPr="00A937B9" w:rsidTr="002A4886">
        <w:tc>
          <w:tcPr>
            <w:tcW w:w="847" w:type="dxa"/>
            <w:tcBorders>
              <w:top w:val="single" w:sz="4" w:space="0" w:color="auto"/>
              <w:left w:val="single" w:sz="4" w:space="0" w:color="auto"/>
              <w:bottom w:val="single" w:sz="4" w:space="0" w:color="auto"/>
              <w:right w:val="single" w:sz="4" w:space="0" w:color="auto"/>
            </w:tcBorders>
            <w:shd w:val="clear" w:color="auto" w:fill="auto"/>
          </w:tcPr>
          <w:p w:rsidR="0097034A" w:rsidRPr="00A937B9" w:rsidRDefault="0097034A" w:rsidP="002A4886">
            <w:pPr>
              <w:pStyle w:val="CorpoAltF0"/>
              <w:spacing w:before="60" w:after="60"/>
              <w:jc w:val="center"/>
              <w:rPr>
                <w:b/>
              </w:rPr>
            </w:pPr>
            <w:r w:rsidRPr="00A937B9">
              <w:rPr>
                <w:b/>
              </w:rPr>
              <w:t>392</w:t>
            </w:r>
          </w:p>
        </w:tc>
        <w:tc>
          <w:tcPr>
            <w:tcW w:w="4380" w:type="dxa"/>
            <w:tcBorders>
              <w:top w:val="single" w:sz="4" w:space="0" w:color="auto"/>
              <w:left w:val="single" w:sz="4" w:space="0" w:color="auto"/>
              <w:bottom w:val="single" w:sz="4" w:space="0" w:color="auto"/>
              <w:right w:val="single" w:sz="4" w:space="0" w:color="auto"/>
            </w:tcBorders>
            <w:shd w:val="clear" w:color="auto" w:fill="auto"/>
          </w:tcPr>
          <w:p w:rsidR="0097034A" w:rsidRPr="00A937B9" w:rsidRDefault="0097034A" w:rsidP="002A4886">
            <w:pPr>
              <w:pStyle w:val="CorpoAltF0"/>
              <w:spacing w:before="60" w:after="60"/>
              <w:ind w:left="79" w:right="79"/>
            </w:pPr>
            <w:r w:rsidRPr="00A937B9">
              <w:t xml:space="preserve">ENBAS – Ente Naz. Bilaterale Ambiente e Sicurezza </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97034A" w:rsidRPr="00A937B9" w:rsidRDefault="0097034A" w:rsidP="002A4886">
            <w:pPr>
              <w:pStyle w:val="CorpoAltF0"/>
              <w:spacing w:before="60" w:after="60"/>
              <w:jc w:val="center"/>
              <w:rPr>
                <w:b/>
              </w:rPr>
            </w:pPr>
          </w:p>
        </w:tc>
        <w:tc>
          <w:tcPr>
            <w:tcW w:w="994" w:type="dxa"/>
            <w:tcBorders>
              <w:top w:val="single" w:sz="4" w:space="0" w:color="auto"/>
              <w:left w:val="single" w:sz="4" w:space="0" w:color="auto"/>
              <w:bottom w:val="single" w:sz="4" w:space="0" w:color="auto"/>
              <w:right w:val="single" w:sz="4" w:space="0" w:color="auto"/>
            </w:tcBorders>
          </w:tcPr>
          <w:p w:rsidR="0097034A" w:rsidRPr="00A937B9" w:rsidRDefault="0097034A" w:rsidP="002A4886">
            <w:pPr>
              <w:pStyle w:val="CorpoAltF0"/>
              <w:spacing w:before="60" w:after="60"/>
              <w:jc w:val="center"/>
            </w:pPr>
            <w:r w:rsidRPr="00A937B9">
              <w:rPr>
                <w:b/>
              </w:rPr>
              <w:t>ENB1</w:t>
            </w:r>
          </w:p>
        </w:tc>
        <w:tc>
          <w:tcPr>
            <w:tcW w:w="2420" w:type="dxa"/>
            <w:tcBorders>
              <w:top w:val="single" w:sz="4" w:space="0" w:color="auto"/>
              <w:left w:val="single" w:sz="4" w:space="0" w:color="auto"/>
              <w:bottom w:val="single" w:sz="4" w:space="0" w:color="auto"/>
              <w:right w:val="single" w:sz="4" w:space="0" w:color="auto"/>
            </w:tcBorders>
            <w:shd w:val="clear" w:color="auto" w:fill="auto"/>
          </w:tcPr>
          <w:p w:rsidR="0097034A" w:rsidRPr="00A937B9" w:rsidRDefault="0097034A" w:rsidP="002A4886">
            <w:pPr>
              <w:pStyle w:val="CorpoAltF0"/>
              <w:spacing w:before="60" w:after="60"/>
              <w:jc w:val="center"/>
            </w:pPr>
            <w:r w:rsidRPr="00A937B9">
              <w:t>Luglio 2017</w:t>
            </w:r>
          </w:p>
        </w:tc>
      </w:tr>
    </w:tbl>
    <w:p w:rsidR="0097034A" w:rsidRPr="00A937B9" w:rsidRDefault="0097034A" w:rsidP="0097034A">
      <w:pPr>
        <w:pStyle w:val="CorpoAltF0"/>
      </w:pPr>
    </w:p>
    <w:p w:rsidR="0097034A" w:rsidRPr="00A937B9" w:rsidRDefault="0097034A" w:rsidP="0097034A">
      <w:pPr>
        <w:pStyle w:val="CorpoAltF0"/>
      </w:pPr>
    </w:p>
    <w:p w:rsidR="0097034A" w:rsidRPr="00A937B9" w:rsidRDefault="0097034A" w:rsidP="0097034A">
      <w:pPr>
        <w:pStyle w:val="CorpoAltF0"/>
      </w:pPr>
      <w:r w:rsidRPr="00A937B9">
        <w:t>Inserito il seguente codice interno, da collegare al campo “</w:t>
      </w:r>
      <w:r w:rsidRPr="00A937B9">
        <w:rPr>
          <w:i/>
        </w:rPr>
        <w:t>Codice fondo</w:t>
      </w:r>
      <w:r w:rsidRPr="00A937B9">
        <w:t>” della tabella “</w:t>
      </w:r>
      <w:r w:rsidRPr="00A937B9">
        <w:rPr>
          <w:i/>
        </w:rPr>
        <w:t>Anagrafica fondi</w:t>
      </w:r>
      <w:r w:rsidRPr="00A937B9">
        <w:t>” (</w:t>
      </w:r>
      <w:r w:rsidRPr="00A937B9">
        <w:rPr>
          <w:b/>
        </w:rPr>
        <w:t>TB0801</w:t>
      </w:r>
      <w:r w:rsidRPr="00A937B9">
        <w:t>):</w:t>
      </w:r>
    </w:p>
    <w:p w:rsidR="0097034A" w:rsidRPr="00A937B9" w:rsidRDefault="0097034A" w:rsidP="0097034A">
      <w:pPr>
        <w:pStyle w:val="CorpoAltF0"/>
      </w:pPr>
    </w:p>
    <w:tbl>
      <w:tblPr>
        <w:tblW w:w="9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3983"/>
        <w:gridCol w:w="2116"/>
        <w:gridCol w:w="2000"/>
      </w:tblGrid>
      <w:tr w:rsidR="0097034A" w:rsidRPr="00A937B9" w:rsidTr="002A4886">
        <w:tc>
          <w:tcPr>
            <w:tcW w:w="1790" w:type="dxa"/>
            <w:shd w:val="clear" w:color="auto" w:fill="auto"/>
          </w:tcPr>
          <w:p w:rsidR="0097034A" w:rsidRPr="00A937B9" w:rsidRDefault="0097034A" w:rsidP="002A4886">
            <w:pPr>
              <w:pStyle w:val="CorpoAltF0"/>
              <w:spacing w:before="60" w:after="60"/>
              <w:jc w:val="center"/>
              <w:rPr>
                <w:b/>
              </w:rPr>
            </w:pPr>
            <w:r w:rsidRPr="00A937B9">
              <w:rPr>
                <w:b/>
              </w:rPr>
              <w:t>COD. FONDO</w:t>
            </w:r>
          </w:p>
        </w:tc>
        <w:tc>
          <w:tcPr>
            <w:tcW w:w="3983" w:type="dxa"/>
            <w:shd w:val="clear" w:color="auto" w:fill="auto"/>
          </w:tcPr>
          <w:p w:rsidR="0097034A" w:rsidRPr="00A937B9" w:rsidRDefault="0097034A" w:rsidP="002A4886">
            <w:pPr>
              <w:pStyle w:val="CorpoAltF0"/>
              <w:spacing w:before="60" w:after="60"/>
              <w:jc w:val="center"/>
              <w:rPr>
                <w:b/>
              </w:rPr>
            </w:pPr>
            <w:r w:rsidRPr="00A937B9">
              <w:rPr>
                <w:b/>
              </w:rPr>
              <w:t>DESCRIZIONE</w:t>
            </w:r>
          </w:p>
        </w:tc>
        <w:tc>
          <w:tcPr>
            <w:tcW w:w="2116" w:type="dxa"/>
            <w:shd w:val="clear" w:color="auto" w:fill="auto"/>
          </w:tcPr>
          <w:p w:rsidR="0097034A" w:rsidRPr="00A937B9" w:rsidRDefault="0097034A" w:rsidP="002A4886">
            <w:pPr>
              <w:pStyle w:val="CorpoAltF0"/>
              <w:spacing w:before="60" w:after="60"/>
              <w:jc w:val="center"/>
              <w:rPr>
                <w:b/>
              </w:rPr>
            </w:pPr>
            <w:r w:rsidRPr="00A937B9">
              <w:rPr>
                <w:b/>
              </w:rPr>
              <w:t>COD. COVIP</w:t>
            </w:r>
          </w:p>
        </w:tc>
        <w:tc>
          <w:tcPr>
            <w:tcW w:w="2000" w:type="dxa"/>
          </w:tcPr>
          <w:p w:rsidR="0097034A" w:rsidRPr="00A937B9" w:rsidRDefault="0097034A" w:rsidP="002A4886">
            <w:pPr>
              <w:pStyle w:val="CorpoAltF0"/>
              <w:spacing w:before="60" w:after="60"/>
              <w:jc w:val="center"/>
              <w:rPr>
                <w:b/>
              </w:rPr>
            </w:pPr>
            <w:r w:rsidRPr="00A937B9">
              <w:rPr>
                <w:b/>
              </w:rPr>
              <w:t>Codice fiscale</w:t>
            </w:r>
          </w:p>
        </w:tc>
      </w:tr>
      <w:tr w:rsidR="0097034A" w:rsidRPr="00A937B9" w:rsidTr="002A4886">
        <w:tc>
          <w:tcPr>
            <w:tcW w:w="1790" w:type="dxa"/>
            <w:shd w:val="clear" w:color="auto" w:fill="auto"/>
          </w:tcPr>
          <w:p w:rsidR="0097034A" w:rsidRPr="00A937B9" w:rsidRDefault="0097034A" w:rsidP="002A4886">
            <w:pPr>
              <w:pStyle w:val="CorpoAltF0"/>
              <w:spacing w:before="60" w:after="60"/>
              <w:jc w:val="center"/>
            </w:pPr>
            <w:r w:rsidRPr="00A937B9">
              <w:rPr>
                <w:b/>
              </w:rPr>
              <w:t>688</w:t>
            </w:r>
          </w:p>
        </w:tc>
        <w:tc>
          <w:tcPr>
            <w:tcW w:w="3983" w:type="dxa"/>
            <w:shd w:val="clear" w:color="auto" w:fill="auto"/>
          </w:tcPr>
          <w:p w:rsidR="0097034A" w:rsidRPr="00A937B9" w:rsidRDefault="0097034A" w:rsidP="002A4886">
            <w:pPr>
              <w:pStyle w:val="CorpoAltF0"/>
              <w:spacing w:before="60" w:after="60"/>
            </w:pPr>
            <w:r w:rsidRPr="00A937B9">
              <w:t>ERGO PENSIONE DOMANI</w:t>
            </w:r>
          </w:p>
        </w:tc>
        <w:tc>
          <w:tcPr>
            <w:tcW w:w="2116" w:type="dxa"/>
            <w:shd w:val="clear" w:color="auto" w:fill="auto"/>
          </w:tcPr>
          <w:p w:rsidR="0097034A" w:rsidRPr="00A937B9" w:rsidRDefault="0097034A" w:rsidP="002A4886">
            <w:pPr>
              <w:pStyle w:val="CorpoAltF0"/>
              <w:spacing w:before="60" w:after="60"/>
              <w:jc w:val="center"/>
            </w:pPr>
            <w:r w:rsidRPr="00A937B9">
              <w:t>5096</w:t>
            </w:r>
          </w:p>
        </w:tc>
        <w:tc>
          <w:tcPr>
            <w:tcW w:w="2000" w:type="dxa"/>
          </w:tcPr>
          <w:p w:rsidR="0097034A" w:rsidRPr="00A937B9" w:rsidRDefault="0097034A" w:rsidP="002A4886">
            <w:pPr>
              <w:pStyle w:val="CorpoAltF0"/>
              <w:spacing w:before="60" w:after="60"/>
              <w:jc w:val="center"/>
            </w:pPr>
            <w:r w:rsidRPr="00A937B9">
              <w:t>03735041000</w:t>
            </w:r>
          </w:p>
        </w:tc>
      </w:tr>
    </w:tbl>
    <w:p w:rsidR="0097034A" w:rsidRPr="00A937B9" w:rsidRDefault="0097034A" w:rsidP="0097034A">
      <w:pPr>
        <w:pStyle w:val="CorpoAltF0"/>
      </w:pPr>
    </w:p>
    <w:p w:rsidR="0097034A" w:rsidRPr="00A937B9" w:rsidRDefault="0097034A" w:rsidP="0097034A">
      <w:pPr>
        <w:pStyle w:val="CorpoAltF0"/>
      </w:pPr>
    </w:p>
    <w:p w:rsidR="0097034A" w:rsidRPr="00A937B9" w:rsidRDefault="0097034A" w:rsidP="0097034A">
      <w:pPr>
        <w:pStyle w:val="CorpoAltF0"/>
      </w:pPr>
    </w:p>
    <w:p w:rsidR="0097034A" w:rsidRPr="00A937B9" w:rsidRDefault="0097034A" w:rsidP="0097034A">
      <w:pPr>
        <w:pStyle w:val="CorpoAltF0"/>
      </w:pPr>
    </w:p>
    <w:p w:rsidR="0097034A" w:rsidRPr="00A937B9" w:rsidRDefault="0097034A" w:rsidP="0097034A">
      <w:pPr>
        <w:pStyle w:val="CorpoAltF0"/>
      </w:pPr>
    </w:p>
    <w:p w:rsidR="0097034A" w:rsidRPr="00A937B9" w:rsidRDefault="0097034A" w:rsidP="0097034A">
      <w:pPr>
        <w:pStyle w:val="CorpoAltF0"/>
      </w:pPr>
    </w:p>
    <w:p w:rsidR="0097034A" w:rsidRPr="00A937B9" w:rsidRDefault="0097034A" w:rsidP="0097034A">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97034A" w:rsidRPr="00A937B9" w:rsidTr="002A4886">
        <w:trPr>
          <w:trHeight w:val="545"/>
        </w:trPr>
        <w:tc>
          <w:tcPr>
            <w:tcW w:w="6874" w:type="dxa"/>
            <w:tcBorders>
              <w:top w:val="single" w:sz="12" w:space="0" w:color="auto"/>
              <w:left w:val="nil"/>
              <w:bottom w:val="nil"/>
              <w:right w:val="nil"/>
            </w:tcBorders>
          </w:tcPr>
          <w:p w:rsidR="0097034A" w:rsidRPr="00A937B9" w:rsidRDefault="0097034A" w:rsidP="002A4886">
            <w:pPr>
              <w:pStyle w:val="Intestazione"/>
              <w:outlineLvl w:val="1"/>
              <w:rPr>
                <w:rFonts w:ascii="Arial" w:hAnsi="Arial" w:cs="Arial"/>
                <w:b/>
                <w:i/>
                <w:sz w:val="24"/>
                <w:szCs w:val="24"/>
              </w:rPr>
            </w:pPr>
            <w:r w:rsidRPr="00A937B9">
              <w:rPr>
                <w:rFonts w:ascii="Arial" w:hAnsi="Arial" w:cs="Arial"/>
                <w:b/>
                <w:i/>
                <w:sz w:val="24"/>
                <w:szCs w:val="24"/>
              </w:rPr>
              <w:t>Tabelle procedura &gt; Tabelle contributive</w:t>
            </w:r>
          </w:p>
        </w:tc>
        <w:tc>
          <w:tcPr>
            <w:tcW w:w="2901" w:type="dxa"/>
            <w:tcBorders>
              <w:top w:val="single" w:sz="4" w:space="0" w:color="auto"/>
              <w:left w:val="nil"/>
              <w:bottom w:val="nil"/>
              <w:right w:val="nil"/>
            </w:tcBorders>
            <w:shd w:val="clear" w:color="auto" w:fill="D9D9D9" w:themeFill="background1" w:themeFillShade="D9"/>
            <w:vAlign w:val="center"/>
          </w:tcPr>
          <w:p w:rsidR="0097034A" w:rsidRPr="00A937B9" w:rsidRDefault="0097034A" w:rsidP="002A4886">
            <w:pPr>
              <w:pStyle w:val="TS-titolo-Comando"/>
              <w:outlineLvl w:val="1"/>
            </w:pPr>
            <w:bookmarkStart w:id="330" w:name="TB0307_CtrCE_Eccezioni"/>
            <w:bookmarkStart w:id="331" w:name="_Toc485919823"/>
            <w:bookmarkStart w:id="332" w:name="_Toc486008688"/>
            <w:bookmarkStart w:id="333" w:name="_Toc497216146"/>
            <w:bookmarkStart w:id="334" w:name="_Toc499133598"/>
            <w:bookmarkStart w:id="335" w:name="_Toc499135172"/>
            <w:bookmarkEnd w:id="330"/>
            <w:r w:rsidRPr="00A937B9">
              <w:t>TB0307</w:t>
            </w:r>
            <w:bookmarkEnd w:id="331"/>
            <w:bookmarkEnd w:id="332"/>
            <w:bookmarkEnd w:id="333"/>
            <w:bookmarkEnd w:id="334"/>
            <w:bookmarkEnd w:id="335"/>
          </w:p>
        </w:tc>
      </w:tr>
    </w:tbl>
    <w:p w:rsidR="0097034A" w:rsidRPr="00A937B9" w:rsidRDefault="0097034A" w:rsidP="0097034A">
      <w:pPr>
        <w:pStyle w:val="TS-titolo-04"/>
      </w:pPr>
      <w:bookmarkStart w:id="336" w:name="_Toc444885166"/>
      <w:bookmarkStart w:id="337" w:name="_Toc446344719"/>
      <w:bookmarkStart w:id="338" w:name="_Toc446433487"/>
      <w:bookmarkStart w:id="339" w:name="_Toc449524425"/>
      <w:bookmarkStart w:id="340" w:name="_Toc449528167"/>
      <w:bookmarkStart w:id="341" w:name="_Toc464461509"/>
      <w:bookmarkStart w:id="342" w:name="_Toc477797045"/>
      <w:bookmarkStart w:id="343" w:name="_Toc477799123"/>
      <w:bookmarkStart w:id="344" w:name="_Toc485919824"/>
      <w:bookmarkStart w:id="345" w:name="_Toc486008689"/>
      <w:bookmarkStart w:id="346" w:name="_Toc497216147"/>
      <w:bookmarkStart w:id="347" w:name="_Toc499133599"/>
      <w:bookmarkStart w:id="348" w:name="_Toc499135173"/>
      <w:r w:rsidRPr="00A937B9">
        <w:t>Contributi casse edil</w:t>
      </w:r>
      <w:bookmarkEnd w:id="336"/>
      <w:bookmarkEnd w:id="337"/>
      <w:bookmarkEnd w:id="338"/>
      <w:bookmarkEnd w:id="339"/>
      <w:bookmarkEnd w:id="340"/>
      <w:bookmarkEnd w:id="341"/>
      <w:bookmarkEnd w:id="342"/>
      <w:bookmarkEnd w:id="343"/>
      <w:r w:rsidRPr="00A937B9">
        <w:t xml:space="preserve">i &gt; </w:t>
      </w:r>
      <w:bookmarkStart w:id="349" w:name="_Toc444620260"/>
      <w:bookmarkStart w:id="350" w:name="_Toc444885168"/>
      <w:bookmarkStart w:id="351" w:name="_Toc446344720"/>
      <w:bookmarkStart w:id="352" w:name="_Toc446433488"/>
      <w:bookmarkStart w:id="353" w:name="_Toc449524426"/>
      <w:bookmarkStart w:id="354" w:name="_Toc449528168"/>
      <w:bookmarkStart w:id="355" w:name="_Toc464461510"/>
      <w:bookmarkStart w:id="356" w:name="_Toc477797046"/>
      <w:bookmarkStart w:id="357" w:name="_Toc477799124"/>
      <w:r w:rsidRPr="00A937B9">
        <w:t>Scheda Eccezioni</w:t>
      </w:r>
      <w:bookmarkEnd w:id="344"/>
      <w:bookmarkEnd w:id="345"/>
      <w:bookmarkEnd w:id="346"/>
      <w:bookmarkEnd w:id="347"/>
      <w:bookmarkEnd w:id="349"/>
      <w:bookmarkEnd w:id="350"/>
      <w:bookmarkEnd w:id="351"/>
      <w:bookmarkEnd w:id="352"/>
      <w:bookmarkEnd w:id="353"/>
      <w:bookmarkEnd w:id="354"/>
      <w:bookmarkEnd w:id="355"/>
      <w:bookmarkEnd w:id="356"/>
      <w:bookmarkEnd w:id="357"/>
      <w:bookmarkEnd w:id="348"/>
    </w:p>
    <w:p w:rsidR="0097034A" w:rsidRPr="00A937B9" w:rsidRDefault="0097034A" w:rsidP="0097034A">
      <w:pPr>
        <w:pStyle w:val="TS-titolo-05"/>
      </w:pPr>
      <w:bookmarkStart w:id="358" w:name="_Toc499133600"/>
      <w:bookmarkStart w:id="359" w:name="_Toc497216148"/>
      <w:bookmarkStart w:id="360" w:name="_Toc499135174"/>
      <w:r w:rsidRPr="00A937B9">
        <w:t>Cassa Edile Artigiana Sardegna</w:t>
      </w:r>
      <w:bookmarkEnd w:id="358"/>
      <w:bookmarkEnd w:id="360"/>
    </w:p>
    <w:p w:rsidR="0097034A" w:rsidRPr="00A937B9" w:rsidRDefault="0097034A" w:rsidP="0097034A">
      <w:pPr>
        <w:pStyle w:val="CorpoAltF0"/>
        <w:tabs>
          <w:tab w:val="left" w:pos="284"/>
        </w:tabs>
        <w:spacing w:before="120"/>
      </w:pPr>
      <w:r w:rsidRPr="00A937B9">
        <w:t xml:space="preserve">La Cassa Edile Artigiana Sardegna prevede per gli eventi di </w:t>
      </w:r>
      <w:r w:rsidRPr="00A937B9">
        <w:rPr>
          <w:b/>
          <w:u w:val="single"/>
        </w:rPr>
        <w:t>infortunio</w:t>
      </w:r>
      <w:r w:rsidRPr="00A937B9">
        <w:t xml:space="preserve"> che la percentuale di integrazione relativa ai permessi retribuiti per il periodo di carenza sia pari </w:t>
      </w:r>
      <w:proofErr w:type="gramStart"/>
      <w:r w:rsidRPr="00A937B9">
        <w:t>ad</w:t>
      </w:r>
      <w:proofErr w:type="gramEnd"/>
      <w:r w:rsidRPr="00A937B9">
        <w:t xml:space="preserve"> 1,98%.</w:t>
      </w:r>
    </w:p>
    <w:p w:rsidR="0097034A" w:rsidRPr="00A937B9" w:rsidRDefault="0097034A" w:rsidP="0097034A">
      <w:pPr>
        <w:pStyle w:val="CorpoAltF0"/>
        <w:spacing w:before="60"/>
      </w:pPr>
      <w:r w:rsidRPr="00A937B9">
        <w:t xml:space="preserve">A tal fine è stato introdotto il nuovo </w:t>
      </w:r>
      <w:r w:rsidRPr="00A937B9">
        <w:rPr>
          <w:rFonts w:cs="Arial"/>
          <w:iCs/>
        </w:rPr>
        <w:t>“</w:t>
      </w:r>
      <w:r w:rsidRPr="00A937B9">
        <w:rPr>
          <w:rFonts w:cs="Arial"/>
          <w:i/>
          <w:iCs/>
        </w:rPr>
        <w:t>Codice calcolo particolare</w:t>
      </w:r>
      <w:r w:rsidRPr="00A937B9">
        <w:rPr>
          <w:rFonts w:cs="Arial"/>
          <w:iCs/>
        </w:rPr>
        <w:t>”</w:t>
      </w:r>
      <w:r w:rsidRPr="00A937B9">
        <w:rPr>
          <w:rFonts w:cs="Arial"/>
        </w:rPr>
        <w:t xml:space="preserve"> </w:t>
      </w:r>
      <w:r w:rsidRPr="00A937B9">
        <w:rPr>
          <w:b/>
        </w:rPr>
        <w:t>CA01</w:t>
      </w:r>
    </w:p>
    <w:p w:rsidR="0097034A" w:rsidRPr="00A937B9" w:rsidRDefault="0097034A" w:rsidP="0097034A">
      <w:pPr>
        <w:pStyle w:val="CorpoAltF0"/>
        <w:spacing w:before="120"/>
      </w:pPr>
      <w:r w:rsidRPr="00A937B9">
        <w:t xml:space="preserve">La scheda </w:t>
      </w:r>
      <w:r w:rsidRPr="00A937B9">
        <w:rPr>
          <w:i/>
        </w:rPr>
        <w:t>“Eccezioni”</w:t>
      </w:r>
      <w:r w:rsidRPr="00A937B9">
        <w:t xml:space="preserve"> deve essere compilata come sotto evidenziato.</w:t>
      </w:r>
    </w:p>
    <w:p w:rsidR="0097034A" w:rsidRPr="00A937B9" w:rsidRDefault="0097034A" w:rsidP="0097034A">
      <w:pPr>
        <w:pStyle w:val="CorpoAltF0"/>
      </w:pPr>
    </w:p>
    <w:p w:rsidR="0097034A" w:rsidRPr="00A937B9" w:rsidRDefault="0097034A" w:rsidP="0097034A">
      <w:pPr>
        <w:pStyle w:val="CorpoAltF0"/>
        <w:jc w:val="center"/>
        <w:rPr>
          <w:noProof/>
        </w:rPr>
      </w:pPr>
      <w:r w:rsidRPr="00A937B9">
        <w:rPr>
          <w:noProof/>
        </w:rPr>
        <w:drawing>
          <wp:inline distT="0" distB="0" distL="0" distR="0" wp14:anchorId="31856190" wp14:editId="64FCA2C2">
            <wp:extent cx="5040000" cy="293197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40000" cy="2931970"/>
                    </a:xfrm>
                    <a:prstGeom prst="rect">
                      <a:avLst/>
                    </a:prstGeom>
                  </pic:spPr>
                </pic:pic>
              </a:graphicData>
            </a:graphic>
          </wp:inline>
        </w:drawing>
      </w:r>
    </w:p>
    <w:p w:rsidR="0097034A" w:rsidRPr="00A937B9" w:rsidRDefault="0097034A" w:rsidP="0097034A">
      <w:pPr>
        <w:pStyle w:val="CorpoAltF0"/>
        <w:jc w:val="center"/>
      </w:pPr>
    </w:p>
    <w:p w:rsidR="0097034A" w:rsidRPr="00A937B9" w:rsidRDefault="0097034A" w:rsidP="0097034A">
      <w:pPr>
        <w:pStyle w:val="CorpoAltF0"/>
      </w:pPr>
      <w:r w:rsidRPr="00A937B9">
        <w:t xml:space="preserve">Per gli utenti </w:t>
      </w:r>
      <w:r w:rsidRPr="00A937B9">
        <w:rPr>
          <w:b/>
        </w:rPr>
        <w:t>CONTRA</w:t>
      </w:r>
      <w:r w:rsidRPr="00A937B9">
        <w:t xml:space="preserve"> con la versione </w:t>
      </w:r>
      <w:r w:rsidRPr="00A937B9">
        <w:rPr>
          <w:b/>
        </w:rPr>
        <w:t>CONTRA 2017.11.0</w:t>
      </w:r>
      <w:r w:rsidRPr="00A937B9">
        <w:t xml:space="preserve"> sono state fornite le seguenti nuove tabelle “</w:t>
      </w:r>
      <w:r w:rsidRPr="00A937B9">
        <w:rPr>
          <w:i/>
        </w:rPr>
        <w:t>Contributi casse edili</w:t>
      </w:r>
      <w:r w:rsidRPr="00A937B9">
        <w:t>” (</w:t>
      </w:r>
      <w:r w:rsidRPr="00A937B9">
        <w:rPr>
          <w:b/>
        </w:rPr>
        <w:t>TB0307</w:t>
      </w:r>
      <w:r w:rsidRPr="00A937B9">
        <w:t>), all’interno delle quali la scheda “</w:t>
      </w:r>
      <w:r w:rsidRPr="00A937B9">
        <w:rPr>
          <w:i/>
        </w:rPr>
        <w:t>Eccezioni</w:t>
      </w:r>
      <w:r w:rsidRPr="00A937B9">
        <w:t>” è stata compilata come sopra esposto:</w:t>
      </w:r>
    </w:p>
    <w:p w:rsidR="0097034A" w:rsidRPr="00A937B9" w:rsidRDefault="0097034A" w:rsidP="0097034A">
      <w:pPr>
        <w:pStyle w:val="CorpoAltF0"/>
        <w:numPr>
          <w:ilvl w:val="0"/>
          <w:numId w:val="24"/>
        </w:numPr>
        <w:spacing w:before="60"/>
        <w:ind w:left="284" w:hanging="242"/>
      </w:pPr>
      <w:r w:rsidRPr="00A937B9">
        <w:rPr>
          <w:b/>
        </w:rPr>
        <w:t>8708</w:t>
      </w:r>
      <w:r w:rsidRPr="00A937B9">
        <w:t xml:space="preserve"> CAES Nord Sardegna;</w:t>
      </w:r>
    </w:p>
    <w:p w:rsidR="0097034A" w:rsidRPr="00A937B9" w:rsidRDefault="0097034A" w:rsidP="0097034A">
      <w:pPr>
        <w:pStyle w:val="CorpoAltF0"/>
        <w:numPr>
          <w:ilvl w:val="0"/>
          <w:numId w:val="24"/>
        </w:numPr>
        <w:spacing w:before="60"/>
        <w:ind w:left="284" w:hanging="242"/>
      </w:pPr>
      <w:r w:rsidRPr="00A937B9">
        <w:rPr>
          <w:b/>
        </w:rPr>
        <w:t>8709</w:t>
      </w:r>
      <w:r w:rsidRPr="00A937B9">
        <w:t xml:space="preserve"> CAES Sud Sardegna;</w:t>
      </w:r>
    </w:p>
    <w:p w:rsidR="0097034A" w:rsidRPr="00A937B9" w:rsidRDefault="0097034A" w:rsidP="0097034A">
      <w:pPr>
        <w:pStyle w:val="CorpoAltF0"/>
        <w:numPr>
          <w:ilvl w:val="0"/>
          <w:numId w:val="24"/>
        </w:numPr>
        <w:spacing w:before="60"/>
        <w:ind w:left="284" w:hanging="242"/>
      </w:pPr>
      <w:r w:rsidRPr="00A937B9">
        <w:rPr>
          <w:b/>
        </w:rPr>
        <w:t>8710</w:t>
      </w:r>
      <w:r w:rsidRPr="00A937B9">
        <w:t xml:space="preserve"> CAES Oristano;</w:t>
      </w:r>
    </w:p>
    <w:p w:rsidR="0097034A" w:rsidRPr="00A937B9" w:rsidRDefault="0097034A" w:rsidP="0097034A">
      <w:pPr>
        <w:pStyle w:val="CorpoAltF0"/>
        <w:numPr>
          <w:ilvl w:val="0"/>
          <w:numId w:val="24"/>
        </w:numPr>
        <w:spacing w:before="60"/>
        <w:ind w:left="284" w:hanging="242"/>
      </w:pPr>
      <w:r w:rsidRPr="00A937B9">
        <w:rPr>
          <w:b/>
        </w:rPr>
        <w:t>8711</w:t>
      </w:r>
      <w:r w:rsidRPr="00A937B9">
        <w:t xml:space="preserve"> CAES Nuoro Ogliastra.</w:t>
      </w:r>
    </w:p>
    <w:p w:rsidR="0097034A" w:rsidRPr="00A937B9" w:rsidRDefault="0097034A" w:rsidP="0097034A">
      <w:pPr>
        <w:pStyle w:val="Ignora"/>
      </w:pPr>
      <w:r w:rsidRPr="00A937B9">
        <w:br w:type="page"/>
      </w:r>
    </w:p>
    <w:p w:rsidR="0097034A" w:rsidRPr="00A937B9" w:rsidRDefault="0097034A" w:rsidP="0097034A">
      <w:pPr>
        <w:pStyle w:val="CorpoAltF0"/>
      </w:pPr>
    </w:p>
    <w:p w:rsidR="0097034A" w:rsidRPr="00A937B9" w:rsidRDefault="0097034A" w:rsidP="0097034A">
      <w:pPr>
        <w:pStyle w:val="TS-titolo-05"/>
      </w:pPr>
      <w:bookmarkStart w:id="361" w:name="_Toc499133601"/>
      <w:bookmarkStart w:id="362" w:name="_Toc499135175"/>
      <w:r w:rsidRPr="00A937B9">
        <w:t xml:space="preserve">Cassa Edile di </w:t>
      </w:r>
      <w:bookmarkEnd w:id="359"/>
      <w:r w:rsidRPr="00A937B9">
        <w:t>Verbano, Cusio ed Ossola</w:t>
      </w:r>
      <w:bookmarkEnd w:id="361"/>
      <w:bookmarkEnd w:id="362"/>
    </w:p>
    <w:p w:rsidR="0097034A" w:rsidRPr="00A937B9" w:rsidRDefault="0097034A" w:rsidP="0097034A">
      <w:pPr>
        <w:pStyle w:val="CorpoAltF0"/>
        <w:tabs>
          <w:tab w:val="left" w:pos="284"/>
        </w:tabs>
        <w:spacing w:before="120"/>
      </w:pPr>
      <w:r w:rsidRPr="00A937B9">
        <w:t xml:space="preserve">La Cassa Edile di Verbano, Cusio ed Ossola, a decorrere dal 1° ottobre 2017 e fino al 30 settembre 2018, prevede, per gli eventi di </w:t>
      </w:r>
      <w:r w:rsidRPr="00A937B9">
        <w:rPr>
          <w:b/>
          <w:u w:val="single"/>
        </w:rPr>
        <w:t>malattia</w:t>
      </w:r>
      <w:r w:rsidRPr="00A937B9">
        <w:t>, che il periodo di carenza del primo evento sia integrato al 50% a carico della Cassa Edile e corrisposto al lavoratore direttamente dalla Cassa.</w:t>
      </w:r>
    </w:p>
    <w:p w:rsidR="0097034A" w:rsidRPr="00A937B9" w:rsidRDefault="0097034A" w:rsidP="0097034A">
      <w:pPr>
        <w:pStyle w:val="CorpoAltF0"/>
        <w:spacing w:before="60"/>
      </w:pPr>
      <w:r w:rsidRPr="00A937B9">
        <w:t>La suddetta disciplina è valida per tutti i settori.</w:t>
      </w:r>
    </w:p>
    <w:p w:rsidR="0097034A" w:rsidRPr="00A937B9" w:rsidRDefault="0097034A" w:rsidP="0097034A">
      <w:pPr>
        <w:pStyle w:val="CorpoAltF0"/>
        <w:spacing w:before="60"/>
      </w:pPr>
      <w:r w:rsidRPr="00A937B9">
        <w:t xml:space="preserve">A tal fine è stato modificato il calcolo associato al </w:t>
      </w:r>
      <w:r w:rsidRPr="00A937B9">
        <w:rPr>
          <w:rFonts w:cs="Arial"/>
          <w:iCs/>
        </w:rPr>
        <w:t>“</w:t>
      </w:r>
      <w:r w:rsidRPr="00A937B9">
        <w:rPr>
          <w:rFonts w:cs="Arial"/>
          <w:i/>
          <w:iCs/>
        </w:rPr>
        <w:t>Codice calcolo particolare</w:t>
      </w:r>
      <w:r w:rsidRPr="00A937B9">
        <w:rPr>
          <w:rFonts w:cs="Arial"/>
          <w:iCs/>
        </w:rPr>
        <w:t>”</w:t>
      </w:r>
      <w:r w:rsidRPr="00A937B9">
        <w:rPr>
          <w:rFonts w:cs="Arial"/>
        </w:rPr>
        <w:t xml:space="preserve"> </w:t>
      </w:r>
      <w:r w:rsidRPr="00A937B9">
        <w:rPr>
          <w:b/>
        </w:rPr>
        <w:t>VB00</w:t>
      </w:r>
      <w:r w:rsidRPr="00A937B9">
        <w:t>.</w:t>
      </w:r>
    </w:p>
    <w:p w:rsidR="0097034A" w:rsidRPr="00A937B9" w:rsidRDefault="0097034A" w:rsidP="0097034A">
      <w:pPr>
        <w:pStyle w:val="CorpoAltF0"/>
        <w:spacing w:before="120"/>
      </w:pPr>
      <w:r w:rsidRPr="00A937B9">
        <w:t xml:space="preserve">La scheda </w:t>
      </w:r>
      <w:r w:rsidRPr="00A937B9">
        <w:rPr>
          <w:i/>
        </w:rPr>
        <w:t>“Eccezioni”</w:t>
      </w:r>
      <w:r w:rsidRPr="00A937B9">
        <w:t xml:space="preserve"> non deve essere modificata.</w:t>
      </w:r>
    </w:p>
    <w:p w:rsidR="0097034A" w:rsidRPr="00A937B9" w:rsidRDefault="0097034A" w:rsidP="0097034A">
      <w:pPr>
        <w:pStyle w:val="CorpoAltF0"/>
      </w:pPr>
    </w:p>
    <w:p w:rsidR="0097034A" w:rsidRPr="00A937B9" w:rsidRDefault="0097034A" w:rsidP="0097034A">
      <w:pPr>
        <w:pStyle w:val="TS-titolo-05"/>
      </w:pPr>
      <w:bookmarkStart w:id="363" w:name="_Toc499133602"/>
      <w:bookmarkStart w:id="364" w:name="_Toc499135176"/>
      <w:r w:rsidRPr="00A937B9">
        <w:t>Cassa Edile di Bolzano</w:t>
      </w:r>
      <w:bookmarkEnd w:id="363"/>
      <w:bookmarkEnd w:id="364"/>
    </w:p>
    <w:p w:rsidR="0097034A" w:rsidRPr="00A937B9" w:rsidRDefault="0097034A" w:rsidP="0097034A">
      <w:pPr>
        <w:pStyle w:val="CorpoAltF0"/>
        <w:tabs>
          <w:tab w:val="left" w:pos="284"/>
        </w:tabs>
        <w:spacing w:before="120"/>
      </w:pPr>
      <w:r w:rsidRPr="00A937B9">
        <w:t xml:space="preserve">La Cassa Edile di Bolzano per gli eventi di </w:t>
      </w:r>
      <w:r w:rsidRPr="00A937B9">
        <w:rPr>
          <w:b/>
          <w:u w:val="single"/>
        </w:rPr>
        <w:t>infortunio</w:t>
      </w:r>
      <w:r w:rsidRPr="00A937B9">
        <w:t xml:space="preserve"> prevede che le percentuali di maggiorazione ed accantonamento a titolo di ferie e gratifica natalizia non varino in relazione ai diversi periodi dell’infortunio e siano sempre pari, rispettivamente, a 7,4% e 5,7%.</w:t>
      </w:r>
    </w:p>
    <w:p w:rsidR="0097034A" w:rsidRPr="00A937B9" w:rsidRDefault="0097034A" w:rsidP="0097034A">
      <w:pPr>
        <w:pStyle w:val="CorpoAltF0"/>
        <w:spacing w:before="60"/>
      </w:pPr>
      <w:r w:rsidRPr="00A937B9">
        <w:t xml:space="preserve">A tal fine è stato modificato il calcolo associato al </w:t>
      </w:r>
      <w:r w:rsidRPr="00A937B9">
        <w:rPr>
          <w:rFonts w:cs="Arial"/>
          <w:iCs/>
        </w:rPr>
        <w:t>“</w:t>
      </w:r>
      <w:r w:rsidRPr="00A937B9">
        <w:rPr>
          <w:rFonts w:cs="Arial"/>
          <w:i/>
          <w:iCs/>
        </w:rPr>
        <w:t>Codice calcolo particolare</w:t>
      </w:r>
      <w:r w:rsidRPr="00A937B9">
        <w:rPr>
          <w:rFonts w:cs="Arial"/>
          <w:iCs/>
        </w:rPr>
        <w:t>”</w:t>
      </w:r>
      <w:r w:rsidRPr="00A937B9">
        <w:rPr>
          <w:rFonts w:cs="Arial"/>
        </w:rPr>
        <w:t xml:space="preserve"> </w:t>
      </w:r>
      <w:r w:rsidRPr="00A937B9">
        <w:t>“</w:t>
      </w:r>
      <w:r w:rsidRPr="00A937B9">
        <w:rPr>
          <w:b/>
        </w:rPr>
        <w:t>BZ00</w:t>
      </w:r>
      <w:r w:rsidRPr="00A937B9">
        <w:t xml:space="preserve">”, per generare per tutti i periodi dell’evento la voce di maggiorazione e di accantonamento di </w:t>
      </w:r>
      <w:r w:rsidRPr="00A937B9">
        <w:rPr>
          <w:b/>
        </w:rPr>
        <w:t>TB0902</w:t>
      </w:r>
      <w:r w:rsidRPr="00A937B9">
        <w:t xml:space="preserve"> relative al 1° periodo.</w:t>
      </w:r>
    </w:p>
    <w:p w:rsidR="0097034A" w:rsidRPr="00A937B9" w:rsidRDefault="0097034A" w:rsidP="0097034A">
      <w:pPr>
        <w:pStyle w:val="CorpoAltF0"/>
        <w:spacing w:before="120"/>
      </w:pPr>
      <w:r w:rsidRPr="00A937B9">
        <w:t xml:space="preserve">La scheda </w:t>
      </w:r>
      <w:r w:rsidRPr="00A937B9">
        <w:rPr>
          <w:i/>
        </w:rPr>
        <w:t>“Eccezioni”</w:t>
      </w:r>
      <w:r w:rsidRPr="00A937B9">
        <w:t xml:space="preserve"> non deve essere modificata.</w:t>
      </w:r>
    </w:p>
    <w:p w:rsidR="0097034A" w:rsidRPr="00A937B9" w:rsidRDefault="0097034A" w:rsidP="0097034A">
      <w:pPr>
        <w:pStyle w:val="CorpoAltF0"/>
      </w:pPr>
    </w:p>
    <w:p w:rsidR="0097034A" w:rsidRPr="00A937B9" w:rsidRDefault="0097034A" w:rsidP="0097034A">
      <w:pPr>
        <w:pStyle w:val="CorpoAltF0"/>
      </w:pPr>
    </w:p>
    <w:p w:rsidR="0097034A" w:rsidRPr="00A937B9" w:rsidRDefault="0097034A" w:rsidP="0097034A">
      <w:pPr>
        <w:pStyle w:val="CorpoAltF0"/>
      </w:pPr>
    </w:p>
    <w:p w:rsidR="0097034A" w:rsidRPr="00A937B9" w:rsidRDefault="0097034A" w:rsidP="0097034A">
      <w:pPr>
        <w:pStyle w:val="CorpoAltF0"/>
      </w:pPr>
    </w:p>
    <w:p w:rsidR="0097034A" w:rsidRPr="00A937B9" w:rsidRDefault="0097034A" w:rsidP="0097034A">
      <w:pPr>
        <w:pStyle w:val="CorpoAltF0"/>
      </w:pPr>
    </w:p>
    <w:p w:rsidR="0097034A" w:rsidRPr="00A937B9" w:rsidRDefault="0097034A" w:rsidP="0097034A">
      <w:pPr>
        <w:pStyle w:val="CorpoAltF0"/>
      </w:pPr>
    </w:p>
    <w:p w:rsidR="0097034A" w:rsidRPr="00A937B9" w:rsidRDefault="0097034A" w:rsidP="0097034A">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97034A" w:rsidRPr="00A937B9" w:rsidTr="002A4886">
        <w:trPr>
          <w:trHeight w:val="545"/>
        </w:trPr>
        <w:tc>
          <w:tcPr>
            <w:tcW w:w="6874" w:type="dxa"/>
            <w:tcBorders>
              <w:top w:val="single" w:sz="12" w:space="0" w:color="auto"/>
              <w:left w:val="nil"/>
              <w:bottom w:val="nil"/>
              <w:right w:val="nil"/>
            </w:tcBorders>
          </w:tcPr>
          <w:p w:rsidR="0097034A" w:rsidRPr="00A937B9" w:rsidRDefault="0097034A" w:rsidP="002A4886">
            <w:pPr>
              <w:pStyle w:val="Intestazione"/>
              <w:outlineLvl w:val="1"/>
              <w:rPr>
                <w:rFonts w:ascii="Arial" w:hAnsi="Arial" w:cs="Arial"/>
                <w:b/>
                <w:i/>
                <w:sz w:val="24"/>
                <w:szCs w:val="24"/>
              </w:rPr>
            </w:pPr>
            <w:r w:rsidRPr="00A937B9">
              <w:rPr>
                <w:rFonts w:ascii="Arial" w:hAnsi="Arial" w:cs="Arial"/>
                <w:b/>
                <w:i/>
                <w:sz w:val="24"/>
                <w:szCs w:val="24"/>
              </w:rPr>
              <w:t>Tabelle procedura &gt; Tabelle contributive</w:t>
            </w:r>
          </w:p>
        </w:tc>
        <w:tc>
          <w:tcPr>
            <w:tcW w:w="2901" w:type="dxa"/>
            <w:tcBorders>
              <w:top w:val="single" w:sz="4" w:space="0" w:color="auto"/>
              <w:left w:val="nil"/>
              <w:bottom w:val="nil"/>
              <w:right w:val="nil"/>
            </w:tcBorders>
            <w:shd w:val="clear" w:color="auto" w:fill="D9D9D9" w:themeFill="background1" w:themeFillShade="D9"/>
            <w:vAlign w:val="center"/>
          </w:tcPr>
          <w:p w:rsidR="0097034A" w:rsidRPr="00A937B9" w:rsidRDefault="0097034A" w:rsidP="002A4886">
            <w:pPr>
              <w:pStyle w:val="TS-titolo-Comando"/>
              <w:outlineLvl w:val="1"/>
            </w:pPr>
            <w:bookmarkStart w:id="365" w:name="TB0313"/>
            <w:bookmarkStart w:id="366" w:name="_Toc499133603"/>
            <w:bookmarkStart w:id="367" w:name="_Toc499135177"/>
            <w:bookmarkEnd w:id="365"/>
            <w:r w:rsidRPr="00A937B9">
              <w:t>TB0313</w:t>
            </w:r>
            <w:bookmarkEnd w:id="366"/>
            <w:bookmarkEnd w:id="367"/>
          </w:p>
        </w:tc>
      </w:tr>
    </w:tbl>
    <w:p w:rsidR="0097034A" w:rsidRPr="00A937B9" w:rsidRDefault="0097034A" w:rsidP="0097034A">
      <w:pPr>
        <w:pStyle w:val="TS-titolo-04"/>
        <w:outlineLvl w:val="2"/>
      </w:pPr>
      <w:bookmarkStart w:id="368" w:name="_Toc499133604"/>
      <w:bookmarkStart w:id="369" w:name="_Toc499135178"/>
      <w:r w:rsidRPr="00A937B9">
        <w:t>Tabella collegamento altri contributi</w:t>
      </w:r>
      <w:bookmarkEnd w:id="368"/>
      <w:bookmarkEnd w:id="369"/>
    </w:p>
    <w:p w:rsidR="0097034A" w:rsidRPr="00A937B9" w:rsidRDefault="0097034A" w:rsidP="0097034A">
      <w:pPr>
        <w:pStyle w:val="CorpoAltF0"/>
        <w:spacing w:before="120"/>
      </w:pPr>
      <w:r w:rsidRPr="00A937B9">
        <w:t>Nella tabella in oggetto la sezione “</w:t>
      </w:r>
      <w:r w:rsidRPr="00A937B9">
        <w:rPr>
          <w:i/>
        </w:rPr>
        <w:t>Parametri aggiuntivi</w:t>
      </w:r>
      <w:r w:rsidRPr="00A937B9">
        <w:t xml:space="preserve">” (accessibile mediante il pulsante funzione </w:t>
      </w:r>
      <w:r w:rsidRPr="00A937B9">
        <w:rPr>
          <w:i/>
        </w:rPr>
        <w:t>F5</w:t>
      </w:r>
      <w:r w:rsidRPr="00A937B9">
        <w:t>) è stata implementata con l’inserimento del campo “</w:t>
      </w:r>
      <w:r w:rsidRPr="00A937B9">
        <w:rPr>
          <w:i/>
        </w:rPr>
        <w:t>Gruppo contratto dipendente</w:t>
      </w:r>
      <w:r w:rsidRPr="00A937B9">
        <w:t>”, che consente il collegamento automatico delle tabelle “</w:t>
      </w:r>
      <w:r w:rsidRPr="00A937B9">
        <w:rPr>
          <w:i/>
        </w:rPr>
        <w:t>Contributi altri enti</w:t>
      </w:r>
      <w:r w:rsidRPr="00A937B9">
        <w:t>” (</w:t>
      </w:r>
      <w:r w:rsidRPr="00A937B9">
        <w:rPr>
          <w:b/>
        </w:rPr>
        <w:t>TB0306</w:t>
      </w:r>
      <w:r w:rsidRPr="00A937B9">
        <w:t>) presenti nel corrispondente rigo, solo ai dipendenti ai quali viene applicato il gruppo contratto indicato.</w:t>
      </w:r>
    </w:p>
    <w:p w:rsidR="0097034A" w:rsidRPr="00A937B9" w:rsidRDefault="0097034A" w:rsidP="0097034A">
      <w:pPr>
        <w:pStyle w:val="CorpoAltF0"/>
      </w:pPr>
    </w:p>
    <w:p w:rsidR="0097034A" w:rsidRPr="00A937B9" w:rsidRDefault="0097034A" w:rsidP="0097034A">
      <w:pPr>
        <w:pStyle w:val="CorpoAltF0"/>
        <w:jc w:val="center"/>
      </w:pPr>
      <w:r w:rsidRPr="00A937B9">
        <w:rPr>
          <w:noProof/>
        </w:rPr>
        <w:drawing>
          <wp:inline distT="0" distB="0" distL="0" distR="0" wp14:anchorId="4AFCD753" wp14:editId="60DD65BD">
            <wp:extent cx="4320000" cy="122785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20000" cy="1227850"/>
                    </a:xfrm>
                    <a:prstGeom prst="rect">
                      <a:avLst/>
                    </a:prstGeom>
                  </pic:spPr>
                </pic:pic>
              </a:graphicData>
            </a:graphic>
          </wp:inline>
        </w:drawing>
      </w:r>
    </w:p>
    <w:p w:rsidR="0097034A" w:rsidRPr="00A937B9" w:rsidRDefault="0097034A" w:rsidP="0097034A">
      <w:pPr>
        <w:pStyle w:val="CorpoAltF0"/>
      </w:pPr>
    </w:p>
    <w:p w:rsidR="0097034A" w:rsidRPr="00A937B9" w:rsidRDefault="0097034A" w:rsidP="0097034A">
      <w:pPr>
        <w:pStyle w:val="CorpoAltF0"/>
      </w:pPr>
      <w:r w:rsidRPr="00A937B9">
        <w:t>Tale implementazione è utile nei casi in cui all’interno della stessa filiale vengano gestiti dipendenti con gruppi contratto diversi, che fanno riferimento ad enti bilaterali e assistenziali differenti.</w:t>
      </w:r>
    </w:p>
    <w:p w:rsidR="0097034A" w:rsidRPr="00A937B9" w:rsidRDefault="0097034A" w:rsidP="0097034A">
      <w:pPr>
        <w:pStyle w:val="CorpoAltF0"/>
      </w:pPr>
    </w:p>
    <w:p w:rsidR="0097034A" w:rsidRPr="00A937B9" w:rsidRDefault="0097034A" w:rsidP="0097034A">
      <w:pPr>
        <w:pStyle w:val="CorpoAltF0"/>
      </w:pPr>
      <w:r w:rsidRPr="00A937B9">
        <w:t>Il comando di conversione degli archivi provvede a valorizzare il nuovo campo a “spazio”.</w:t>
      </w:r>
    </w:p>
    <w:p w:rsidR="0097034A" w:rsidRPr="00A937B9" w:rsidRDefault="0097034A" w:rsidP="0097034A">
      <w:pPr>
        <w:pStyle w:val="CorpoAltF0"/>
      </w:pPr>
      <w:r w:rsidRPr="00A937B9">
        <w:br w:type="page"/>
      </w:r>
    </w:p>
    <w:p w:rsidR="0097034A" w:rsidRPr="00A937B9" w:rsidRDefault="0097034A" w:rsidP="0097034A">
      <w:pPr>
        <w:pStyle w:val="CorpoAltF0"/>
      </w:pPr>
    </w:p>
    <w:p w:rsidR="0097034A" w:rsidRPr="00A937B9" w:rsidRDefault="0097034A" w:rsidP="0097034A">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97034A" w:rsidRPr="00A937B9" w:rsidTr="002A4886">
        <w:trPr>
          <w:trHeight w:val="545"/>
        </w:trPr>
        <w:tc>
          <w:tcPr>
            <w:tcW w:w="6874" w:type="dxa"/>
            <w:tcBorders>
              <w:top w:val="single" w:sz="12" w:space="0" w:color="auto"/>
              <w:left w:val="nil"/>
              <w:bottom w:val="nil"/>
              <w:right w:val="nil"/>
            </w:tcBorders>
          </w:tcPr>
          <w:p w:rsidR="0097034A" w:rsidRPr="00A937B9" w:rsidRDefault="0097034A" w:rsidP="002A4886">
            <w:pPr>
              <w:pStyle w:val="Intestazione"/>
              <w:outlineLvl w:val="1"/>
              <w:rPr>
                <w:rFonts w:ascii="Arial" w:hAnsi="Arial" w:cs="Arial"/>
                <w:b/>
                <w:i/>
                <w:sz w:val="24"/>
                <w:szCs w:val="24"/>
              </w:rPr>
            </w:pPr>
            <w:r w:rsidRPr="00A937B9">
              <w:rPr>
                <w:rFonts w:ascii="Arial" w:hAnsi="Arial" w:cs="Arial"/>
                <w:b/>
                <w:i/>
                <w:sz w:val="24"/>
                <w:szCs w:val="24"/>
              </w:rPr>
              <w:t>Tabelle procedura &gt; Tabelle malattia / infortunio / CIG</w:t>
            </w:r>
          </w:p>
        </w:tc>
        <w:tc>
          <w:tcPr>
            <w:tcW w:w="2901" w:type="dxa"/>
            <w:tcBorders>
              <w:top w:val="single" w:sz="4" w:space="0" w:color="auto"/>
              <w:left w:val="nil"/>
              <w:bottom w:val="nil"/>
              <w:right w:val="nil"/>
            </w:tcBorders>
            <w:shd w:val="clear" w:color="auto" w:fill="D9D9D9" w:themeFill="background1" w:themeFillShade="D9"/>
            <w:vAlign w:val="center"/>
          </w:tcPr>
          <w:p w:rsidR="0097034A" w:rsidRPr="00A937B9" w:rsidRDefault="0097034A" w:rsidP="002A4886">
            <w:pPr>
              <w:pStyle w:val="TS-titolo-Comando"/>
              <w:outlineLvl w:val="1"/>
            </w:pPr>
            <w:bookmarkStart w:id="370" w:name="_Toc471922754"/>
            <w:bookmarkStart w:id="371" w:name="_Toc473621543"/>
            <w:bookmarkStart w:id="372" w:name="_Toc473644276"/>
            <w:bookmarkStart w:id="373" w:name="_Toc477247266"/>
            <w:bookmarkStart w:id="374" w:name="_Toc485810273"/>
            <w:bookmarkStart w:id="375" w:name="_Toc488398281"/>
            <w:bookmarkStart w:id="376" w:name="_Toc493752263"/>
            <w:bookmarkStart w:id="377" w:name="_Toc499133605"/>
            <w:bookmarkStart w:id="378" w:name="_Toc499135179"/>
            <w:r w:rsidRPr="00A937B9">
              <w:t>TB090</w:t>
            </w:r>
            <w:bookmarkEnd w:id="370"/>
            <w:r w:rsidRPr="00A937B9">
              <w:t>1</w:t>
            </w:r>
            <w:bookmarkEnd w:id="371"/>
            <w:bookmarkEnd w:id="372"/>
            <w:bookmarkEnd w:id="373"/>
            <w:bookmarkEnd w:id="374"/>
            <w:bookmarkEnd w:id="375"/>
            <w:bookmarkEnd w:id="376"/>
            <w:bookmarkEnd w:id="377"/>
            <w:bookmarkEnd w:id="378"/>
          </w:p>
        </w:tc>
      </w:tr>
    </w:tbl>
    <w:p w:rsidR="0097034A" w:rsidRPr="00A937B9" w:rsidRDefault="0097034A" w:rsidP="0097034A">
      <w:pPr>
        <w:pStyle w:val="TS-titolo-04"/>
      </w:pPr>
      <w:bookmarkStart w:id="379" w:name="TB0901_cod_comp"/>
      <w:bookmarkStart w:id="380" w:name="_Toc378770970"/>
      <w:bookmarkStart w:id="381" w:name="_Toc380506444"/>
      <w:bookmarkStart w:id="382" w:name="_Toc380511022"/>
      <w:bookmarkStart w:id="383" w:name="_Toc385521758"/>
      <w:bookmarkStart w:id="384" w:name="_Toc473621544"/>
      <w:bookmarkStart w:id="385" w:name="_Toc473644277"/>
      <w:bookmarkStart w:id="386" w:name="_Toc477247267"/>
      <w:bookmarkStart w:id="387" w:name="_Toc485810274"/>
      <w:bookmarkStart w:id="388" w:name="_Toc488398282"/>
      <w:bookmarkStart w:id="389" w:name="_Toc493752264"/>
      <w:bookmarkStart w:id="390" w:name="_Toc499133606"/>
      <w:bookmarkStart w:id="391" w:name="_Toc499135180"/>
      <w:bookmarkEnd w:id="379"/>
      <w:r w:rsidRPr="00A937B9">
        <w:t>Codice tabella comporto</w:t>
      </w:r>
      <w:bookmarkEnd w:id="380"/>
      <w:bookmarkEnd w:id="381"/>
      <w:bookmarkEnd w:id="382"/>
      <w:bookmarkEnd w:id="383"/>
      <w:bookmarkEnd w:id="384"/>
      <w:bookmarkEnd w:id="385"/>
      <w:bookmarkEnd w:id="386"/>
      <w:bookmarkEnd w:id="387"/>
      <w:bookmarkEnd w:id="388"/>
      <w:bookmarkEnd w:id="389"/>
      <w:bookmarkEnd w:id="390"/>
      <w:bookmarkEnd w:id="391"/>
    </w:p>
    <w:p w:rsidR="0097034A" w:rsidRPr="00A937B9" w:rsidRDefault="0097034A" w:rsidP="0097034A">
      <w:pPr>
        <w:pStyle w:val="CorpoAltF0"/>
        <w:spacing w:before="120"/>
      </w:pPr>
      <w:r w:rsidRPr="00A937B9">
        <w:t>Il programma è stato implementato per gestire il particolare calcolo del trattamento economico della malattia previsto dal CCNL Scuole Private Materne FISM (</w:t>
      </w:r>
      <w:r w:rsidRPr="00A937B9">
        <w:rPr>
          <w:b/>
        </w:rPr>
        <w:t>CONTRA</w:t>
      </w:r>
      <w:r w:rsidRPr="00A937B9">
        <w:t xml:space="preserve"> codici contratto </w:t>
      </w:r>
      <w:r w:rsidRPr="00A937B9">
        <w:rPr>
          <w:b/>
        </w:rPr>
        <w:t>8826</w:t>
      </w:r>
      <w:r w:rsidRPr="00A937B9">
        <w:t xml:space="preserve">, </w:t>
      </w:r>
      <w:r w:rsidRPr="00A937B9">
        <w:rPr>
          <w:b/>
        </w:rPr>
        <w:t>8836</w:t>
      </w:r>
      <w:r w:rsidRPr="00A937B9">
        <w:t xml:space="preserve">, </w:t>
      </w:r>
      <w:r w:rsidRPr="00A937B9">
        <w:rPr>
          <w:b/>
        </w:rPr>
        <w:t>8861</w:t>
      </w:r>
      <w:r w:rsidRPr="00A937B9">
        <w:t xml:space="preserve">, </w:t>
      </w:r>
      <w:r w:rsidRPr="00A937B9">
        <w:rPr>
          <w:b/>
        </w:rPr>
        <w:t>8862</w:t>
      </w:r>
      <w:r w:rsidRPr="00A937B9">
        <w:t xml:space="preserve">, </w:t>
      </w:r>
      <w:r w:rsidRPr="00A937B9">
        <w:rPr>
          <w:b/>
        </w:rPr>
        <w:t>8863</w:t>
      </w:r>
      <w:r w:rsidRPr="00A937B9">
        <w:t xml:space="preserve"> e </w:t>
      </w:r>
      <w:r w:rsidRPr="00A937B9">
        <w:rPr>
          <w:b/>
        </w:rPr>
        <w:t>8864</w:t>
      </w:r>
      <w:r w:rsidRPr="00A937B9">
        <w:t>).</w:t>
      </w:r>
    </w:p>
    <w:p w:rsidR="0097034A" w:rsidRPr="00A937B9" w:rsidRDefault="0097034A" w:rsidP="0097034A">
      <w:pPr>
        <w:pStyle w:val="CorpoAltF0"/>
        <w:spacing w:before="60"/>
      </w:pPr>
      <w:r w:rsidRPr="00A937B9">
        <w:t xml:space="preserve">A tal fine è stato introdotto il nuovo Codice tabella comporto </w:t>
      </w:r>
      <w:r w:rsidRPr="00A937B9">
        <w:rPr>
          <w:b/>
        </w:rPr>
        <w:t>8826</w:t>
      </w:r>
      <w:r w:rsidRPr="00A937B9">
        <w:t>.</w:t>
      </w:r>
    </w:p>
    <w:p w:rsidR="0097034A" w:rsidRPr="00A937B9" w:rsidRDefault="0097034A" w:rsidP="0097034A">
      <w:pPr>
        <w:pStyle w:val="CorpoAltF0"/>
      </w:pPr>
    </w:p>
    <w:p w:rsidR="0097034A" w:rsidRPr="00A937B9" w:rsidRDefault="0097034A" w:rsidP="0097034A">
      <w:pPr>
        <w:pStyle w:val="CorpoAltF0"/>
        <w:rPr>
          <w:color w:val="000000"/>
        </w:rPr>
      </w:pPr>
      <w:r w:rsidRPr="00A937B9">
        <w:t xml:space="preserve">Per attivare il calcolo previsto dal nuovo codice nelle tabelle malattia </w:t>
      </w:r>
      <w:r w:rsidRPr="00A937B9">
        <w:rPr>
          <w:color w:val="000000"/>
        </w:rPr>
        <w:t>(</w:t>
      </w:r>
      <w:r w:rsidRPr="00A937B9">
        <w:rPr>
          <w:b/>
          <w:bCs/>
          <w:color w:val="000000"/>
        </w:rPr>
        <w:t>TB0901</w:t>
      </w:r>
      <w:r w:rsidRPr="00A937B9">
        <w:rPr>
          <w:color w:val="000000"/>
        </w:rPr>
        <w:t>) dei relativi contratti è necessario:</w:t>
      </w:r>
    </w:p>
    <w:p w:rsidR="0097034A" w:rsidRPr="00A937B9" w:rsidRDefault="0097034A" w:rsidP="0097034A">
      <w:pPr>
        <w:pStyle w:val="CorpoAltF0"/>
        <w:numPr>
          <w:ilvl w:val="0"/>
          <w:numId w:val="20"/>
        </w:numPr>
        <w:tabs>
          <w:tab w:val="left" w:pos="-1560"/>
        </w:tabs>
        <w:spacing w:before="120"/>
        <w:ind w:left="284" w:hanging="284"/>
      </w:pPr>
      <w:r w:rsidRPr="00A937B9">
        <w:t xml:space="preserve">compilare il campo </w:t>
      </w:r>
      <w:r w:rsidRPr="00A937B9">
        <w:rPr>
          <w:iCs/>
        </w:rPr>
        <w:t>“</w:t>
      </w:r>
      <w:r w:rsidRPr="00A937B9">
        <w:rPr>
          <w:i/>
          <w:iCs/>
        </w:rPr>
        <w:t>Codice tabella comporto</w:t>
      </w:r>
      <w:r w:rsidRPr="00A937B9">
        <w:rPr>
          <w:iCs/>
        </w:rPr>
        <w:t>” indicando il codice fornito con la procedura;</w:t>
      </w:r>
    </w:p>
    <w:p w:rsidR="0097034A" w:rsidRPr="00A937B9" w:rsidRDefault="0097034A" w:rsidP="0097034A">
      <w:pPr>
        <w:pStyle w:val="CorpoAltF0"/>
        <w:numPr>
          <w:ilvl w:val="0"/>
          <w:numId w:val="20"/>
        </w:numPr>
        <w:tabs>
          <w:tab w:val="left" w:pos="-1560"/>
        </w:tabs>
        <w:spacing w:before="120"/>
        <w:ind w:left="284" w:hanging="284"/>
      </w:pPr>
      <w:r w:rsidRPr="00A937B9">
        <w:rPr>
          <w:iCs/>
        </w:rPr>
        <w:t xml:space="preserve">compilare le </w:t>
      </w:r>
      <w:r w:rsidRPr="00A937B9">
        <w:t>sezioni “</w:t>
      </w:r>
      <w:r w:rsidRPr="00A937B9">
        <w:rPr>
          <w:i/>
        </w:rPr>
        <w:t>Percentuale di integrazione periodi</w:t>
      </w:r>
      <w:r w:rsidRPr="00A937B9">
        <w:t>” e “</w:t>
      </w:r>
      <w:r w:rsidRPr="00A937B9">
        <w:rPr>
          <w:i/>
        </w:rPr>
        <w:t>Integrazione malattia c/ditta</w:t>
      </w:r>
      <w:r w:rsidRPr="00A937B9">
        <w:t>” esattamente come di seguito esposto.</w:t>
      </w:r>
    </w:p>
    <w:p w:rsidR="0097034A" w:rsidRPr="00A937B9" w:rsidRDefault="0097034A" w:rsidP="0097034A">
      <w:pPr>
        <w:pStyle w:val="CorpoAltF0"/>
      </w:pPr>
    </w:p>
    <w:p w:rsidR="0097034A" w:rsidRPr="00A937B9" w:rsidRDefault="0097034A" w:rsidP="0097034A">
      <w:pPr>
        <w:pStyle w:val="CorpoAltF0"/>
        <w:rPr>
          <w:bCs/>
        </w:rPr>
      </w:pPr>
      <w:r w:rsidRPr="00A937B9">
        <w:t>Il nuovo codice viene creato mediante l’aggiornamento delle tabelle fisse eseguito automaticamente dal comando di conversione</w:t>
      </w:r>
      <w:r w:rsidRPr="00A937B9">
        <w:rPr>
          <w:bCs/>
        </w:rPr>
        <w:t>.</w:t>
      </w:r>
    </w:p>
    <w:p w:rsidR="0097034A" w:rsidRPr="00A937B9" w:rsidRDefault="0097034A" w:rsidP="0097034A">
      <w:pPr>
        <w:pStyle w:val="CorpoAltF0"/>
      </w:pPr>
    </w:p>
    <w:p w:rsidR="0097034A" w:rsidRPr="00A937B9" w:rsidRDefault="0097034A" w:rsidP="0097034A">
      <w:pPr>
        <w:pStyle w:val="CorpoAltF0"/>
      </w:pPr>
      <w:r w:rsidRPr="00A937B9">
        <w:rPr>
          <w:rFonts w:cs="Arial"/>
        </w:rPr>
        <w:t xml:space="preserve">Di seguito viene riepilogata la disciplina contrattuale, la modalità di compilazione della sezione </w:t>
      </w:r>
      <w:r w:rsidRPr="00A937B9">
        <w:rPr>
          <w:rFonts w:cs="Arial"/>
          <w:iCs/>
        </w:rPr>
        <w:t>“</w:t>
      </w:r>
      <w:r w:rsidRPr="00A937B9">
        <w:rPr>
          <w:rFonts w:cs="Arial"/>
          <w:i/>
          <w:iCs/>
        </w:rPr>
        <w:t>Percentuale di integrazione periodi</w:t>
      </w:r>
      <w:r w:rsidRPr="00A937B9">
        <w:rPr>
          <w:rFonts w:cs="Arial"/>
          <w:iCs/>
        </w:rPr>
        <w:t>”</w:t>
      </w:r>
      <w:r w:rsidRPr="00A937B9">
        <w:rPr>
          <w:rFonts w:cs="Arial"/>
        </w:rPr>
        <w:t xml:space="preserve"> e </w:t>
      </w:r>
      <w:r w:rsidRPr="00A937B9">
        <w:rPr>
          <w:rFonts w:cs="Arial"/>
          <w:iCs/>
        </w:rPr>
        <w:t>“</w:t>
      </w:r>
      <w:r w:rsidRPr="00A937B9">
        <w:rPr>
          <w:rFonts w:cs="Arial"/>
          <w:i/>
          <w:iCs/>
        </w:rPr>
        <w:t>Integrazione malattia c/ditta</w:t>
      </w:r>
      <w:r w:rsidRPr="00A937B9">
        <w:rPr>
          <w:rFonts w:cs="Arial"/>
          <w:iCs/>
        </w:rPr>
        <w:t>”</w:t>
      </w:r>
      <w:r w:rsidRPr="00A937B9">
        <w:rPr>
          <w:rFonts w:cs="Arial"/>
        </w:rPr>
        <w:t xml:space="preserve"> di </w:t>
      </w:r>
      <w:r w:rsidRPr="00A937B9">
        <w:rPr>
          <w:rFonts w:cs="Arial"/>
          <w:b/>
          <w:bCs/>
        </w:rPr>
        <w:t>TB0901</w:t>
      </w:r>
      <w:r w:rsidRPr="00A937B9">
        <w:rPr>
          <w:rFonts w:cs="Arial"/>
        </w:rPr>
        <w:t xml:space="preserve"> e vengono fornite delle precisazioni in merito al calcolo eseguito dal programma.</w:t>
      </w:r>
    </w:p>
    <w:p w:rsidR="0097034A" w:rsidRPr="00A937B9" w:rsidRDefault="0097034A" w:rsidP="0097034A">
      <w:pPr>
        <w:pStyle w:val="CorpoAltF0"/>
      </w:pPr>
    </w:p>
    <w:p w:rsidR="0097034A" w:rsidRPr="00A937B9" w:rsidRDefault="0097034A" w:rsidP="0097034A">
      <w:pPr>
        <w:pStyle w:val="CorpoAltF0"/>
        <w:rPr>
          <w:rFonts w:cs="Arial"/>
        </w:rPr>
      </w:pPr>
      <w:r w:rsidRPr="00A937B9">
        <w:rPr>
          <w:rFonts w:cs="Arial"/>
        </w:rPr>
        <w:t xml:space="preserve">Per gli utenti </w:t>
      </w:r>
      <w:r w:rsidRPr="00A937B9">
        <w:rPr>
          <w:rFonts w:cs="Arial"/>
          <w:b/>
          <w:bCs/>
        </w:rPr>
        <w:t>CONTRA</w:t>
      </w:r>
      <w:r w:rsidRPr="00A937B9">
        <w:rPr>
          <w:rFonts w:cs="Arial"/>
        </w:rPr>
        <w:t xml:space="preserve"> le tabelle dei codici contratto in esame</w:t>
      </w:r>
      <w:r w:rsidRPr="00A937B9">
        <w:t xml:space="preserve"> sono state modificate </w:t>
      </w:r>
      <w:r w:rsidRPr="00A937B9">
        <w:rPr>
          <w:rFonts w:cs="Arial"/>
        </w:rPr>
        <w:t xml:space="preserve">come di seguito esposto, per i codici trattamento qualifica che lo prevedono </w:t>
      </w:r>
      <w:r w:rsidRPr="00A937B9">
        <w:t xml:space="preserve">con la </w:t>
      </w:r>
      <w:r w:rsidRPr="00A937B9">
        <w:rPr>
          <w:rFonts w:cs="Arial"/>
        </w:rPr>
        <w:t xml:space="preserve">versione </w:t>
      </w:r>
      <w:r w:rsidRPr="00A937B9">
        <w:rPr>
          <w:rFonts w:cs="Arial"/>
          <w:b/>
          <w:bCs/>
        </w:rPr>
        <w:t>CONTRA 2017.11.0</w:t>
      </w:r>
    </w:p>
    <w:p w:rsidR="0097034A" w:rsidRPr="00A937B9" w:rsidRDefault="0097034A" w:rsidP="0097034A">
      <w:pPr>
        <w:pStyle w:val="CorpoAltF0"/>
      </w:pPr>
    </w:p>
    <w:p w:rsidR="0097034A" w:rsidRPr="00A937B9" w:rsidRDefault="0097034A" w:rsidP="0097034A">
      <w:pPr>
        <w:pStyle w:val="CorpoAltF0"/>
      </w:pPr>
    </w:p>
    <w:p w:rsidR="0097034A" w:rsidRPr="00A937B9" w:rsidRDefault="0097034A" w:rsidP="0097034A">
      <w:pPr>
        <w:pStyle w:val="TS-titolo-05"/>
      </w:pPr>
      <w:bookmarkStart w:id="392" w:name="_Toc478458191"/>
      <w:bookmarkStart w:id="393" w:name="_Toc486326938"/>
      <w:bookmarkStart w:id="394" w:name="_Toc488737522"/>
      <w:bookmarkStart w:id="395" w:name="_Toc493752265"/>
      <w:bookmarkStart w:id="396" w:name="_Toc499133607"/>
      <w:bookmarkStart w:id="397" w:name="_Toc499135181"/>
      <w:r w:rsidRPr="00A937B9">
        <w:t xml:space="preserve">Scuole Private Materne FISM – Codice tabella comporto </w:t>
      </w:r>
      <w:bookmarkEnd w:id="392"/>
      <w:bookmarkEnd w:id="393"/>
      <w:bookmarkEnd w:id="394"/>
      <w:bookmarkEnd w:id="395"/>
      <w:r w:rsidRPr="00A937B9">
        <w:t>8826</w:t>
      </w:r>
      <w:bookmarkEnd w:id="396"/>
      <w:bookmarkEnd w:id="397"/>
    </w:p>
    <w:p w:rsidR="0097034A" w:rsidRPr="00A937B9" w:rsidRDefault="0097034A" w:rsidP="0097034A">
      <w:pPr>
        <w:pStyle w:val="CorpoAltF0"/>
        <w:spacing w:before="120"/>
      </w:pPr>
      <w:r w:rsidRPr="00A937B9">
        <w:t>Il CCNL Scuole Private Materne FISM stabilisce quanto segue.</w:t>
      </w:r>
    </w:p>
    <w:p w:rsidR="0097034A" w:rsidRPr="00A937B9" w:rsidRDefault="0097034A" w:rsidP="0097034A">
      <w:pPr>
        <w:pStyle w:val="CorpoAltF0"/>
        <w:tabs>
          <w:tab w:val="left" w:pos="1247"/>
        </w:tabs>
        <w:spacing w:before="120"/>
        <w:rPr>
          <w:u w:val="single"/>
        </w:rPr>
      </w:pPr>
      <w:r w:rsidRPr="00A937B9">
        <w:rPr>
          <w:u w:val="single"/>
        </w:rPr>
        <w:t>Mantenimento del posto di lavoro</w:t>
      </w:r>
    </w:p>
    <w:p w:rsidR="0097034A" w:rsidRPr="00A937B9" w:rsidRDefault="0097034A" w:rsidP="0097034A">
      <w:pPr>
        <w:pStyle w:val="CorpoAltF0"/>
        <w:spacing w:before="120"/>
      </w:pPr>
      <w:r w:rsidRPr="00A937B9">
        <w:t>In caso di assenza per malattia, il lavoratore ha diritto alla conservazione del posto secondo i seguenti termini:</w:t>
      </w:r>
    </w:p>
    <w:p w:rsidR="0097034A" w:rsidRPr="00A937B9" w:rsidRDefault="0097034A" w:rsidP="0097034A">
      <w:pPr>
        <w:pStyle w:val="CorpoAltF0"/>
        <w:numPr>
          <w:ilvl w:val="0"/>
          <w:numId w:val="22"/>
        </w:numPr>
        <w:spacing w:before="60"/>
        <w:ind w:left="284" w:hanging="284"/>
      </w:pPr>
      <w:r w:rsidRPr="00A937B9">
        <w:t>per assenza continuativa fino ad un massimo di 6 mesi, anche a cavallo di 2 anni solari;</w:t>
      </w:r>
    </w:p>
    <w:p w:rsidR="0097034A" w:rsidRPr="00A937B9" w:rsidRDefault="0097034A" w:rsidP="0097034A">
      <w:pPr>
        <w:pStyle w:val="CorpoAltF0"/>
        <w:numPr>
          <w:ilvl w:val="0"/>
          <w:numId w:val="22"/>
        </w:numPr>
        <w:spacing w:before="60"/>
        <w:ind w:left="284" w:hanging="284"/>
      </w:pPr>
      <w:r w:rsidRPr="00A937B9">
        <w:t>per assenze non continuative, dovute anche ad eventi morbosi diversi, fino ad un massimo di 12 mesi nel periodo di 3 anni.</w:t>
      </w:r>
    </w:p>
    <w:p w:rsidR="0097034A" w:rsidRPr="00A937B9" w:rsidRDefault="0097034A" w:rsidP="0097034A">
      <w:pPr>
        <w:pStyle w:val="CorpoAltF0"/>
        <w:tabs>
          <w:tab w:val="left" w:pos="1247"/>
        </w:tabs>
        <w:spacing w:before="120"/>
        <w:rPr>
          <w:u w:val="single"/>
        </w:rPr>
      </w:pPr>
      <w:r w:rsidRPr="00A937B9">
        <w:rPr>
          <w:u w:val="single"/>
        </w:rPr>
        <w:t>Trattamento economico</w:t>
      </w:r>
    </w:p>
    <w:p w:rsidR="0097034A" w:rsidRPr="00A937B9" w:rsidRDefault="0097034A" w:rsidP="0097034A">
      <w:pPr>
        <w:pStyle w:val="CorpoAltF0"/>
        <w:spacing w:before="120"/>
      </w:pPr>
      <w:r w:rsidRPr="00A937B9">
        <w:t>L’ente corrisponderà al lavoratore una integrazione tale da consentire al medesimo di percepire il 100% della retribuzione mensile lorda per un massimo di 180 giorni nell’anno solare.</w:t>
      </w:r>
    </w:p>
    <w:p w:rsidR="0097034A" w:rsidRPr="00A937B9" w:rsidRDefault="0097034A" w:rsidP="0097034A">
      <w:pPr>
        <w:pStyle w:val="CorpoAltF0"/>
        <w:spacing w:before="60"/>
      </w:pPr>
      <w:r w:rsidRPr="00A937B9">
        <w:t>Agli effetti retributivi per ogni periodo di malattia il computo si inizia dal 1° giorno di assenza.</w:t>
      </w:r>
    </w:p>
    <w:p w:rsidR="0097034A" w:rsidRPr="00A937B9" w:rsidRDefault="0097034A" w:rsidP="0097034A">
      <w:pPr>
        <w:pStyle w:val="CorpoAltF0"/>
        <w:tabs>
          <w:tab w:val="left" w:pos="1247"/>
        </w:tabs>
        <w:spacing w:before="120"/>
        <w:rPr>
          <w:u w:val="single"/>
        </w:rPr>
      </w:pPr>
      <w:r w:rsidRPr="00A937B9">
        <w:rPr>
          <w:u w:val="single"/>
        </w:rPr>
        <w:t>Trattamento patologie gravi</w:t>
      </w:r>
    </w:p>
    <w:p w:rsidR="0097034A" w:rsidRPr="00A937B9" w:rsidRDefault="0097034A" w:rsidP="0097034A">
      <w:pPr>
        <w:pStyle w:val="CorpoAltF0"/>
        <w:spacing w:before="120"/>
      </w:pPr>
      <w:r w:rsidRPr="00A937B9">
        <w:t>In caso di patologie gravi che richiedano terapie salvavita e/o temporaneamente invalidanti quali, a mero titolo esemplificativo, emodialisi o chemioterapia, sono esclusi dal computo dei giorni di assenza per malattia, i relativi giorni di ricovero ospedaliero, di trattamento in day hospital, di assenza per sottoporsi alle citate terapie.</w:t>
      </w:r>
    </w:p>
    <w:p w:rsidR="0097034A" w:rsidRPr="00A937B9" w:rsidRDefault="0097034A" w:rsidP="0097034A">
      <w:pPr>
        <w:pStyle w:val="CorpoAltF0"/>
        <w:spacing w:before="60"/>
      </w:pPr>
      <w:r w:rsidRPr="00A937B9">
        <w:t>Per le suddette giornate di assenza il dipendente ha diritto all’intera retribuzione.</w:t>
      </w:r>
    </w:p>
    <w:p w:rsidR="0097034A" w:rsidRPr="00A937B9" w:rsidRDefault="0097034A" w:rsidP="0097034A">
      <w:pPr>
        <w:pStyle w:val="CorpoAltF0"/>
      </w:pPr>
    </w:p>
    <w:p w:rsidR="0097034A" w:rsidRPr="00A937B9" w:rsidRDefault="0097034A" w:rsidP="0097034A">
      <w:pPr>
        <w:pStyle w:val="CorpoAltF0"/>
      </w:pPr>
      <w:r w:rsidRPr="00A937B9">
        <w:t>Il documento visualizzato dal programma entrando in gestione della tabella comporto sarà il seguente:</w:t>
      </w:r>
    </w:p>
    <w:p w:rsidR="0097034A" w:rsidRPr="00A937B9" w:rsidRDefault="0097034A" w:rsidP="0097034A">
      <w:pPr>
        <w:pStyle w:val="Ignora"/>
      </w:pPr>
      <w:r w:rsidRPr="00A937B9">
        <w:br w:type="page"/>
      </w:r>
    </w:p>
    <w:p w:rsidR="0097034A" w:rsidRPr="00A937B9" w:rsidRDefault="0097034A" w:rsidP="0097034A">
      <w:pPr>
        <w:pStyle w:val="CorpoAltF0"/>
      </w:pPr>
    </w:p>
    <w:p w:rsidR="0097034A" w:rsidRPr="00A937B9" w:rsidRDefault="0097034A" w:rsidP="0097034A">
      <w:pPr>
        <w:pStyle w:val="CorpoAltF0"/>
        <w:jc w:val="center"/>
      </w:pPr>
      <w:r w:rsidRPr="00A937B9">
        <w:rPr>
          <w:noProof/>
        </w:rPr>
        <w:drawing>
          <wp:inline distT="0" distB="0" distL="0" distR="0" wp14:anchorId="2894F4A7" wp14:editId="757A8135">
            <wp:extent cx="5040000" cy="344777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40000" cy="3447770"/>
                    </a:xfrm>
                    <a:prstGeom prst="rect">
                      <a:avLst/>
                    </a:prstGeom>
                  </pic:spPr>
                </pic:pic>
              </a:graphicData>
            </a:graphic>
          </wp:inline>
        </w:drawing>
      </w:r>
    </w:p>
    <w:p w:rsidR="0097034A" w:rsidRPr="00A937B9" w:rsidRDefault="0097034A" w:rsidP="0097034A">
      <w:pPr>
        <w:pStyle w:val="CorpoAltF0"/>
      </w:pPr>
    </w:p>
    <w:p w:rsidR="0097034A" w:rsidRPr="00A937B9" w:rsidRDefault="0097034A" w:rsidP="0097034A">
      <w:pPr>
        <w:pStyle w:val="CorpoAltF0"/>
        <w:pBdr>
          <w:bottom w:val="single" w:sz="4" w:space="1" w:color="auto"/>
        </w:pBdr>
        <w:spacing w:before="120"/>
        <w:rPr>
          <w:b/>
        </w:rPr>
      </w:pPr>
      <w:r w:rsidRPr="00A937B9">
        <w:rPr>
          <w:b/>
        </w:rPr>
        <w:t>Compilazione TB0901</w:t>
      </w:r>
    </w:p>
    <w:p w:rsidR="0097034A" w:rsidRPr="00A937B9" w:rsidRDefault="0097034A" w:rsidP="0097034A">
      <w:pPr>
        <w:pStyle w:val="CorpoAltF0"/>
        <w:tabs>
          <w:tab w:val="left" w:pos="1240"/>
        </w:tabs>
      </w:pPr>
    </w:p>
    <w:p w:rsidR="0097034A" w:rsidRPr="00A937B9" w:rsidRDefault="0097034A" w:rsidP="0097034A">
      <w:pPr>
        <w:pStyle w:val="CorpoAltF0"/>
      </w:pPr>
      <w:r w:rsidRPr="00A937B9">
        <w:t>La sezione “</w:t>
      </w:r>
      <w:r w:rsidRPr="00A937B9">
        <w:rPr>
          <w:i/>
        </w:rPr>
        <w:t>Percentuale di integrazione periodi</w:t>
      </w:r>
      <w:r w:rsidRPr="00A937B9">
        <w:t>” dovrà essere compilata come sotto esposto, con riferimento ai trattamenti qualifica degli operai e impiegati, compresi gli apprendisti.</w:t>
      </w:r>
    </w:p>
    <w:p w:rsidR="0097034A" w:rsidRPr="00A937B9" w:rsidRDefault="0097034A" w:rsidP="0097034A">
      <w:pPr>
        <w:pStyle w:val="CorpoAltF0"/>
      </w:pPr>
    </w:p>
    <w:p w:rsidR="0097034A" w:rsidRPr="00A937B9" w:rsidRDefault="0097034A" w:rsidP="0097034A">
      <w:pPr>
        <w:pStyle w:val="CorpoAltF0"/>
        <w:jc w:val="center"/>
        <w:rPr>
          <w:noProof/>
        </w:rPr>
      </w:pPr>
      <w:r w:rsidRPr="00A937B9">
        <w:rPr>
          <w:noProof/>
        </w:rPr>
        <w:drawing>
          <wp:inline distT="0" distB="0" distL="0" distR="0" wp14:anchorId="77BBC696" wp14:editId="79BE5DE7">
            <wp:extent cx="5040000" cy="808482"/>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40000" cy="808482"/>
                    </a:xfrm>
                    <a:prstGeom prst="rect">
                      <a:avLst/>
                    </a:prstGeom>
                  </pic:spPr>
                </pic:pic>
              </a:graphicData>
            </a:graphic>
          </wp:inline>
        </w:drawing>
      </w:r>
    </w:p>
    <w:p w:rsidR="0097034A" w:rsidRPr="00A937B9" w:rsidRDefault="0097034A" w:rsidP="0097034A">
      <w:pPr>
        <w:pStyle w:val="CorpoAltF0"/>
      </w:pPr>
    </w:p>
    <w:p w:rsidR="0097034A" w:rsidRPr="00A937B9" w:rsidRDefault="0097034A" w:rsidP="0097034A">
      <w:pPr>
        <w:pStyle w:val="CorpoAltF0"/>
      </w:pPr>
      <w:r w:rsidRPr="00A937B9">
        <w:t>La sezione “</w:t>
      </w:r>
      <w:r w:rsidRPr="00A937B9">
        <w:rPr>
          <w:i/>
        </w:rPr>
        <w:t>Integrazione malattia c/ditta</w:t>
      </w:r>
      <w:r w:rsidRPr="00A937B9">
        <w:t>” dovrà essere compilata come sotto esposto.</w:t>
      </w:r>
    </w:p>
    <w:p w:rsidR="0097034A" w:rsidRPr="00A937B9" w:rsidRDefault="0097034A" w:rsidP="0097034A">
      <w:pPr>
        <w:pStyle w:val="CorpoAltF0"/>
      </w:pPr>
    </w:p>
    <w:p w:rsidR="0097034A" w:rsidRPr="00A937B9" w:rsidRDefault="0097034A" w:rsidP="0097034A">
      <w:pPr>
        <w:pStyle w:val="CorpoAltF0"/>
        <w:jc w:val="center"/>
      </w:pPr>
      <w:r w:rsidRPr="00A937B9">
        <w:rPr>
          <w:noProof/>
        </w:rPr>
        <w:drawing>
          <wp:inline distT="0" distB="0" distL="0" distR="0" wp14:anchorId="17255909" wp14:editId="0ED57A53">
            <wp:extent cx="5040000" cy="2194082"/>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40000" cy="2194082"/>
                    </a:xfrm>
                    <a:prstGeom prst="rect">
                      <a:avLst/>
                    </a:prstGeom>
                  </pic:spPr>
                </pic:pic>
              </a:graphicData>
            </a:graphic>
          </wp:inline>
        </w:drawing>
      </w:r>
    </w:p>
    <w:p w:rsidR="0097034A" w:rsidRPr="00A937B9" w:rsidRDefault="0097034A" w:rsidP="0097034A">
      <w:pPr>
        <w:pStyle w:val="Ignora"/>
      </w:pPr>
      <w:r w:rsidRPr="00A937B9">
        <w:br w:type="page"/>
      </w:r>
    </w:p>
    <w:p w:rsidR="0097034A" w:rsidRPr="00A937B9" w:rsidRDefault="0097034A" w:rsidP="0097034A">
      <w:pPr>
        <w:pStyle w:val="Ignora"/>
      </w:pPr>
    </w:p>
    <w:p w:rsidR="0097034A" w:rsidRPr="00A937B9" w:rsidRDefault="0097034A" w:rsidP="0097034A">
      <w:pPr>
        <w:pStyle w:val="CorpoAltF0"/>
        <w:pBdr>
          <w:bottom w:val="single" w:sz="4" w:space="1" w:color="auto"/>
        </w:pBdr>
        <w:spacing w:before="120"/>
        <w:rPr>
          <w:b/>
        </w:rPr>
      </w:pPr>
      <w:r w:rsidRPr="00A937B9">
        <w:rPr>
          <w:b/>
        </w:rPr>
        <w:t>Criteri di calcolo delle assenze e verifiche di programma</w:t>
      </w:r>
    </w:p>
    <w:p w:rsidR="0097034A" w:rsidRPr="00A937B9" w:rsidRDefault="0097034A" w:rsidP="0097034A">
      <w:pPr>
        <w:pStyle w:val="CorpoAltF0"/>
        <w:tabs>
          <w:tab w:val="left" w:pos="1240"/>
        </w:tabs>
      </w:pPr>
    </w:p>
    <w:p w:rsidR="0097034A" w:rsidRPr="00A937B9" w:rsidRDefault="0097034A" w:rsidP="0097034A">
      <w:pPr>
        <w:pStyle w:val="CorpoAltF0"/>
        <w:numPr>
          <w:ilvl w:val="0"/>
          <w:numId w:val="19"/>
        </w:numPr>
        <w:ind w:left="284" w:hanging="284"/>
      </w:pPr>
      <w:r w:rsidRPr="00A937B9">
        <w:t>Nella gestione dello storico degli eventi di malattia la compilazione del tipo di indennizzo, per ciascuna giornata di assenza degli eventi, prevede la seguente codifica:</w:t>
      </w:r>
    </w:p>
    <w:p w:rsidR="0097034A" w:rsidRPr="00A937B9" w:rsidRDefault="0097034A" w:rsidP="0097034A">
      <w:pPr>
        <w:pStyle w:val="CorpoAltF0"/>
      </w:pP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4"/>
        <w:gridCol w:w="1561"/>
        <w:gridCol w:w="1917"/>
      </w:tblGrid>
      <w:tr w:rsidR="0097034A" w:rsidRPr="00A937B9" w:rsidTr="002A4886">
        <w:trPr>
          <w:jc w:val="center"/>
        </w:trPr>
        <w:tc>
          <w:tcPr>
            <w:tcW w:w="4094" w:type="dxa"/>
            <w:tcBorders>
              <w:bottom w:val="nil"/>
            </w:tcBorders>
            <w:shd w:val="clear" w:color="auto" w:fill="auto"/>
          </w:tcPr>
          <w:p w:rsidR="0097034A" w:rsidRPr="00A937B9" w:rsidRDefault="0097034A" w:rsidP="002A4886">
            <w:pPr>
              <w:pStyle w:val="CorpoAltF0"/>
              <w:spacing w:before="60"/>
              <w:jc w:val="center"/>
              <w:rPr>
                <w:b/>
              </w:rPr>
            </w:pPr>
          </w:p>
        </w:tc>
        <w:tc>
          <w:tcPr>
            <w:tcW w:w="3478" w:type="dxa"/>
            <w:gridSpan w:val="2"/>
            <w:shd w:val="clear" w:color="auto" w:fill="auto"/>
          </w:tcPr>
          <w:p w:rsidR="0097034A" w:rsidRPr="00A937B9" w:rsidRDefault="0097034A" w:rsidP="002A4886">
            <w:pPr>
              <w:pStyle w:val="CorpoAltF0"/>
              <w:spacing w:before="60"/>
              <w:jc w:val="center"/>
              <w:rPr>
                <w:b/>
              </w:rPr>
            </w:pPr>
            <w:r w:rsidRPr="00A937B9">
              <w:rPr>
                <w:b/>
              </w:rPr>
              <w:t>Codice assegnato</w:t>
            </w:r>
          </w:p>
        </w:tc>
      </w:tr>
      <w:tr w:rsidR="0097034A" w:rsidRPr="00A937B9" w:rsidTr="002A4886">
        <w:trPr>
          <w:jc w:val="center"/>
        </w:trPr>
        <w:tc>
          <w:tcPr>
            <w:tcW w:w="4094" w:type="dxa"/>
            <w:tcBorders>
              <w:top w:val="nil"/>
            </w:tcBorders>
            <w:shd w:val="clear" w:color="auto" w:fill="auto"/>
          </w:tcPr>
          <w:p w:rsidR="0097034A" w:rsidRPr="00A937B9" w:rsidRDefault="0097034A" w:rsidP="002A4886">
            <w:pPr>
              <w:pStyle w:val="CorpoAltF0"/>
              <w:spacing w:before="60"/>
              <w:jc w:val="center"/>
              <w:rPr>
                <w:b/>
              </w:rPr>
            </w:pPr>
            <w:r w:rsidRPr="00A937B9">
              <w:rPr>
                <w:b/>
              </w:rPr>
              <w:t>Tipologia di indennizzo</w:t>
            </w:r>
          </w:p>
        </w:tc>
        <w:tc>
          <w:tcPr>
            <w:tcW w:w="1561" w:type="dxa"/>
            <w:shd w:val="clear" w:color="auto" w:fill="auto"/>
          </w:tcPr>
          <w:p w:rsidR="0097034A" w:rsidRPr="00A937B9" w:rsidRDefault="0097034A" w:rsidP="002A4886">
            <w:pPr>
              <w:pStyle w:val="CorpoAltF0"/>
              <w:spacing w:before="60"/>
              <w:jc w:val="center"/>
              <w:rPr>
                <w:b/>
              </w:rPr>
            </w:pPr>
            <w:r w:rsidRPr="00A937B9">
              <w:rPr>
                <w:b/>
              </w:rPr>
              <w:t>Normale</w:t>
            </w:r>
          </w:p>
        </w:tc>
        <w:tc>
          <w:tcPr>
            <w:tcW w:w="1917" w:type="dxa"/>
          </w:tcPr>
          <w:p w:rsidR="0097034A" w:rsidRPr="00A937B9" w:rsidRDefault="0097034A" w:rsidP="002A4886">
            <w:pPr>
              <w:pStyle w:val="CorpoAltF0"/>
              <w:spacing w:before="60"/>
              <w:jc w:val="center"/>
              <w:rPr>
                <w:b/>
              </w:rPr>
            </w:pPr>
            <w:r w:rsidRPr="00A937B9">
              <w:rPr>
                <w:b/>
              </w:rPr>
              <w:t>Patologie gravi</w:t>
            </w:r>
          </w:p>
        </w:tc>
      </w:tr>
      <w:tr w:rsidR="0097034A" w:rsidRPr="00A937B9" w:rsidTr="002A4886">
        <w:trPr>
          <w:jc w:val="center"/>
        </w:trPr>
        <w:tc>
          <w:tcPr>
            <w:tcW w:w="4094" w:type="dxa"/>
            <w:shd w:val="clear" w:color="auto" w:fill="auto"/>
          </w:tcPr>
          <w:p w:rsidR="0097034A" w:rsidRPr="00A937B9" w:rsidRDefault="0097034A" w:rsidP="002A4886">
            <w:pPr>
              <w:pStyle w:val="CorpoAltF0"/>
              <w:spacing w:before="60"/>
              <w:jc w:val="center"/>
            </w:pPr>
            <w:r w:rsidRPr="00A937B9">
              <w:t xml:space="preserve">Totalmente indennizzata </w:t>
            </w:r>
          </w:p>
        </w:tc>
        <w:tc>
          <w:tcPr>
            <w:tcW w:w="1561" w:type="dxa"/>
            <w:shd w:val="clear" w:color="auto" w:fill="auto"/>
          </w:tcPr>
          <w:p w:rsidR="0097034A" w:rsidRPr="00A937B9" w:rsidRDefault="0097034A" w:rsidP="002A4886">
            <w:pPr>
              <w:pStyle w:val="CorpoAltF0"/>
              <w:spacing w:before="60"/>
              <w:jc w:val="center"/>
            </w:pPr>
            <w:r w:rsidRPr="00A937B9">
              <w:t>T</w:t>
            </w:r>
          </w:p>
        </w:tc>
        <w:tc>
          <w:tcPr>
            <w:tcW w:w="1917" w:type="dxa"/>
          </w:tcPr>
          <w:p w:rsidR="0097034A" w:rsidRPr="00A937B9" w:rsidRDefault="0097034A" w:rsidP="002A4886">
            <w:pPr>
              <w:pStyle w:val="CorpoAltF0"/>
              <w:spacing w:before="60"/>
              <w:jc w:val="center"/>
            </w:pPr>
            <w:r w:rsidRPr="00A937B9">
              <w:t>M</w:t>
            </w:r>
          </w:p>
        </w:tc>
      </w:tr>
      <w:tr w:rsidR="0097034A" w:rsidRPr="00A937B9" w:rsidTr="002A4886">
        <w:trPr>
          <w:jc w:val="center"/>
        </w:trPr>
        <w:tc>
          <w:tcPr>
            <w:tcW w:w="4094" w:type="dxa"/>
            <w:shd w:val="clear" w:color="auto" w:fill="auto"/>
          </w:tcPr>
          <w:p w:rsidR="0097034A" w:rsidRPr="00A937B9" w:rsidRDefault="0097034A" w:rsidP="002A4886">
            <w:pPr>
              <w:pStyle w:val="CorpoAltF0"/>
              <w:spacing w:before="60"/>
              <w:jc w:val="center"/>
            </w:pPr>
            <w:r w:rsidRPr="00A937B9">
              <w:t>Non indennizzata</w:t>
            </w:r>
          </w:p>
        </w:tc>
        <w:tc>
          <w:tcPr>
            <w:tcW w:w="1561" w:type="dxa"/>
            <w:shd w:val="clear" w:color="auto" w:fill="auto"/>
          </w:tcPr>
          <w:p w:rsidR="0097034A" w:rsidRPr="00A937B9" w:rsidRDefault="0097034A" w:rsidP="002A4886">
            <w:pPr>
              <w:pStyle w:val="CorpoAltF0"/>
              <w:spacing w:before="60"/>
              <w:jc w:val="center"/>
            </w:pPr>
            <w:r w:rsidRPr="00A937B9">
              <w:t>N</w:t>
            </w:r>
          </w:p>
        </w:tc>
        <w:tc>
          <w:tcPr>
            <w:tcW w:w="1917" w:type="dxa"/>
          </w:tcPr>
          <w:p w:rsidR="0097034A" w:rsidRPr="00A937B9" w:rsidRDefault="0097034A" w:rsidP="002A4886">
            <w:pPr>
              <w:pStyle w:val="CorpoAltF0"/>
              <w:spacing w:before="60"/>
              <w:jc w:val="center"/>
            </w:pPr>
            <w:r w:rsidRPr="00A937B9">
              <w:t>n</w:t>
            </w:r>
          </w:p>
        </w:tc>
      </w:tr>
    </w:tbl>
    <w:p w:rsidR="0097034A" w:rsidRPr="00A937B9" w:rsidRDefault="0097034A" w:rsidP="0097034A">
      <w:pPr>
        <w:pStyle w:val="CorpoAltF0"/>
      </w:pPr>
    </w:p>
    <w:p w:rsidR="0097034A" w:rsidRPr="00A937B9" w:rsidRDefault="0097034A" w:rsidP="0097034A">
      <w:pPr>
        <w:pStyle w:val="CorpoAltF0"/>
        <w:ind w:left="284"/>
      </w:pPr>
      <w:r w:rsidRPr="00A937B9">
        <w:t xml:space="preserve">Le giornate per le quali è stato compilato il campo </w:t>
      </w:r>
      <w:r w:rsidRPr="00A937B9">
        <w:rPr>
          <w:i/>
        </w:rPr>
        <w:t>“Patologie gravi”</w:t>
      </w:r>
      <w:r w:rsidRPr="00A937B9">
        <w:t xml:space="preserve"> (abilitato in presenza del codice comporto </w:t>
      </w:r>
      <w:r w:rsidRPr="00A937B9">
        <w:rPr>
          <w:b/>
        </w:rPr>
        <w:t>8826</w:t>
      </w:r>
      <w:r w:rsidRPr="00A937B9">
        <w:t>), o il campo “</w:t>
      </w:r>
      <w:r w:rsidRPr="00A937B9">
        <w:rPr>
          <w:i/>
        </w:rPr>
        <w:t>Terapia salvavita</w:t>
      </w:r>
      <w:r w:rsidRPr="00A937B9">
        <w:t>”,</w:t>
      </w:r>
      <w:r w:rsidRPr="00A937B9">
        <w:rPr>
          <w:i/>
        </w:rPr>
        <w:t xml:space="preserve"> </w:t>
      </w:r>
      <w:r w:rsidRPr="00A937B9">
        <w:t>non vengono conteggiate ai fini del raggiungimento del periodo di comporto, quindi non vengono sottratte dal relativo residuo e vengono indennizzate sempre al 100%.</w:t>
      </w:r>
    </w:p>
    <w:p w:rsidR="0097034A" w:rsidRPr="00A937B9" w:rsidRDefault="0097034A" w:rsidP="0097034A">
      <w:pPr>
        <w:pStyle w:val="CorpoAltF0"/>
      </w:pPr>
    </w:p>
    <w:p w:rsidR="0097034A" w:rsidRPr="00A937B9" w:rsidRDefault="0097034A" w:rsidP="0097034A">
      <w:pPr>
        <w:pStyle w:val="CorpoAltF0"/>
      </w:pPr>
    </w:p>
    <w:p w:rsidR="0097034A" w:rsidRPr="00A937B9" w:rsidRDefault="0097034A" w:rsidP="0097034A">
      <w:pPr>
        <w:pStyle w:val="CorpoAltF0"/>
      </w:pPr>
    </w:p>
    <w:p w:rsidR="0097034A" w:rsidRPr="00A937B9" w:rsidRDefault="0097034A" w:rsidP="0097034A">
      <w:pPr>
        <w:pStyle w:val="CorpoAltF0"/>
      </w:pPr>
    </w:p>
    <w:p w:rsidR="0097034A" w:rsidRPr="00A937B9" w:rsidRDefault="0097034A" w:rsidP="0097034A">
      <w:pPr>
        <w:pStyle w:val="CorpoAltF0"/>
      </w:pPr>
    </w:p>
    <w:p w:rsidR="0097034A" w:rsidRPr="00A937B9" w:rsidRDefault="0097034A" w:rsidP="0097034A">
      <w:pPr>
        <w:pStyle w:val="CorpoAltF0"/>
      </w:pPr>
    </w:p>
    <w:p w:rsidR="00FB5239" w:rsidRPr="00A937B9" w:rsidRDefault="00FB5239" w:rsidP="0097034A">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FB5239" w:rsidRPr="00A937B9">
        <w:trPr>
          <w:trHeight w:val="545"/>
        </w:trPr>
        <w:tc>
          <w:tcPr>
            <w:tcW w:w="6874" w:type="dxa"/>
            <w:tcBorders>
              <w:top w:val="single" w:sz="12" w:space="0" w:color="auto"/>
              <w:left w:val="nil"/>
              <w:bottom w:val="nil"/>
              <w:right w:val="nil"/>
            </w:tcBorders>
          </w:tcPr>
          <w:p w:rsidR="00FB5239" w:rsidRPr="00A937B9" w:rsidRDefault="00FB5239">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rsidR="00FB5239" w:rsidRPr="00A937B9" w:rsidRDefault="00D53339">
            <w:pPr>
              <w:pStyle w:val="TS-titolo-Comando"/>
              <w:outlineLvl w:val="1"/>
            </w:pPr>
            <w:bookmarkStart w:id="398" w:name="STADIP_CertificatoStipendio"/>
            <w:bookmarkStart w:id="399" w:name="_Toc499135182"/>
            <w:bookmarkEnd w:id="398"/>
            <w:r w:rsidRPr="00A937B9">
              <w:t>STADIP</w:t>
            </w:r>
            <w:bookmarkEnd w:id="399"/>
          </w:p>
        </w:tc>
      </w:tr>
    </w:tbl>
    <w:p w:rsidR="00FB5239" w:rsidRPr="00A937B9" w:rsidRDefault="00D53339">
      <w:pPr>
        <w:pStyle w:val="TS-titolo-04"/>
        <w:outlineLvl w:val="2"/>
      </w:pPr>
      <w:bookmarkStart w:id="400" w:name="_Toc499135183"/>
      <w:r w:rsidRPr="00A937B9">
        <w:t>Lettera certificato stipendio</w:t>
      </w:r>
      <w:bookmarkEnd w:id="400"/>
    </w:p>
    <w:p w:rsidR="00FB5239" w:rsidRPr="00A937B9" w:rsidRDefault="00D53339">
      <w:pPr>
        <w:pStyle w:val="CorpoAltF0"/>
        <w:spacing w:before="120"/>
      </w:pPr>
      <w:r w:rsidRPr="00A937B9">
        <w:t>Nella stampa in oggetto sono state apportate le modifiche di seguito descritte:</w:t>
      </w:r>
    </w:p>
    <w:p w:rsidR="00FB5239" w:rsidRPr="00A937B9" w:rsidRDefault="00D53339">
      <w:pPr>
        <w:pStyle w:val="CorpoAltF0"/>
        <w:numPr>
          <w:ilvl w:val="0"/>
          <w:numId w:val="3"/>
        </w:numPr>
        <w:spacing w:before="120"/>
        <w:ind w:left="425" w:hanging="357"/>
      </w:pPr>
      <w:r w:rsidRPr="00A937B9">
        <w:t>Ai fini del calcolo della retribuzione lorda, il programma è stato modificato al fine di utilizzare l’importo della “</w:t>
      </w:r>
      <w:r w:rsidRPr="00A937B9">
        <w:rPr>
          <w:i/>
        </w:rPr>
        <w:t>Paga di fatto</w:t>
      </w:r>
      <w:r w:rsidRPr="00A937B9">
        <w:t>” memorizzata nel cedolino (sezione “</w:t>
      </w:r>
      <w:r w:rsidRPr="00A937B9">
        <w:rPr>
          <w:i/>
        </w:rPr>
        <w:t>Retribuzione</w:t>
      </w:r>
      <w:r w:rsidRPr="00A937B9">
        <w:t>” in “</w:t>
      </w:r>
      <w:r w:rsidRPr="00A937B9">
        <w:rPr>
          <w:i/>
        </w:rPr>
        <w:t>Funzioni generali</w:t>
      </w:r>
      <w:r w:rsidRPr="00A937B9">
        <w:t xml:space="preserve">” di </w:t>
      </w:r>
      <w:r w:rsidRPr="00A937B9">
        <w:rPr>
          <w:b/>
        </w:rPr>
        <w:t>CEDOL</w:t>
      </w:r>
      <w:r w:rsidRPr="00A937B9">
        <w:t>); in tal modo, verranno correttamente esclusi dalla retribuzione gli eventuali elementi identificati come da non sommare (vedi sezione “</w:t>
      </w:r>
      <w:r w:rsidRPr="00A937B9">
        <w:rPr>
          <w:i/>
        </w:rPr>
        <w:t>Codici paga di fatto</w:t>
      </w:r>
      <w:r w:rsidRPr="00A937B9">
        <w:t>” della scheda “</w:t>
      </w:r>
      <w:r w:rsidRPr="00A937B9">
        <w:rPr>
          <w:i/>
        </w:rPr>
        <w:t>Dati contrattuali</w:t>
      </w:r>
      <w:r w:rsidRPr="00A937B9">
        <w:t xml:space="preserve">” di </w:t>
      </w:r>
      <w:r w:rsidRPr="00A937B9">
        <w:rPr>
          <w:b/>
        </w:rPr>
        <w:t>AZIE</w:t>
      </w:r>
      <w:r w:rsidRPr="00A937B9">
        <w:t>).</w:t>
      </w:r>
    </w:p>
    <w:p w:rsidR="00FB5239" w:rsidRPr="00A937B9" w:rsidRDefault="00FB5239">
      <w:pPr>
        <w:pStyle w:val="CorpoAltF0"/>
        <w:ind w:left="425"/>
      </w:pPr>
    </w:p>
    <w:p w:rsidR="00FB5239" w:rsidRPr="00A937B9" w:rsidRDefault="00D53339">
      <w:pPr>
        <w:pStyle w:val="CorpoAltF0"/>
        <w:numPr>
          <w:ilvl w:val="0"/>
          <w:numId w:val="3"/>
        </w:numPr>
        <w:ind w:left="425" w:hanging="357"/>
      </w:pPr>
      <w:r w:rsidRPr="00A937B9">
        <w:t>All’interno del pulsante “</w:t>
      </w:r>
      <w:r w:rsidRPr="00A937B9">
        <w:rPr>
          <w:i/>
        </w:rPr>
        <w:t>Funzioni</w:t>
      </w:r>
      <w:r w:rsidRPr="00A937B9">
        <w:t>” è stata inserita la sezione “</w:t>
      </w:r>
      <w:r w:rsidRPr="00A937B9">
        <w:rPr>
          <w:i/>
        </w:rPr>
        <w:t>Opzioni</w:t>
      </w:r>
      <w:r w:rsidRPr="00A937B9">
        <w:t>”, che consente di selezionare le specifiche trattenute che si intendono calcolare ed evidenziare in stampa e di indicare se considerare nel netto in busta l’eventuale valore spettante a titolo di credito DL 66/2014 (si ricorda che quest’ultimo non verrà comunque considerato nella stampa nel caso in cui risulti escluso da cessioni e pignoramenti, ossia in presenza dei valori “C” o “E” al campo “</w:t>
      </w:r>
      <w:r w:rsidRPr="00A937B9">
        <w:rPr>
          <w:i/>
        </w:rPr>
        <w:t>Credito Dl. 66/2014 art. 1: calcolo netto lordo – Cessioni e Pignoramenti</w:t>
      </w:r>
      <w:r w:rsidRPr="00A937B9">
        <w:t>” della sezione “</w:t>
      </w:r>
      <w:r w:rsidRPr="00A937B9">
        <w:rPr>
          <w:i/>
        </w:rPr>
        <w:t>CEDOL &gt; CEDOL 2</w:t>
      </w:r>
      <w:r w:rsidRPr="00A937B9">
        <w:t xml:space="preserve">” di </w:t>
      </w:r>
      <w:r w:rsidRPr="00A937B9">
        <w:rPr>
          <w:b/>
        </w:rPr>
        <w:t>TB1203</w:t>
      </w:r>
      <w:r w:rsidRPr="00A937B9">
        <w:t>):</w:t>
      </w:r>
    </w:p>
    <w:p w:rsidR="00FB5239" w:rsidRPr="00A937B9" w:rsidRDefault="00D53339">
      <w:pPr>
        <w:pStyle w:val="CorpoAltF0"/>
        <w:spacing w:before="120"/>
        <w:ind w:left="425"/>
        <w:jc w:val="center"/>
      </w:pPr>
      <w:r w:rsidRPr="00A937B9">
        <w:rPr>
          <w:noProof/>
        </w:rPr>
        <w:drawing>
          <wp:inline distT="0" distB="0" distL="0" distR="0">
            <wp:extent cx="3600000" cy="2608445"/>
            <wp:effectExtent l="0" t="0" r="0" b="0"/>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8E680.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00000" cy="2608445"/>
                    </a:xfrm>
                    <a:prstGeom prst="rect">
                      <a:avLst/>
                    </a:prstGeom>
                  </pic:spPr>
                </pic:pic>
              </a:graphicData>
            </a:graphic>
          </wp:inline>
        </w:drawing>
      </w:r>
    </w:p>
    <w:p w:rsidR="00FB5239" w:rsidRPr="00A937B9" w:rsidRDefault="00D53339">
      <w:pPr>
        <w:pStyle w:val="CorpoAltF0"/>
        <w:spacing w:before="120"/>
        <w:ind w:left="425"/>
      </w:pPr>
      <w:r w:rsidRPr="00A937B9">
        <w:t xml:space="preserve">Pertanto, verranno evidenziati in stampa i soli valori contrassegnati in tale sezione (per </w:t>
      </w:r>
      <w:r w:rsidRPr="00A937B9">
        <w:rPr>
          <w:i/>
        </w:rPr>
        <w:t>default</w:t>
      </w:r>
      <w:r w:rsidRPr="00A937B9">
        <w:t>, tutti i campi risultano contrassegnati) e verrà conseguentemente determinato l’importo della retribuzione netta mensile.</w:t>
      </w:r>
    </w:p>
    <w:p w:rsidR="00FB5239" w:rsidRPr="00A937B9" w:rsidRDefault="00FB5239">
      <w:pPr>
        <w:pStyle w:val="CorpoAltF0"/>
        <w:ind w:left="425"/>
      </w:pPr>
    </w:p>
    <w:p w:rsidR="00FB5239" w:rsidRPr="00A937B9" w:rsidRDefault="00D53339">
      <w:pPr>
        <w:pStyle w:val="CorpoAltF0"/>
        <w:numPr>
          <w:ilvl w:val="0"/>
          <w:numId w:val="3"/>
        </w:numPr>
        <w:ind w:left="425" w:hanging="357"/>
      </w:pPr>
      <w:r w:rsidRPr="00A937B9">
        <w:t>Ai fini del calcolo delle trattenute Irpef, modificato il programma al fine di determinare l’imponibile fiscale considerando gli eventuali oneri deducibili spettanti (ad esempio contributi previdenza complementare).</w:t>
      </w:r>
    </w:p>
    <w:p w:rsidR="00FB5239" w:rsidRPr="00A937B9" w:rsidRDefault="00FB5239">
      <w:pPr>
        <w:pStyle w:val="CorpoAltF0"/>
        <w:ind w:left="425"/>
      </w:pPr>
    </w:p>
    <w:p w:rsidR="00FB5239" w:rsidRPr="00A937B9" w:rsidRDefault="00D53339">
      <w:pPr>
        <w:pStyle w:val="CorpoAltF0"/>
        <w:numPr>
          <w:ilvl w:val="0"/>
          <w:numId w:val="3"/>
        </w:numPr>
        <w:ind w:left="425" w:hanging="357"/>
      </w:pPr>
      <w:r w:rsidRPr="00A937B9">
        <w:t>Modificato il modello di lettera fornito con la procedura (file CERTSTIP.rtf in \EPAGHE\</w:t>
      </w:r>
      <w:proofErr w:type="spellStart"/>
      <w:r w:rsidRPr="00A937B9">
        <w:t>rtf</w:t>
      </w:r>
      <w:proofErr w:type="spellEnd"/>
      <w:r w:rsidRPr="00A937B9">
        <w:t>) al fine di:</w:t>
      </w:r>
    </w:p>
    <w:p w:rsidR="00FB5239" w:rsidRPr="00A937B9" w:rsidRDefault="00D53339">
      <w:pPr>
        <w:pStyle w:val="CorpoAltF0"/>
        <w:numPr>
          <w:ilvl w:val="0"/>
          <w:numId w:val="4"/>
        </w:numPr>
        <w:spacing w:before="40"/>
        <w:ind w:left="850" w:hanging="357"/>
      </w:pPr>
      <w:r w:rsidRPr="00A937B9">
        <w:t>evidenziare, in caso di dipe</w:t>
      </w:r>
      <w:r w:rsidR="00177317" w:rsidRPr="00A937B9">
        <w:t>n</w:t>
      </w:r>
      <w:r w:rsidRPr="00A937B9">
        <w:t>dente a tempo determinato, la relativa data di fine rapporto;</w:t>
      </w:r>
    </w:p>
    <w:p w:rsidR="00FB5239" w:rsidRPr="00A937B9" w:rsidRDefault="00D53339">
      <w:pPr>
        <w:pStyle w:val="CorpoAltF0"/>
        <w:numPr>
          <w:ilvl w:val="0"/>
          <w:numId w:val="4"/>
        </w:numPr>
        <w:spacing w:before="40"/>
        <w:ind w:left="850" w:hanging="357"/>
      </w:pPr>
      <w:r w:rsidRPr="00A937B9">
        <w:t>specificare la casistica di dipendente in forza ma non in servizio per aspettativa non retribuita (cod. 7 al campo “</w:t>
      </w:r>
      <w:r w:rsidRPr="00A937B9">
        <w:rPr>
          <w:i/>
        </w:rPr>
        <w:t>Trattamento IRPEF</w:t>
      </w:r>
      <w:r w:rsidRPr="00A937B9">
        <w:t>” della scheda “</w:t>
      </w:r>
      <w:r w:rsidRPr="00A937B9">
        <w:rPr>
          <w:i/>
        </w:rPr>
        <w:t>Dati generali</w:t>
      </w:r>
      <w:r w:rsidRPr="00A937B9">
        <w:t xml:space="preserve">” di </w:t>
      </w:r>
      <w:r w:rsidRPr="00A937B9">
        <w:rPr>
          <w:b/>
        </w:rPr>
        <w:t>DIPE</w:t>
      </w:r>
      <w:r w:rsidRPr="00A937B9">
        <w:t>).</w:t>
      </w:r>
    </w:p>
    <w:p w:rsidR="00FB5239" w:rsidRPr="00A937B9" w:rsidRDefault="00FB5239">
      <w:pPr>
        <w:pStyle w:val="CorpoAltF0"/>
        <w:ind w:left="425"/>
      </w:pPr>
    </w:p>
    <w:p w:rsidR="00FB5239" w:rsidRPr="00A937B9" w:rsidRDefault="00D53339">
      <w:pPr>
        <w:pStyle w:val="CorpoAltF0"/>
        <w:numPr>
          <w:ilvl w:val="0"/>
          <w:numId w:val="3"/>
        </w:numPr>
        <w:ind w:left="425" w:hanging="357"/>
      </w:pPr>
      <w:r w:rsidRPr="00A937B9">
        <w:t>Nell’archivio dei campi utilizzabili ai fini della predisposizione di un modello di lettera personalizzata, sono stati inseriti i campi relativi a tipologia e percentuale di part-time, all’importo mensile di prestito (in caso di prestito/cessi</w:t>
      </w:r>
      <w:r w:rsidR="00177317" w:rsidRPr="00A937B9">
        <w:t>o</w:t>
      </w:r>
      <w:r w:rsidRPr="00A937B9">
        <w:t>ne/pignoramento ad importo fisso) e l’importo del TFR non destinato a previdenza comple</w:t>
      </w:r>
      <w:r w:rsidR="00177317" w:rsidRPr="00A937B9">
        <w:t>me</w:t>
      </w:r>
      <w:r w:rsidRPr="00A937B9">
        <w:t>ntare (somma del Tfr in azienda ed a F.do Tesoreria INPS).</w:t>
      </w:r>
    </w:p>
    <w:p w:rsidR="00FB5239" w:rsidRPr="00A937B9" w:rsidRDefault="00FB5239" w:rsidP="00A57B51">
      <w:pPr>
        <w:pStyle w:val="CorpoAltF0"/>
      </w:pPr>
    </w:p>
    <w:p w:rsidR="00043396" w:rsidRPr="00A937B9" w:rsidRDefault="00043396" w:rsidP="00A57B51">
      <w:pPr>
        <w:pStyle w:val="CorpoAltF0"/>
      </w:pPr>
    </w:p>
    <w:p w:rsidR="00043396" w:rsidRPr="00A937B9" w:rsidRDefault="00043396" w:rsidP="00A57B51">
      <w:pPr>
        <w:pStyle w:val="CorpoAltF0"/>
      </w:pPr>
    </w:p>
    <w:p w:rsidR="00043396" w:rsidRPr="00A937B9" w:rsidRDefault="00043396" w:rsidP="00A57B51">
      <w:pPr>
        <w:pStyle w:val="CorpoAltF0"/>
      </w:pPr>
    </w:p>
    <w:p w:rsidR="00043396" w:rsidRPr="00A937B9" w:rsidRDefault="00043396" w:rsidP="00A57B51">
      <w:pPr>
        <w:pStyle w:val="CorpoAltF0"/>
      </w:pPr>
    </w:p>
    <w:p w:rsidR="00043396" w:rsidRPr="00A937B9" w:rsidRDefault="00043396" w:rsidP="00A57B51">
      <w:pPr>
        <w:pStyle w:val="CorpoAltF0"/>
      </w:pPr>
    </w:p>
    <w:p w:rsidR="00043396" w:rsidRPr="00A937B9" w:rsidRDefault="00043396" w:rsidP="00043396">
      <w:pPr>
        <w:pStyle w:val="CorpoAltF0"/>
      </w:pPr>
    </w:p>
    <w:p w:rsidR="00043396" w:rsidRPr="00A937B9" w:rsidRDefault="00043396" w:rsidP="00043396">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043396" w:rsidRPr="00A937B9" w:rsidTr="002A4886">
        <w:trPr>
          <w:trHeight w:val="558"/>
        </w:trPr>
        <w:tc>
          <w:tcPr>
            <w:tcW w:w="6874" w:type="dxa"/>
            <w:tcBorders>
              <w:top w:val="nil"/>
              <w:left w:val="nil"/>
              <w:bottom w:val="single" w:sz="12" w:space="0" w:color="auto"/>
              <w:right w:val="nil"/>
            </w:tcBorders>
            <w:vAlign w:val="center"/>
          </w:tcPr>
          <w:p w:rsidR="00043396" w:rsidRPr="00A937B9" w:rsidRDefault="00043396" w:rsidP="002A4886">
            <w:pPr>
              <w:pStyle w:val="TS-titolo-01"/>
              <w:outlineLvl w:val="0"/>
            </w:pPr>
            <w:bookmarkStart w:id="401" w:name="_Toc495680350"/>
            <w:bookmarkStart w:id="402" w:name="_Toc499133786"/>
            <w:bookmarkStart w:id="403" w:name="_Toc499135184"/>
            <w:r w:rsidRPr="00A937B9">
              <w:t>Elaborazioni mensili</w:t>
            </w:r>
            <w:bookmarkEnd w:id="401"/>
            <w:bookmarkEnd w:id="402"/>
            <w:bookmarkEnd w:id="403"/>
          </w:p>
        </w:tc>
        <w:tc>
          <w:tcPr>
            <w:tcW w:w="2901" w:type="dxa"/>
            <w:tcBorders>
              <w:top w:val="single" w:sz="4" w:space="0" w:color="auto"/>
              <w:left w:val="nil"/>
              <w:bottom w:val="single" w:sz="4" w:space="0" w:color="auto"/>
              <w:right w:val="nil"/>
            </w:tcBorders>
            <w:shd w:val="clear" w:color="auto" w:fill="000000"/>
            <w:vAlign w:val="center"/>
          </w:tcPr>
          <w:p w:rsidR="00043396" w:rsidRPr="00A937B9" w:rsidRDefault="00043396" w:rsidP="002A4886">
            <w:pPr>
              <w:pStyle w:val="TS-titolo-02"/>
              <w:outlineLvl w:val="0"/>
            </w:pPr>
          </w:p>
        </w:tc>
      </w:tr>
    </w:tbl>
    <w:p w:rsidR="00043396" w:rsidRPr="00A937B9" w:rsidRDefault="00043396" w:rsidP="00043396">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043396" w:rsidRPr="00A937B9" w:rsidTr="002A4886">
        <w:trPr>
          <w:trHeight w:val="545"/>
        </w:trPr>
        <w:tc>
          <w:tcPr>
            <w:tcW w:w="6874" w:type="dxa"/>
            <w:tcBorders>
              <w:top w:val="single" w:sz="12" w:space="0" w:color="auto"/>
              <w:left w:val="nil"/>
              <w:bottom w:val="nil"/>
              <w:right w:val="nil"/>
            </w:tcBorders>
          </w:tcPr>
          <w:p w:rsidR="00043396" w:rsidRPr="00A937B9" w:rsidRDefault="00043396" w:rsidP="002A4886">
            <w:pPr>
              <w:pStyle w:val="Intestazione"/>
              <w:outlineLvl w:val="1"/>
              <w:rPr>
                <w:rFonts w:ascii="Arial" w:hAnsi="Arial" w:cs="Arial"/>
                <w:b/>
                <w:i/>
                <w:sz w:val="24"/>
                <w:szCs w:val="24"/>
              </w:rPr>
            </w:pPr>
            <w:r w:rsidRPr="00A937B9">
              <w:rPr>
                <w:rFonts w:ascii="Arial" w:hAnsi="Arial" w:cs="Arial"/>
                <w:b/>
                <w:i/>
                <w:sz w:val="24"/>
                <w:szCs w:val="24"/>
              </w:rPr>
              <w:t>Stampe</w:t>
            </w:r>
          </w:p>
        </w:tc>
        <w:tc>
          <w:tcPr>
            <w:tcW w:w="2901" w:type="dxa"/>
            <w:tcBorders>
              <w:top w:val="single" w:sz="4" w:space="0" w:color="auto"/>
              <w:left w:val="nil"/>
              <w:bottom w:val="nil"/>
              <w:right w:val="nil"/>
            </w:tcBorders>
            <w:shd w:val="clear" w:color="auto" w:fill="D9D9D9" w:themeFill="background1" w:themeFillShade="D9"/>
            <w:vAlign w:val="center"/>
          </w:tcPr>
          <w:p w:rsidR="00043396" w:rsidRPr="00A937B9" w:rsidRDefault="00043396" w:rsidP="002A4886">
            <w:pPr>
              <w:pStyle w:val="TS-titolo-Comando"/>
              <w:outlineLvl w:val="1"/>
            </w:pPr>
            <w:bookmarkStart w:id="404" w:name="STNOM"/>
            <w:bookmarkStart w:id="405" w:name="_Toc499133787"/>
            <w:bookmarkStart w:id="406" w:name="_Toc499135185"/>
            <w:bookmarkEnd w:id="404"/>
            <w:r w:rsidRPr="00A937B9">
              <w:t>STNOM</w:t>
            </w:r>
            <w:bookmarkEnd w:id="405"/>
            <w:bookmarkEnd w:id="406"/>
          </w:p>
        </w:tc>
      </w:tr>
    </w:tbl>
    <w:p w:rsidR="00043396" w:rsidRPr="00A937B9" w:rsidRDefault="00043396" w:rsidP="00043396">
      <w:pPr>
        <w:pStyle w:val="TS-titolo-04"/>
        <w:outlineLvl w:val="2"/>
      </w:pPr>
      <w:bookmarkStart w:id="407" w:name="_Toc499133788"/>
      <w:bookmarkStart w:id="408" w:name="_Toc499135186"/>
      <w:r w:rsidRPr="00A937B9">
        <w:t>Distinta contanti assegni bonifici</w:t>
      </w:r>
      <w:bookmarkEnd w:id="407"/>
      <w:bookmarkEnd w:id="408"/>
    </w:p>
    <w:p w:rsidR="00043396" w:rsidRPr="00A937B9" w:rsidRDefault="00043396" w:rsidP="00043396">
      <w:pPr>
        <w:pStyle w:val="CorpoAltF0"/>
        <w:spacing w:before="120"/>
      </w:pPr>
      <w:r w:rsidRPr="00A937B9">
        <w:t xml:space="preserve">La scelta in oggetto del comando </w:t>
      </w:r>
      <w:r w:rsidRPr="00A937B9">
        <w:rPr>
          <w:b/>
        </w:rPr>
        <w:t>STNOM</w:t>
      </w:r>
      <w:r w:rsidRPr="00A937B9">
        <w:t xml:space="preserve"> (scelta 7) è stata implementata per riportare anche l’eventuale doppio accredito nel caso in cui venga utilizzato per corrispondere gli assegni familiari al coniuge.</w:t>
      </w:r>
    </w:p>
    <w:p w:rsidR="00A57B51" w:rsidRPr="00A937B9" w:rsidRDefault="00A57B51" w:rsidP="00A57B51">
      <w:pPr>
        <w:pStyle w:val="CorpoAltF0"/>
      </w:pPr>
    </w:p>
    <w:p w:rsidR="00043396" w:rsidRPr="00A937B9" w:rsidRDefault="00043396" w:rsidP="00A57B51">
      <w:pPr>
        <w:pStyle w:val="CorpoAltF0"/>
      </w:pPr>
    </w:p>
    <w:p w:rsidR="00043396" w:rsidRPr="00A937B9" w:rsidRDefault="00043396" w:rsidP="00A57B51">
      <w:pPr>
        <w:pStyle w:val="CorpoAltF0"/>
      </w:pPr>
    </w:p>
    <w:p w:rsidR="00043396" w:rsidRPr="00A937B9" w:rsidRDefault="00043396" w:rsidP="00A57B51">
      <w:pPr>
        <w:pStyle w:val="CorpoAltF0"/>
      </w:pPr>
    </w:p>
    <w:p w:rsidR="00043396" w:rsidRPr="00A937B9" w:rsidRDefault="00043396" w:rsidP="00A57B51">
      <w:pPr>
        <w:pStyle w:val="CorpoAltF0"/>
      </w:pPr>
    </w:p>
    <w:p w:rsidR="00043396" w:rsidRPr="00A937B9" w:rsidRDefault="00043396" w:rsidP="00A57B51">
      <w:pPr>
        <w:pStyle w:val="CorpoAltF0"/>
      </w:pPr>
    </w:p>
    <w:p w:rsidR="00043396" w:rsidRPr="00A937B9" w:rsidRDefault="00043396" w:rsidP="00A57B51">
      <w:pPr>
        <w:pStyle w:val="CorpoAltF0"/>
      </w:pPr>
    </w:p>
    <w:p w:rsidR="00A57B51" w:rsidRPr="00A937B9" w:rsidRDefault="00A57B51" w:rsidP="00A57B51">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A57B51" w:rsidRPr="00A937B9" w:rsidTr="002A4886">
        <w:trPr>
          <w:trHeight w:val="558"/>
        </w:trPr>
        <w:tc>
          <w:tcPr>
            <w:tcW w:w="6874" w:type="dxa"/>
            <w:tcBorders>
              <w:top w:val="nil"/>
              <w:left w:val="nil"/>
              <w:bottom w:val="single" w:sz="12" w:space="0" w:color="auto"/>
              <w:right w:val="nil"/>
            </w:tcBorders>
            <w:vAlign w:val="center"/>
          </w:tcPr>
          <w:p w:rsidR="00A57B51" w:rsidRPr="00A937B9" w:rsidRDefault="00A57B51" w:rsidP="002A4886">
            <w:pPr>
              <w:pStyle w:val="TS-titolo-01"/>
              <w:outlineLvl w:val="0"/>
            </w:pPr>
            <w:bookmarkStart w:id="409" w:name="DMA"/>
            <w:bookmarkStart w:id="410" w:name="_Toc498596677"/>
            <w:bookmarkStart w:id="411" w:name="_Toc499135187"/>
            <w:bookmarkEnd w:id="409"/>
            <w:r w:rsidRPr="00A937B9">
              <w:t>Altri enti</w:t>
            </w:r>
            <w:bookmarkEnd w:id="410"/>
            <w:bookmarkEnd w:id="411"/>
          </w:p>
        </w:tc>
        <w:tc>
          <w:tcPr>
            <w:tcW w:w="2901" w:type="dxa"/>
            <w:tcBorders>
              <w:top w:val="single" w:sz="4" w:space="0" w:color="auto"/>
              <w:left w:val="nil"/>
              <w:bottom w:val="single" w:sz="4" w:space="0" w:color="auto"/>
              <w:right w:val="nil"/>
            </w:tcBorders>
            <w:shd w:val="clear" w:color="auto" w:fill="000000"/>
            <w:vAlign w:val="center"/>
          </w:tcPr>
          <w:p w:rsidR="00A57B51" w:rsidRPr="00A937B9" w:rsidRDefault="00A57B51" w:rsidP="002A4886">
            <w:pPr>
              <w:pStyle w:val="TS-titolo-02"/>
              <w:outlineLvl w:val="0"/>
            </w:pPr>
          </w:p>
        </w:tc>
      </w:tr>
    </w:tbl>
    <w:p w:rsidR="00A57B51" w:rsidRPr="00A937B9" w:rsidRDefault="00A57B51" w:rsidP="00A57B51">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A57B51" w:rsidRPr="00A937B9" w:rsidTr="002A4886">
        <w:trPr>
          <w:trHeight w:val="545"/>
        </w:trPr>
        <w:tc>
          <w:tcPr>
            <w:tcW w:w="6874" w:type="dxa"/>
            <w:tcBorders>
              <w:top w:val="single" w:sz="12" w:space="0" w:color="auto"/>
              <w:left w:val="nil"/>
              <w:bottom w:val="nil"/>
              <w:right w:val="nil"/>
            </w:tcBorders>
          </w:tcPr>
          <w:p w:rsidR="00A57B51" w:rsidRPr="00A937B9" w:rsidRDefault="00A57B51" w:rsidP="002A4886">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rsidR="00A57B51" w:rsidRPr="00A937B9" w:rsidRDefault="00A57B51" w:rsidP="002A4886">
            <w:pPr>
              <w:pStyle w:val="TS-titolo-Comando"/>
              <w:outlineLvl w:val="1"/>
            </w:pPr>
            <w:bookmarkStart w:id="412" w:name="_Toc498596678"/>
            <w:bookmarkStart w:id="413" w:name="_Toc499135188"/>
            <w:r w:rsidRPr="00A937B9">
              <w:t>DMA</w:t>
            </w:r>
            <w:bookmarkEnd w:id="412"/>
            <w:bookmarkEnd w:id="413"/>
          </w:p>
        </w:tc>
      </w:tr>
    </w:tbl>
    <w:p w:rsidR="00A57B51" w:rsidRPr="00A937B9" w:rsidRDefault="00A57B51" w:rsidP="00A57B51">
      <w:pPr>
        <w:pStyle w:val="TS-titolo-04"/>
      </w:pPr>
      <w:bookmarkStart w:id="414" w:name="_Toc498596679"/>
      <w:bookmarkStart w:id="415" w:name="_Toc499135189"/>
      <w:r w:rsidRPr="00A937B9">
        <w:t>Gestione denuncia mensile INPDAP</w:t>
      </w:r>
      <w:bookmarkEnd w:id="414"/>
      <w:bookmarkEnd w:id="415"/>
    </w:p>
    <w:p w:rsidR="00A57B51" w:rsidRPr="00A937B9" w:rsidRDefault="00A57B51" w:rsidP="00A57B51">
      <w:pPr>
        <w:pStyle w:val="CorpoAltF0"/>
        <w:spacing w:before="120"/>
      </w:pPr>
      <w:r w:rsidRPr="00A937B9">
        <w:t>La scheda “</w:t>
      </w:r>
      <w:r w:rsidRPr="00A937B9">
        <w:rPr>
          <w:i/>
        </w:rPr>
        <w:t>Enti versamento</w:t>
      </w:r>
      <w:r w:rsidRPr="00A937B9">
        <w:t>” della sezione “</w:t>
      </w:r>
      <w:r w:rsidRPr="00A937B9">
        <w:rPr>
          <w:i/>
        </w:rPr>
        <w:t>E0 – periodi e retribuzioni</w:t>
      </w:r>
      <w:r w:rsidRPr="00A937B9">
        <w:t>” e “</w:t>
      </w:r>
      <w:r w:rsidRPr="00A937B9">
        <w:rPr>
          <w:i/>
        </w:rPr>
        <w:t>V1 – Retribuzioni periodi pregressi</w:t>
      </w:r>
      <w:r w:rsidRPr="00A937B9">
        <w:t>” (“</w:t>
      </w:r>
      <w:r w:rsidRPr="00A937B9">
        <w:rPr>
          <w:i/>
        </w:rPr>
        <w:t>Gestione dichiarazioni”</w:t>
      </w:r>
      <w:r w:rsidRPr="00A937B9">
        <w:t xml:space="preserve"> &gt; “</w:t>
      </w:r>
      <w:r w:rsidRPr="00A937B9">
        <w:rPr>
          <w:i/>
        </w:rPr>
        <w:t>Dettaglio dipendenti</w:t>
      </w:r>
      <w:r w:rsidRPr="00A937B9">
        <w:t>”) è stata ampliata al fine di consentire l’imputazione di 24 righe di contribuzione.</w:t>
      </w:r>
    </w:p>
    <w:p w:rsidR="00FB5239" w:rsidRPr="00A937B9" w:rsidRDefault="00D53339" w:rsidP="00A57B51">
      <w:pPr>
        <w:pStyle w:val="CorpoAltF0"/>
      </w:pPr>
      <w:r w:rsidRPr="00A937B9">
        <w:br w:type="page"/>
      </w:r>
    </w:p>
    <w:p w:rsidR="00FB5239" w:rsidRPr="00A937B9" w:rsidRDefault="00FB5239">
      <w:pPr>
        <w:pStyle w:val="CorpoAltF0"/>
      </w:pPr>
      <w:bookmarkStart w:id="416" w:name="_Hlk499104553"/>
    </w:p>
    <w:p w:rsidR="00FB5239" w:rsidRPr="00A937B9" w:rsidRDefault="00FB5239">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FB5239" w:rsidRPr="00A937B9">
        <w:trPr>
          <w:trHeight w:val="558"/>
        </w:trPr>
        <w:tc>
          <w:tcPr>
            <w:tcW w:w="6874" w:type="dxa"/>
            <w:tcBorders>
              <w:top w:val="nil"/>
              <w:left w:val="nil"/>
              <w:bottom w:val="single" w:sz="12" w:space="0" w:color="auto"/>
              <w:right w:val="nil"/>
            </w:tcBorders>
            <w:vAlign w:val="center"/>
          </w:tcPr>
          <w:p w:rsidR="00FB5239" w:rsidRPr="00A937B9" w:rsidRDefault="00D53339">
            <w:pPr>
              <w:pStyle w:val="TS-titolo-01"/>
              <w:outlineLvl w:val="0"/>
            </w:pPr>
            <w:bookmarkStart w:id="417" w:name="BUDGET"/>
            <w:bookmarkStart w:id="418" w:name="_Toc499135190"/>
            <w:bookmarkEnd w:id="417"/>
            <w:r w:rsidRPr="00A937B9">
              <w:t>Budget e Costo del personale</w:t>
            </w:r>
            <w:bookmarkEnd w:id="418"/>
          </w:p>
        </w:tc>
        <w:tc>
          <w:tcPr>
            <w:tcW w:w="2901" w:type="dxa"/>
            <w:tcBorders>
              <w:top w:val="single" w:sz="4" w:space="0" w:color="auto"/>
              <w:left w:val="nil"/>
              <w:bottom w:val="single" w:sz="4" w:space="0" w:color="auto"/>
              <w:right w:val="nil"/>
            </w:tcBorders>
            <w:shd w:val="clear" w:color="auto" w:fill="000000"/>
            <w:vAlign w:val="center"/>
          </w:tcPr>
          <w:p w:rsidR="00FB5239" w:rsidRPr="00A937B9" w:rsidRDefault="00FB5239">
            <w:pPr>
              <w:pStyle w:val="TS-titolo-02"/>
              <w:outlineLvl w:val="0"/>
            </w:pPr>
          </w:p>
        </w:tc>
      </w:tr>
    </w:tbl>
    <w:p w:rsidR="00FB5239" w:rsidRPr="00A937B9" w:rsidRDefault="00FB5239">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FB5239" w:rsidRPr="00A937B9">
        <w:trPr>
          <w:trHeight w:val="545"/>
        </w:trPr>
        <w:tc>
          <w:tcPr>
            <w:tcW w:w="6874" w:type="dxa"/>
            <w:tcBorders>
              <w:top w:val="single" w:sz="12" w:space="0" w:color="auto"/>
              <w:left w:val="nil"/>
              <w:bottom w:val="nil"/>
              <w:right w:val="nil"/>
            </w:tcBorders>
          </w:tcPr>
          <w:p w:rsidR="00FB5239" w:rsidRPr="00A937B9" w:rsidRDefault="00FB5239">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rsidR="00FB5239" w:rsidRPr="00A937B9" w:rsidRDefault="00D53339">
            <w:pPr>
              <w:pStyle w:val="TS-titolo-Comando"/>
              <w:outlineLvl w:val="1"/>
            </w:pPr>
            <w:bookmarkStart w:id="419" w:name="_Toc499135191"/>
            <w:r w:rsidRPr="00A937B9">
              <w:t>BUDGET</w:t>
            </w:r>
            <w:bookmarkEnd w:id="419"/>
          </w:p>
        </w:tc>
      </w:tr>
    </w:tbl>
    <w:p w:rsidR="00FB5239" w:rsidRPr="00A937B9" w:rsidRDefault="00FB5239">
      <w:pPr>
        <w:pStyle w:val="CorpoAltF0"/>
      </w:pPr>
      <w:bookmarkStart w:id="420" w:name="BUDGET_BilancioInfrannuale"/>
      <w:bookmarkEnd w:id="420"/>
    </w:p>
    <w:p w:rsidR="00FB5239" w:rsidRPr="00A937B9" w:rsidRDefault="00D53339">
      <w:pPr>
        <w:pStyle w:val="TS-titolo-04"/>
      </w:pPr>
      <w:bookmarkStart w:id="421" w:name="BUDGET_ConsSenzaPrev"/>
      <w:bookmarkStart w:id="422" w:name="_Toc499135192"/>
      <w:bookmarkEnd w:id="421"/>
      <w:bookmarkEnd w:id="416"/>
      <w:r w:rsidRPr="00A937B9">
        <w:t>Elaborazione consuntivo</w:t>
      </w:r>
      <w:bookmarkEnd w:id="422"/>
    </w:p>
    <w:p w:rsidR="00FB5239" w:rsidRPr="00A937B9" w:rsidRDefault="00D53339">
      <w:pPr>
        <w:pStyle w:val="CorpoAltF0"/>
        <w:spacing w:before="120"/>
      </w:pPr>
      <w:r w:rsidRPr="00A937B9">
        <w:t>Modificato il programma al fine di consentire l’elaborazione del budget a consuntivo anche in assenza del corrispondente preventivo elaborato.</w:t>
      </w:r>
    </w:p>
    <w:p w:rsidR="00FB5239" w:rsidRPr="00A937B9" w:rsidRDefault="00D53339">
      <w:pPr>
        <w:pStyle w:val="CorpoAltF0"/>
        <w:spacing w:before="120"/>
        <w:jc w:val="center"/>
      </w:pPr>
      <w:r w:rsidRPr="00A937B9">
        <w:rPr>
          <w:noProof/>
        </w:rPr>
        <w:drawing>
          <wp:inline distT="0" distB="0" distL="0" distR="0">
            <wp:extent cx="5040000" cy="2794389"/>
            <wp:effectExtent l="0" t="0" r="0" b="0"/>
            <wp:docPr id="4" name="Immagine 4"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646FC8.tmp"/>
                    <pic:cNvPicPr/>
                  </pic:nvPicPr>
                  <pic:blipFill>
                    <a:blip r:embed="rId39">
                      <a:extLst>
                        <a:ext uri="{28A0092B-C50C-407E-A947-70E740481C1C}">
                          <a14:useLocalDpi xmlns:a14="http://schemas.microsoft.com/office/drawing/2010/main" val="0"/>
                        </a:ext>
                      </a:extLst>
                    </a:blip>
                    <a:stretch>
                      <a:fillRect/>
                    </a:stretch>
                  </pic:blipFill>
                  <pic:spPr>
                    <a:xfrm>
                      <a:off x="0" y="0"/>
                      <a:ext cx="5040000" cy="2794389"/>
                    </a:xfrm>
                    <a:prstGeom prst="rect">
                      <a:avLst/>
                    </a:prstGeom>
                  </pic:spPr>
                </pic:pic>
              </a:graphicData>
            </a:graphic>
          </wp:inline>
        </w:drawing>
      </w:r>
    </w:p>
    <w:p w:rsidR="00FB5239" w:rsidRPr="00A937B9" w:rsidRDefault="00D53339">
      <w:pPr>
        <w:pStyle w:val="CorpoAltF0"/>
        <w:spacing w:before="120"/>
      </w:pPr>
      <w:r w:rsidRPr="00A937B9">
        <w:t>Il pulsante “</w:t>
      </w:r>
      <w:r w:rsidRPr="00A937B9">
        <w:rPr>
          <w:i/>
        </w:rPr>
        <w:t>Elaborazione consuntivo</w:t>
      </w:r>
      <w:r w:rsidRPr="00A937B9">
        <w:t>”, pertanto, risulterà abilitato anche nel caso in cui lo “</w:t>
      </w:r>
      <w:r w:rsidRPr="00A937B9">
        <w:rPr>
          <w:i/>
        </w:rPr>
        <w:t>Stato preventivo</w:t>
      </w:r>
      <w:r w:rsidRPr="00A937B9">
        <w:t>” risulti “</w:t>
      </w:r>
      <w:r w:rsidRPr="00A937B9">
        <w:rPr>
          <w:i/>
        </w:rPr>
        <w:t>Da elaborare</w:t>
      </w:r>
      <w:r w:rsidRPr="00A937B9">
        <w:t>”.</w:t>
      </w:r>
    </w:p>
    <w:p w:rsidR="00FB5239" w:rsidRPr="00A937B9" w:rsidRDefault="00D53339">
      <w:pPr>
        <w:pStyle w:val="CorpoAltF0"/>
        <w:spacing w:before="120"/>
      </w:pPr>
      <w:r w:rsidRPr="00A937B9">
        <w:t>La generazione del consuntivo sarà comunque possibile solo dopo la configurazione (anche parziale) del budget (“</w:t>
      </w:r>
      <w:r w:rsidRPr="00A937B9">
        <w:rPr>
          <w:i/>
        </w:rPr>
        <w:t>Stato configurazione</w:t>
      </w:r>
      <w:r w:rsidRPr="00A937B9">
        <w:t>” = “</w:t>
      </w:r>
      <w:r w:rsidRPr="00A937B9">
        <w:rPr>
          <w:i/>
        </w:rPr>
        <w:t>In corso</w:t>
      </w:r>
      <w:r w:rsidRPr="00A937B9">
        <w:t>” o “</w:t>
      </w:r>
      <w:r w:rsidRPr="00A937B9">
        <w:rPr>
          <w:i/>
        </w:rPr>
        <w:t>Completata</w:t>
      </w:r>
      <w:r w:rsidRPr="00A937B9">
        <w:t>”) e solo in presenza di almeno una mensilità aggiornata per l’anno oggetto di budget (verifica dei campi “</w:t>
      </w:r>
      <w:r w:rsidRPr="00A937B9">
        <w:rPr>
          <w:i/>
        </w:rPr>
        <w:t>Anno / Mese aggiornamento</w:t>
      </w:r>
      <w:r w:rsidRPr="00A937B9">
        <w:t>” della scheda “</w:t>
      </w:r>
      <w:r w:rsidRPr="00A937B9">
        <w:rPr>
          <w:i/>
        </w:rPr>
        <w:t>Dati statistici</w:t>
      </w:r>
      <w:r w:rsidRPr="00A937B9">
        <w:t xml:space="preserve">” di </w:t>
      </w:r>
      <w:r w:rsidRPr="00A937B9">
        <w:rPr>
          <w:b/>
        </w:rPr>
        <w:t>AZIE</w:t>
      </w:r>
      <w:r w:rsidRPr="00A937B9">
        <w:t>).</w:t>
      </w:r>
    </w:p>
    <w:p w:rsidR="00FB5239" w:rsidRDefault="00D53339">
      <w:pPr>
        <w:pStyle w:val="CorpoAltF0"/>
        <w:spacing w:before="120"/>
      </w:pPr>
      <w:r w:rsidRPr="00A937B9">
        <w:t>Dopo l’elaborazione del consuntivo, in mancanza del corrispondente preventivo, nella sezione “</w:t>
      </w:r>
      <w:r w:rsidRPr="00A937B9">
        <w:rPr>
          <w:i/>
        </w:rPr>
        <w:t>Report consuntivo</w:t>
      </w:r>
      <w:r w:rsidRPr="00A937B9">
        <w:t>” non saranno disponibili le scelte di stampa degli scostamenti.</w:t>
      </w:r>
    </w:p>
    <w:p w:rsidR="00FB5239" w:rsidRDefault="00FB5239">
      <w:pPr>
        <w:pStyle w:val="CorpoAltF0"/>
      </w:pPr>
    </w:p>
    <w:sectPr w:rsidR="00FB5239">
      <w:headerReference w:type="default" r:id="rId40"/>
      <w:footerReference w:type="default" r:id="rId41"/>
      <w:pgSz w:w="11907" w:h="16840" w:code="9"/>
      <w:pgMar w:top="567" w:right="992" w:bottom="1134" w:left="1134" w:header="397" w:footer="397" w:gutter="0"/>
      <w:pgNumType w:chapStyle="1" w:chapSep="period"/>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4E1D" w:rsidRDefault="002F4E1D">
      <w:r>
        <w:separator/>
      </w:r>
    </w:p>
  </w:endnote>
  <w:endnote w:type="continuationSeparator" w:id="0">
    <w:p w:rsidR="002F4E1D" w:rsidRDefault="002F4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E1D" w:rsidRDefault="002F4E1D">
    <w:pPr>
      <w:pStyle w:val="CorpoAltF0"/>
      <w:jc w:val="center"/>
      <w:rPr>
        <w:sz w:val="10"/>
        <w:szCs w:val="10"/>
      </w:rPr>
    </w:pPr>
    <w:r>
      <w:rPr>
        <w:noProof/>
        <w:sz w:val="10"/>
        <w:szCs w:val="10"/>
      </w:rPr>
      <w:drawing>
        <wp:inline distT="0" distB="0" distL="0" distR="0">
          <wp:extent cx="6120000" cy="360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0" cy="36000"/>
                  </a:xfrm>
                  <a:prstGeom prst="rect">
                    <a:avLst/>
                  </a:prstGeom>
                  <a:noFill/>
                  <a:ln>
                    <a:noFill/>
                  </a:ln>
                </pic:spPr>
              </pic:pic>
            </a:graphicData>
          </a:graphic>
        </wp:inline>
      </w:drawing>
    </w:r>
  </w:p>
  <w:tbl>
    <w:tblPr>
      <w:tblW w:w="9639" w:type="dxa"/>
      <w:jc w:val="center"/>
      <w:tblLayout w:type="fixed"/>
      <w:tblCellMar>
        <w:left w:w="70" w:type="dxa"/>
        <w:right w:w="70" w:type="dxa"/>
      </w:tblCellMar>
      <w:tblLook w:val="0000" w:firstRow="0" w:lastRow="0" w:firstColumn="0" w:lastColumn="0" w:noHBand="0" w:noVBand="0"/>
    </w:tblPr>
    <w:tblGrid>
      <w:gridCol w:w="2977"/>
      <w:gridCol w:w="4961"/>
      <w:gridCol w:w="1701"/>
    </w:tblGrid>
    <w:tr w:rsidR="002F4E1D">
      <w:trPr>
        <w:trHeight w:hRule="exact" w:val="567"/>
        <w:jc w:val="center"/>
      </w:trPr>
      <w:tc>
        <w:tcPr>
          <w:tcW w:w="2977" w:type="dxa"/>
          <w:tcMar>
            <w:left w:w="0" w:type="dxa"/>
          </w:tcMar>
          <w:vAlign w:val="center"/>
        </w:tcPr>
        <w:p w:rsidR="002F4E1D" w:rsidRDefault="002F4E1D">
          <w:pPr>
            <w:spacing w:line="240" w:lineRule="atLeast"/>
            <w:ind w:right="360"/>
            <w:rPr>
              <w:rStyle w:val="Numeropagina"/>
              <w:rFonts w:ascii="Courier" w:hAnsi="Courier"/>
              <w:b/>
            </w:rPr>
          </w:pPr>
        </w:p>
      </w:tc>
      <w:tc>
        <w:tcPr>
          <w:tcW w:w="4961" w:type="dxa"/>
        </w:tcPr>
        <w:p w:rsidR="002F4E1D" w:rsidRDefault="002F4E1D">
          <w:pPr>
            <w:spacing w:line="240" w:lineRule="atLeast"/>
            <w:jc w:val="center"/>
            <w:rPr>
              <w:rStyle w:val="Numeropagina"/>
              <w:rFonts w:ascii="Arial" w:hAnsi="Arial" w:cs="Arial"/>
              <w:i/>
              <w:sz w:val="20"/>
            </w:rPr>
          </w:pPr>
          <w:r>
            <w:rPr>
              <w:rStyle w:val="Numeropagina"/>
              <w:rFonts w:ascii="Arial" w:hAnsi="Arial" w:cs="Arial"/>
              <w:i/>
              <w:sz w:val="20"/>
            </w:rPr>
            <w:t>Integrazione alla guida utente</w:t>
          </w:r>
        </w:p>
        <w:p w:rsidR="002F4E1D" w:rsidRDefault="002F4E1D">
          <w:pPr>
            <w:jc w:val="center"/>
            <w:rPr>
              <w:rFonts w:ascii="Arial" w:hAnsi="Arial" w:cs="Arial"/>
              <w:i/>
              <w:sz w:val="20"/>
              <w:szCs w:val="20"/>
            </w:rPr>
          </w:pPr>
          <w:r>
            <w:rPr>
              <w:rFonts w:ascii="Arial" w:hAnsi="Arial" w:cs="Arial"/>
              <w:i/>
              <w:sz w:val="20"/>
              <w:szCs w:val="20"/>
            </w:rPr>
            <w:t>PAGHE 2017.2.3</w:t>
          </w:r>
        </w:p>
      </w:tc>
      <w:tc>
        <w:tcPr>
          <w:tcW w:w="1701" w:type="dxa"/>
        </w:tcPr>
        <w:p w:rsidR="002F4E1D" w:rsidRDefault="002F4E1D">
          <w:pPr>
            <w:spacing w:line="240" w:lineRule="atLeast"/>
            <w:ind w:right="141"/>
            <w:jc w:val="right"/>
            <w:rPr>
              <w:rStyle w:val="Numeropagina"/>
              <w:rFonts w:ascii="Arial" w:hAnsi="Arial" w:cs="Arial"/>
              <w:sz w:val="20"/>
            </w:rPr>
          </w:pPr>
          <w:r>
            <w:rPr>
              <w:rStyle w:val="Numeropagina"/>
              <w:rFonts w:ascii="Arial" w:hAnsi="Arial" w:cs="Arial"/>
              <w:sz w:val="20"/>
            </w:rPr>
            <w:fldChar w:fldCharType="begin"/>
          </w:r>
          <w:r>
            <w:rPr>
              <w:rStyle w:val="Numeropagina"/>
              <w:rFonts w:ascii="Arial" w:hAnsi="Arial" w:cs="Arial"/>
              <w:sz w:val="20"/>
            </w:rPr>
            <w:instrText xml:space="preserve"> PAGE </w:instrText>
          </w:r>
          <w:r>
            <w:rPr>
              <w:rStyle w:val="Numeropagina"/>
              <w:rFonts w:ascii="Arial" w:hAnsi="Arial" w:cs="Arial"/>
              <w:sz w:val="20"/>
            </w:rPr>
            <w:fldChar w:fldCharType="separate"/>
          </w:r>
          <w:r w:rsidR="004069C5">
            <w:rPr>
              <w:rStyle w:val="Numeropagina"/>
              <w:rFonts w:ascii="Arial" w:hAnsi="Arial" w:cs="Arial"/>
              <w:noProof/>
              <w:sz w:val="20"/>
            </w:rPr>
            <w:t>1</w:t>
          </w:r>
          <w:r>
            <w:rPr>
              <w:rStyle w:val="Numeropagina"/>
              <w:rFonts w:ascii="Arial" w:hAnsi="Arial" w:cs="Arial"/>
              <w:sz w:val="20"/>
            </w:rPr>
            <w:fldChar w:fldCharType="end"/>
          </w:r>
        </w:p>
      </w:tc>
    </w:tr>
  </w:tbl>
  <w:p w:rsidR="002F4E1D" w:rsidRDefault="002F4E1D">
    <w:pPr>
      <w:pStyle w:val="corpoAltF"/>
      <w:rPr>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E1D" w:rsidRDefault="002F4E1D">
    <w:pPr>
      <w:pStyle w:val="CorpoAltF0"/>
      <w:jc w:val="center"/>
      <w:rPr>
        <w:sz w:val="10"/>
        <w:szCs w:val="10"/>
      </w:rPr>
    </w:pPr>
    <w:r>
      <w:rPr>
        <w:noProof/>
        <w:sz w:val="10"/>
        <w:szCs w:val="10"/>
      </w:rPr>
      <w:drawing>
        <wp:inline distT="0" distB="0" distL="0" distR="0">
          <wp:extent cx="6120000" cy="360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0" cy="36000"/>
                  </a:xfrm>
                  <a:prstGeom prst="rect">
                    <a:avLst/>
                  </a:prstGeom>
                  <a:noFill/>
                  <a:ln>
                    <a:noFill/>
                  </a:ln>
                </pic:spPr>
              </pic:pic>
            </a:graphicData>
          </a:graphic>
        </wp:inline>
      </w:drawing>
    </w:r>
  </w:p>
  <w:tbl>
    <w:tblPr>
      <w:tblW w:w="9639" w:type="dxa"/>
      <w:jc w:val="center"/>
      <w:tblLayout w:type="fixed"/>
      <w:tblCellMar>
        <w:left w:w="70" w:type="dxa"/>
        <w:right w:w="70" w:type="dxa"/>
      </w:tblCellMar>
      <w:tblLook w:val="0000" w:firstRow="0" w:lastRow="0" w:firstColumn="0" w:lastColumn="0" w:noHBand="0" w:noVBand="0"/>
    </w:tblPr>
    <w:tblGrid>
      <w:gridCol w:w="2977"/>
      <w:gridCol w:w="4961"/>
      <w:gridCol w:w="1701"/>
    </w:tblGrid>
    <w:tr w:rsidR="002F4E1D">
      <w:trPr>
        <w:trHeight w:hRule="exact" w:val="567"/>
        <w:jc w:val="center"/>
      </w:trPr>
      <w:tc>
        <w:tcPr>
          <w:tcW w:w="2977" w:type="dxa"/>
          <w:tcMar>
            <w:left w:w="0" w:type="dxa"/>
          </w:tcMar>
          <w:vAlign w:val="center"/>
        </w:tcPr>
        <w:p w:rsidR="002F4E1D" w:rsidRDefault="002F4E1D">
          <w:pPr>
            <w:spacing w:line="240" w:lineRule="atLeast"/>
            <w:ind w:right="360"/>
            <w:rPr>
              <w:rStyle w:val="Numeropagina"/>
              <w:rFonts w:ascii="Courier" w:hAnsi="Courier"/>
              <w:b/>
            </w:rPr>
          </w:pPr>
          <w:r>
            <w:rPr>
              <w:rFonts w:ascii="Courier" w:hAnsi="Courier"/>
              <w:b/>
              <w:noProof/>
            </w:rPr>
            <w:drawing>
              <wp:inline distT="0" distB="0" distL="0" distR="0">
                <wp:extent cx="1612800" cy="349200"/>
                <wp:effectExtent l="0" t="0" r="0" b="0"/>
                <wp:docPr id="12" name="Immagine 12"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2800" cy="349200"/>
                        </a:xfrm>
                        <a:prstGeom prst="rect">
                          <a:avLst/>
                        </a:prstGeom>
                        <a:noFill/>
                        <a:ln>
                          <a:noFill/>
                        </a:ln>
                      </pic:spPr>
                    </pic:pic>
                  </a:graphicData>
                </a:graphic>
              </wp:inline>
            </w:drawing>
          </w:r>
        </w:p>
      </w:tc>
      <w:tc>
        <w:tcPr>
          <w:tcW w:w="4961" w:type="dxa"/>
        </w:tcPr>
        <w:p w:rsidR="002F4E1D" w:rsidRDefault="002F4E1D">
          <w:pPr>
            <w:spacing w:line="240" w:lineRule="atLeast"/>
            <w:jc w:val="center"/>
            <w:rPr>
              <w:rStyle w:val="Numeropagina"/>
              <w:rFonts w:ascii="Arial" w:hAnsi="Arial" w:cs="Arial"/>
              <w:i/>
              <w:sz w:val="20"/>
            </w:rPr>
          </w:pPr>
          <w:r>
            <w:rPr>
              <w:rStyle w:val="Numeropagina"/>
              <w:rFonts w:ascii="Arial" w:hAnsi="Arial" w:cs="Arial"/>
              <w:i/>
              <w:sz w:val="20"/>
            </w:rPr>
            <w:t>Integrazione alla guida utente</w:t>
          </w:r>
        </w:p>
        <w:p w:rsidR="002F4E1D" w:rsidRDefault="002F4E1D">
          <w:pPr>
            <w:jc w:val="center"/>
            <w:rPr>
              <w:rFonts w:ascii="Arial" w:hAnsi="Arial" w:cs="Arial"/>
              <w:i/>
              <w:sz w:val="20"/>
              <w:szCs w:val="20"/>
            </w:rPr>
          </w:pPr>
          <w:r>
            <w:rPr>
              <w:rFonts w:ascii="Arial" w:hAnsi="Arial" w:cs="Arial"/>
              <w:i/>
              <w:sz w:val="20"/>
              <w:szCs w:val="20"/>
            </w:rPr>
            <w:t>PAGHE 2017.2.3</w:t>
          </w:r>
        </w:p>
      </w:tc>
      <w:tc>
        <w:tcPr>
          <w:tcW w:w="1701" w:type="dxa"/>
        </w:tcPr>
        <w:p w:rsidR="002F4E1D" w:rsidRDefault="002F4E1D">
          <w:pPr>
            <w:spacing w:line="240" w:lineRule="atLeast"/>
            <w:ind w:right="213"/>
            <w:jc w:val="right"/>
            <w:rPr>
              <w:rStyle w:val="Numeropagina"/>
              <w:rFonts w:ascii="Arial" w:hAnsi="Arial" w:cs="Arial"/>
              <w:sz w:val="20"/>
            </w:rPr>
          </w:pPr>
          <w:r>
            <w:rPr>
              <w:rStyle w:val="Numeropagina"/>
              <w:rFonts w:ascii="Arial" w:hAnsi="Arial" w:cs="Arial"/>
              <w:sz w:val="20"/>
            </w:rPr>
            <w:fldChar w:fldCharType="begin"/>
          </w:r>
          <w:r>
            <w:rPr>
              <w:rStyle w:val="Numeropagina"/>
              <w:rFonts w:ascii="Arial" w:hAnsi="Arial" w:cs="Arial"/>
              <w:sz w:val="20"/>
            </w:rPr>
            <w:instrText xml:space="preserve"> PAGE </w:instrText>
          </w:r>
          <w:r>
            <w:rPr>
              <w:rStyle w:val="Numeropagina"/>
              <w:rFonts w:ascii="Arial" w:hAnsi="Arial" w:cs="Arial"/>
              <w:sz w:val="20"/>
            </w:rPr>
            <w:fldChar w:fldCharType="separate"/>
          </w:r>
          <w:r w:rsidR="004069C5">
            <w:rPr>
              <w:rStyle w:val="Numeropagina"/>
              <w:rFonts w:ascii="Arial" w:hAnsi="Arial" w:cs="Arial"/>
              <w:noProof/>
              <w:sz w:val="20"/>
            </w:rPr>
            <w:t>21</w:t>
          </w:r>
          <w:r>
            <w:rPr>
              <w:rStyle w:val="Numeropagina"/>
              <w:rFonts w:ascii="Arial" w:hAnsi="Arial" w:cs="Arial"/>
              <w:sz w:val="20"/>
            </w:rPr>
            <w:fldChar w:fldCharType="end"/>
          </w:r>
        </w:p>
        <w:p w:rsidR="002F4E1D" w:rsidRDefault="004069C5">
          <w:pPr>
            <w:spacing w:line="240" w:lineRule="atLeast"/>
            <w:jc w:val="right"/>
            <w:rPr>
              <w:rStyle w:val="Numeropagina"/>
              <w:rFonts w:ascii="Arial" w:hAnsi="Arial" w:cs="Arial"/>
              <w:sz w:val="20"/>
            </w:rPr>
          </w:pPr>
          <w:r>
            <w:rPr>
              <w:rStyle w:val="Numeropagina"/>
              <w:rFonts w:ascii="Arial" w:hAnsi="Arial" w:cs="Arial"/>
              <w:sz w:val="20"/>
            </w:rPr>
          </w:r>
          <w:r>
            <w:rPr>
              <w:rStyle w:val="Numeropagina"/>
              <w:rFonts w:ascii="Arial" w:hAnsi="Arial" w:cs="Arial"/>
              <w:sz w:val="20"/>
            </w:rPr>
            <w:pict>
              <v:roundrect id="AutoShape 1" o:spid="_x0000_s2049" style="width:68.6pt;height:12.45pt;visibility:visible;mso-left-percent:-10001;mso-top-percent:-10001;mso-position-horizontal:absolute;mso-position-horizontal-relative:char;mso-position-vertical:absolute;mso-position-vertical-relative:line;mso-left-percent:-10001;mso-top-percent:-10001" arcsize="10923f" filled="f" fillcolor="#365f91" strokecolor="#365f91 [2404]">
                <v:textbox style="mso-next-textbox:#AutoShape 1" inset=",.3mm,,.3mm">
                  <w:txbxContent>
                    <w:p w:rsidR="002F4E1D" w:rsidRDefault="004069C5">
                      <w:pPr>
                        <w:jc w:val="center"/>
                        <w:rPr>
                          <w:rFonts w:ascii="Verdana" w:hAnsi="Verdana"/>
                          <w:b/>
                          <w:color w:val="365F91"/>
                          <w:sz w:val="12"/>
                          <w:szCs w:val="12"/>
                        </w:rPr>
                      </w:pPr>
                      <w:hyperlink w:anchor="INDICE" w:history="1">
                        <w:r w:rsidR="002F4E1D">
                          <w:rPr>
                            <w:rStyle w:val="Collegamentoipertestuale"/>
                            <w:rFonts w:ascii="Verdana" w:hAnsi="Verdana"/>
                            <w:b/>
                            <w:color w:val="365F91"/>
                            <w:sz w:val="12"/>
                            <w:szCs w:val="12"/>
                          </w:rPr>
                          <w:t>Torna all’indice</w:t>
                        </w:r>
                      </w:hyperlink>
                    </w:p>
                  </w:txbxContent>
                </v:textbox>
                <w10:wrap type="none"/>
                <w10:anchorlock/>
              </v:roundrect>
            </w:pict>
          </w:r>
        </w:p>
      </w:tc>
    </w:tr>
  </w:tbl>
  <w:p w:rsidR="002F4E1D" w:rsidRDefault="002F4E1D">
    <w:pPr>
      <w:pStyle w:val="corpoAltF"/>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4E1D" w:rsidRDefault="002F4E1D">
      <w:r>
        <w:separator/>
      </w:r>
    </w:p>
  </w:footnote>
  <w:footnote w:type="continuationSeparator" w:id="0">
    <w:p w:rsidR="002F4E1D" w:rsidRDefault="002F4E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5"/>
      <w:gridCol w:w="4663"/>
      <w:gridCol w:w="2141"/>
    </w:tblGrid>
    <w:tr w:rsidR="002F4E1D">
      <w:trPr>
        <w:cantSplit/>
      </w:trPr>
      <w:tc>
        <w:tcPr>
          <w:tcW w:w="2835" w:type="dxa"/>
          <w:tcBorders>
            <w:top w:val="nil"/>
            <w:left w:val="nil"/>
            <w:bottom w:val="single" w:sz="4" w:space="0" w:color="auto"/>
            <w:right w:val="nil"/>
          </w:tcBorders>
        </w:tcPr>
        <w:p w:rsidR="002F4E1D" w:rsidRDefault="002F4E1D">
          <w:pPr>
            <w:pStyle w:val="Intestazione"/>
            <w:spacing w:before="20"/>
            <w:rPr>
              <w:rFonts w:ascii="Courier" w:hAnsi="Courier"/>
              <w:b/>
            </w:rPr>
          </w:pPr>
          <w:r>
            <w:rPr>
              <w:rFonts w:ascii="Courier" w:hAnsi="Courier"/>
              <w:b/>
              <w:noProof/>
            </w:rPr>
            <w:drawing>
              <wp:inline distT="0" distB="0" distL="0" distR="0">
                <wp:extent cx="1693545" cy="367030"/>
                <wp:effectExtent l="0" t="0" r="1905" b="0"/>
                <wp:docPr id="10" name="Immagine 10"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3545" cy="367030"/>
                        </a:xfrm>
                        <a:prstGeom prst="rect">
                          <a:avLst/>
                        </a:prstGeom>
                        <a:noFill/>
                        <a:ln>
                          <a:noFill/>
                        </a:ln>
                      </pic:spPr>
                    </pic:pic>
                  </a:graphicData>
                </a:graphic>
              </wp:inline>
            </w:drawing>
          </w:r>
        </w:p>
      </w:tc>
      <w:tc>
        <w:tcPr>
          <w:tcW w:w="4663" w:type="dxa"/>
          <w:tcBorders>
            <w:top w:val="nil"/>
            <w:left w:val="nil"/>
            <w:bottom w:val="single" w:sz="4" w:space="0" w:color="auto"/>
            <w:right w:val="nil"/>
          </w:tcBorders>
          <w:vAlign w:val="bottom"/>
        </w:tcPr>
        <w:p w:rsidR="002F4E1D" w:rsidRDefault="002F4E1D">
          <w:pPr>
            <w:pStyle w:val="Intestazione"/>
            <w:jc w:val="center"/>
            <w:rPr>
              <w:rFonts w:ascii="Arial" w:hAnsi="Arial" w:cs="Arial"/>
              <w:b/>
              <w:bCs/>
              <w:sz w:val="18"/>
            </w:rPr>
          </w:pPr>
          <w:r>
            <w:rPr>
              <w:rFonts w:ascii="Arial" w:hAnsi="Arial" w:cs="Arial"/>
              <w:b/>
              <w:bCs/>
              <w:color w:val="000080"/>
            </w:rPr>
            <w:t>NOTE OPERATIVE DI RELEASE</w:t>
          </w:r>
        </w:p>
      </w:tc>
      <w:tc>
        <w:tcPr>
          <w:tcW w:w="2141" w:type="dxa"/>
          <w:tcBorders>
            <w:top w:val="nil"/>
            <w:left w:val="nil"/>
            <w:bottom w:val="single" w:sz="4" w:space="0" w:color="auto"/>
            <w:right w:val="nil"/>
          </w:tcBorders>
          <w:vAlign w:val="bottom"/>
        </w:tcPr>
        <w:p w:rsidR="002F4E1D" w:rsidRDefault="002F4E1D">
          <w:pPr>
            <w:pStyle w:val="Intestazione"/>
            <w:jc w:val="right"/>
            <w:rPr>
              <w:rFonts w:ascii="Arial" w:hAnsi="Arial" w:cs="Arial"/>
            </w:rPr>
          </w:pPr>
        </w:p>
      </w:tc>
    </w:tr>
    <w:tr w:rsidR="002F4E1D">
      <w:trPr>
        <w:cantSplit/>
      </w:trPr>
      <w:tc>
        <w:tcPr>
          <w:tcW w:w="9639" w:type="dxa"/>
          <w:gridSpan w:val="3"/>
          <w:tcBorders>
            <w:top w:val="single" w:sz="4" w:space="0" w:color="auto"/>
            <w:left w:val="nil"/>
            <w:bottom w:val="nil"/>
            <w:right w:val="nil"/>
          </w:tcBorders>
          <w:vAlign w:val="bottom"/>
        </w:tcPr>
        <w:p w:rsidR="002F4E1D" w:rsidRDefault="002F4E1D">
          <w:pPr>
            <w:pStyle w:val="Intestazione"/>
            <w:jc w:val="center"/>
            <w:rPr>
              <w:rFonts w:ascii="Arial" w:hAnsi="Arial" w:cs="Arial"/>
              <w:color w:val="000080"/>
              <w:sz w:val="12"/>
            </w:rPr>
          </w:pPr>
        </w:p>
        <w:p w:rsidR="002F4E1D" w:rsidRDefault="002F4E1D">
          <w:pPr>
            <w:pStyle w:val="Intestazione"/>
            <w:jc w:val="center"/>
            <w:rPr>
              <w:rFonts w:ascii="Arial" w:hAnsi="Arial" w:cs="Arial"/>
              <w:color w:val="000080"/>
              <w:sz w:val="16"/>
            </w:rPr>
          </w:pPr>
          <w:r>
            <w:rPr>
              <w:rFonts w:ascii="Arial" w:hAnsi="Arial" w:cs="Arial"/>
              <w:color w:val="000080"/>
              <w:sz w:val="16"/>
            </w:rPr>
            <w:t>Il presente documento costituisce un’integrazione al manuale utente del prodotto ed evidenzia le variazioni apportate con la release.</w:t>
          </w:r>
        </w:p>
        <w:p w:rsidR="002F4E1D" w:rsidRDefault="002F4E1D">
          <w:pPr>
            <w:pStyle w:val="Intestazione"/>
            <w:rPr>
              <w:rFonts w:ascii="Arial" w:hAnsi="Arial" w:cs="Arial"/>
              <w:b/>
              <w:bCs/>
              <w:color w:val="000080"/>
              <w:sz w:val="10"/>
              <w:szCs w:val="10"/>
            </w:rPr>
          </w:pPr>
        </w:p>
      </w:tc>
    </w:tr>
  </w:tbl>
  <w:p w:rsidR="002F4E1D" w:rsidRDefault="002F4E1D">
    <w:pPr>
      <w:pStyle w:val="CorpoAltF0"/>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70" w:type="dxa"/>
      <w:tblBorders>
        <w:bottom w:val="single" w:sz="12" w:space="0" w:color="auto"/>
      </w:tblBorders>
      <w:tblCellMar>
        <w:left w:w="70" w:type="dxa"/>
        <w:right w:w="70" w:type="dxa"/>
      </w:tblCellMar>
      <w:tblLook w:val="0000" w:firstRow="0" w:lastRow="0" w:firstColumn="0" w:lastColumn="0" w:noHBand="0" w:noVBand="0"/>
    </w:tblPr>
    <w:tblGrid>
      <w:gridCol w:w="9639"/>
    </w:tblGrid>
    <w:tr w:rsidR="002F4E1D">
      <w:trPr>
        <w:trHeight w:hRule="exact" w:val="567"/>
      </w:trPr>
      <w:tc>
        <w:tcPr>
          <w:tcW w:w="9639" w:type="dxa"/>
        </w:tcPr>
        <w:p w:rsidR="002F4E1D" w:rsidRDefault="002F4E1D">
          <w:pPr>
            <w:pStyle w:val="TS-testata-01"/>
            <w:tabs>
              <w:tab w:val="clear" w:pos="9638"/>
            </w:tabs>
            <w:rPr>
              <w:b w:val="0"/>
              <w:color w:val="FFFFFF"/>
              <w:sz w:val="32"/>
            </w:rPr>
          </w:pPr>
          <w:r>
            <w:t>PAGHE – IMPLEMENTAZIONI</w:t>
          </w:r>
        </w:p>
      </w:tc>
    </w:tr>
  </w:tbl>
  <w:p w:rsidR="002F4E1D" w:rsidRDefault="002F4E1D">
    <w:pPr>
      <w:pStyle w:val="corpoAltF"/>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singleLevel"/>
    <w:tmpl w:val="00000006"/>
    <w:name w:val="WW8Num14"/>
    <w:lvl w:ilvl="0">
      <w:start w:val="1"/>
      <w:numFmt w:val="bullet"/>
      <w:lvlText w:val=""/>
      <w:lvlJc w:val="left"/>
      <w:pPr>
        <w:tabs>
          <w:tab w:val="num" w:pos="0"/>
        </w:tabs>
        <w:ind w:left="890" w:hanging="360"/>
      </w:pPr>
      <w:rPr>
        <w:rFonts w:ascii="Wingdings" w:hAnsi="Wingdings" w:cs="Wingdings" w:hint="default"/>
      </w:rPr>
    </w:lvl>
  </w:abstractNum>
  <w:abstractNum w:abstractNumId="1" w15:restartNumberingAfterBreak="0">
    <w:nsid w:val="00000007"/>
    <w:multiLevelType w:val="singleLevel"/>
    <w:tmpl w:val="00000007"/>
    <w:name w:val="WW8Num18"/>
    <w:lvl w:ilvl="0">
      <w:start w:val="1"/>
      <w:numFmt w:val="bullet"/>
      <w:lvlText w:val=""/>
      <w:lvlJc w:val="left"/>
      <w:pPr>
        <w:tabs>
          <w:tab w:val="num" w:pos="757"/>
        </w:tabs>
        <w:ind w:left="757" w:hanging="284"/>
      </w:pPr>
      <w:rPr>
        <w:rFonts w:ascii="Wingdings" w:hAnsi="Wingdings" w:cs="Wingdings" w:hint="default"/>
      </w:rPr>
    </w:lvl>
  </w:abstractNum>
  <w:abstractNum w:abstractNumId="2" w15:restartNumberingAfterBreak="0">
    <w:nsid w:val="01664745"/>
    <w:multiLevelType w:val="hybridMultilevel"/>
    <w:tmpl w:val="68A4D498"/>
    <w:lvl w:ilvl="0" w:tplc="71DC8C0E">
      <w:start w:val="1"/>
      <w:numFmt w:val="decimal"/>
      <w:lvlText w:val="%1."/>
      <w:lvlJc w:val="left"/>
      <w:pPr>
        <w:ind w:left="720" w:hanging="360"/>
      </w:pPr>
      <w:rPr>
        <w:rFonts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31A2C28"/>
    <w:multiLevelType w:val="hybridMultilevel"/>
    <w:tmpl w:val="507C0D3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8641470"/>
    <w:multiLevelType w:val="hybridMultilevel"/>
    <w:tmpl w:val="188AAED2"/>
    <w:lvl w:ilvl="0" w:tplc="105AB2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89160AA"/>
    <w:multiLevelType w:val="hybridMultilevel"/>
    <w:tmpl w:val="48A8A1F8"/>
    <w:lvl w:ilvl="0" w:tplc="0410000B">
      <w:start w:val="1"/>
      <w:numFmt w:val="bullet"/>
      <w:lvlText w:val=""/>
      <w:lvlJc w:val="left"/>
      <w:pPr>
        <w:ind w:left="781" w:hanging="360"/>
      </w:pPr>
      <w:rPr>
        <w:rFonts w:ascii="Wingdings" w:hAnsi="Wingdings" w:hint="default"/>
      </w:rPr>
    </w:lvl>
    <w:lvl w:ilvl="1" w:tplc="04100003" w:tentative="1">
      <w:start w:val="1"/>
      <w:numFmt w:val="bullet"/>
      <w:lvlText w:val="o"/>
      <w:lvlJc w:val="left"/>
      <w:pPr>
        <w:ind w:left="1501" w:hanging="360"/>
      </w:pPr>
      <w:rPr>
        <w:rFonts w:ascii="Courier New" w:hAnsi="Courier New" w:cs="Courier New" w:hint="default"/>
      </w:rPr>
    </w:lvl>
    <w:lvl w:ilvl="2" w:tplc="04100005" w:tentative="1">
      <w:start w:val="1"/>
      <w:numFmt w:val="bullet"/>
      <w:lvlText w:val=""/>
      <w:lvlJc w:val="left"/>
      <w:pPr>
        <w:ind w:left="2221" w:hanging="360"/>
      </w:pPr>
      <w:rPr>
        <w:rFonts w:ascii="Wingdings" w:hAnsi="Wingdings" w:hint="default"/>
      </w:rPr>
    </w:lvl>
    <w:lvl w:ilvl="3" w:tplc="04100001" w:tentative="1">
      <w:start w:val="1"/>
      <w:numFmt w:val="bullet"/>
      <w:lvlText w:val=""/>
      <w:lvlJc w:val="left"/>
      <w:pPr>
        <w:ind w:left="2941" w:hanging="360"/>
      </w:pPr>
      <w:rPr>
        <w:rFonts w:ascii="Symbol" w:hAnsi="Symbol" w:hint="default"/>
      </w:rPr>
    </w:lvl>
    <w:lvl w:ilvl="4" w:tplc="04100003" w:tentative="1">
      <w:start w:val="1"/>
      <w:numFmt w:val="bullet"/>
      <w:lvlText w:val="o"/>
      <w:lvlJc w:val="left"/>
      <w:pPr>
        <w:ind w:left="3661" w:hanging="360"/>
      </w:pPr>
      <w:rPr>
        <w:rFonts w:ascii="Courier New" w:hAnsi="Courier New" w:cs="Courier New" w:hint="default"/>
      </w:rPr>
    </w:lvl>
    <w:lvl w:ilvl="5" w:tplc="04100005" w:tentative="1">
      <w:start w:val="1"/>
      <w:numFmt w:val="bullet"/>
      <w:lvlText w:val=""/>
      <w:lvlJc w:val="left"/>
      <w:pPr>
        <w:ind w:left="4381" w:hanging="360"/>
      </w:pPr>
      <w:rPr>
        <w:rFonts w:ascii="Wingdings" w:hAnsi="Wingdings" w:hint="default"/>
      </w:rPr>
    </w:lvl>
    <w:lvl w:ilvl="6" w:tplc="04100001" w:tentative="1">
      <w:start w:val="1"/>
      <w:numFmt w:val="bullet"/>
      <w:lvlText w:val=""/>
      <w:lvlJc w:val="left"/>
      <w:pPr>
        <w:ind w:left="5101" w:hanging="360"/>
      </w:pPr>
      <w:rPr>
        <w:rFonts w:ascii="Symbol" w:hAnsi="Symbol" w:hint="default"/>
      </w:rPr>
    </w:lvl>
    <w:lvl w:ilvl="7" w:tplc="04100003" w:tentative="1">
      <w:start w:val="1"/>
      <w:numFmt w:val="bullet"/>
      <w:lvlText w:val="o"/>
      <w:lvlJc w:val="left"/>
      <w:pPr>
        <w:ind w:left="5821" w:hanging="360"/>
      </w:pPr>
      <w:rPr>
        <w:rFonts w:ascii="Courier New" w:hAnsi="Courier New" w:cs="Courier New" w:hint="default"/>
      </w:rPr>
    </w:lvl>
    <w:lvl w:ilvl="8" w:tplc="04100005" w:tentative="1">
      <w:start w:val="1"/>
      <w:numFmt w:val="bullet"/>
      <w:lvlText w:val=""/>
      <w:lvlJc w:val="left"/>
      <w:pPr>
        <w:ind w:left="6541" w:hanging="360"/>
      </w:pPr>
      <w:rPr>
        <w:rFonts w:ascii="Wingdings" w:hAnsi="Wingdings" w:hint="default"/>
      </w:rPr>
    </w:lvl>
  </w:abstractNum>
  <w:abstractNum w:abstractNumId="6" w15:restartNumberingAfterBreak="0">
    <w:nsid w:val="08FF3F4E"/>
    <w:multiLevelType w:val="hybridMultilevel"/>
    <w:tmpl w:val="9FB8CF1C"/>
    <w:lvl w:ilvl="0" w:tplc="105AB2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D687063"/>
    <w:multiLevelType w:val="hybridMultilevel"/>
    <w:tmpl w:val="86249E5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30021F6"/>
    <w:multiLevelType w:val="hybridMultilevel"/>
    <w:tmpl w:val="FFFC34A4"/>
    <w:lvl w:ilvl="0" w:tplc="0410000B">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9" w15:restartNumberingAfterBreak="0">
    <w:nsid w:val="153F54E9"/>
    <w:multiLevelType w:val="hybridMultilevel"/>
    <w:tmpl w:val="73AAB71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56B4E96"/>
    <w:multiLevelType w:val="hybridMultilevel"/>
    <w:tmpl w:val="4B88F3B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7961A6D"/>
    <w:multiLevelType w:val="hybridMultilevel"/>
    <w:tmpl w:val="EBD0507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800756B"/>
    <w:multiLevelType w:val="multilevel"/>
    <w:tmpl w:val="5F76A6EE"/>
    <w:lvl w:ilvl="0">
      <w:start w:val="1"/>
      <w:numFmt w:val="decimal"/>
      <w:pStyle w:val="Titolo1"/>
      <w:suff w:val="space"/>
      <w:lvlText w:val="%1"/>
      <w:lvlJc w:val="left"/>
      <w:pPr>
        <w:ind w:left="432" w:hanging="432"/>
      </w:pPr>
    </w:lvl>
    <w:lvl w:ilvl="1">
      <w:start w:val="1"/>
      <w:numFmt w:val="decimal"/>
      <w:suff w:val="space"/>
      <w:lvlText w:val="%1.%2"/>
      <w:lvlJc w:val="left"/>
      <w:pPr>
        <w:ind w:left="576" w:hanging="576"/>
      </w:pPr>
    </w:lvl>
    <w:lvl w:ilvl="2">
      <w:start w:val="1"/>
      <w:numFmt w:val="decimal"/>
      <w:suff w:val="space"/>
      <w:lvlText w:val="%1.%2.%3"/>
      <w:lvlJc w:val="left"/>
      <w:pPr>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13" w15:restartNumberingAfterBreak="0">
    <w:nsid w:val="1883198D"/>
    <w:multiLevelType w:val="hybridMultilevel"/>
    <w:tmpl w:val="B4C8D9DE"/>
    <w:lvl w:ilvl="0" w:tplc="105AB2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BAE1F49"/>
    <w:multiLevelType w:val="hybridMultilevel"/>
    <w:tmpl w:val="6AB87184"/>
    <w:lvl w:ilvl="0" w:tplc="47BA2694">
      <w:start w:val="8522"/>
      <w:numFmt w:val="bullet"/>
      <w:lvlText w:val="-"/>
      <w:lvlJc w:val="left"/>
      <w:pPr>
        <w:ind w:left="752" w:hanging="360"/>
      </w:pPr>
      <w:rPr>
        <w:rFonts w:ascii="Arial" w:eastAsia="Times New Roman" w:hAnsi="Arial" w:cs="Arial" w:hint="default"/>
      </w:rPr>
    </w:lvl>
    <w:lvl w:ilvl="1" w:tplc="04100003" w:tentative="1">
      <w:start w:val="1"/>
      <w:numFmt w:val="bullet"/>
      <w:lvlText w:val="o"/>
      <w:lvlJc w:val="left"/>
      <w:pPr>
        <w:ind w:left="1472" w:hanging="360"/>
      </w:pPr>
      <w:rPr>
        <w:rFonts w:ascii="Courier New" w:hAnsi="Courier New" w:cs="Courier New" w:hint="default"/>
      </w:rPr>
    </w:lvl>
    <w:lvl w:ilvl="2" w:tplc="04100005" w:tentative="1">
      <w:start w:val="1"/>
      <w:numFmt w:val="bullet"/>
      <w:lvlText w:val=""/>
      <w:lvlJc w:val="left"/>
      <w:pPr>
        <w:ind w:left="2192" w:hanging="360"/>
      </w:pPr>
      <w:rPr>
        <w:rFonts w:ascii="Wingdings" w:hAnsi="Wingdings" w:hint="default"/>
      </w:rPr>
    </w:lvl>
    <w:lvl w:ilvl="3" w:tplc="04100001" w:tentative="1">
      <w:start w:val="1"/>
      <w:numFmt w:val="bullet"/>
      <w:lvlText w:val=""/>
      <w:lvlJc w:val="left"/>
      <w:pPr>
        <w:ind w:left="2912" w:hanging="360"/>
      </w:pPr>
      <w:rPr>
        <w:rFonts w:ascii="Symbol" w:hAnsi="Symbol" w:hint="default"/>
      </w:rPr>
    </w:lvl>
    <w:lvl w:ilvl="4" w:tplc="04100003" w:tentative="1">
      <w:start w:val="1"/>
      <w:numFmt w:val="bullet"/>
      <w:lvlText w:val="o"/>
      <w:lvlJc w:val="left"/>
      <w:pPr>
        <w:ind w:left="3632" w:hanging="360"/>
      </w:pPr>
      <w:rPr>
        <w:rFonts w:ascii="Courier New" w:hAnsi="Courier New" w:cs="Courier New" w:hint="default"/>
      </w:rPr>
    </w:lvl>
    <w:lvl w:ilvl="5" w:tplc="04100005" w:tentative="1">
      <w:start w:val="1"/>
      <w:numFmt w:val="bullet"/>
      <w:lvlText w:val=""/>
      <w:lvlJc w:val="left"/>
      <w:pPr>
        <w:ind w:left="4352" w:hanging="360"/>
      </w:pPr>
      <w:rPr>
        <w:rFonts w:ascii="Wingdings" w:hAnsi="Wingdings" w:hint="default"/>
      </w:rPr>
    </w:lvl>
    <w:lvl w:ilvl="6" w:tplc="04100001" w:tentative="1">
      <w:start w:val="1"/>
      <w:numFmt w:val="bullet"/>
      <w:lvlText w:val=""/>
      <w:lvlJc w:val="left"/>
      <w:pPr>
        <w:ind w:left="5072" w:hanging="360"/>
      </w:pPr>
      <w:rPr>
        <w:rFonts w:ascii="Symbol" w:hAnsi="Symbol" w:hint="default"/>
      </w:rPr>
    </w:lvl>
    <w:lvl w:ilvl="7" w:tplc="04100003" w:tentative="1">
      <w:start w:val="1"/>
      <w:numFmt w:val="bullet"/>
      <w:lvlText w:val="o"/>
      <w:lvlJc w:val="left"/>
      <w:pPr>
        <w:ind w:left="5792" w:hanging="360"/>
      </w:pPr>
      <w:rPr>
        <w:rFonts w:ascii="Courier New" w:hAnsi="Courier New" w:cs="Courier New" w:hint="default"/>
      </w:rPr>
    </w:lvl>
    <w:lvl w:ilvl="8" w:tplc="04100005" w:tentative="1">
      <w:start w:val="1"/>
      <w:numFmt w:val="bullet"/>
      <w:lvlText w:val=""/>
      <w:lvlJc w:val="left"/>
      <w:pPr>
        <w:ind w:left="6512" w:hanging="360"/>
      </w:pPr>
      <w:rPr>
        <w:rFonts w:ascii="Wingdings" w:hAnsi="Wingdings" w:hint="default"/>
      </w:rPr>
    </w:lvl>
  </w:abstractNum>
  <w:abstractNum w:abstractNumId="15" w15:restartNumberingAfterBreak="0">
    <w:nsid w:val="229C6FAA"/>
    <w:multiLevelType w:val="hybridMultilevel"/>
    <w:tmpl w:val="50B6C5AA"/>
    <w:lvl w:ilvl="0" w:tplc="E18C3E3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F050D92"/>
    <w:multiLevelType w:val="hybridMultilevel"/>
    <w:tmpl w:val="8CE6BB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F0F087D"/>
    <w:multiLevelType w:val="hybridMultilevel"/>
    <w:tmpl w:val="99B4F9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FD95EA7"/>
    <w:multiLevelType w:val="hybridMultilevel"/>
    <w:tmpl w:val="44B08F1E"/>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34D5812"/>
    <w:multiLevelType w:val="hybridMultilevel"/>
    <w:tmpl w:val="CA24701E"/>
    <w:lvl w:ilvl="0" w:tplc="E18C3E3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6BA46D7"/>
    <w:multiLevelType w:val="hybridMultilevel"/>
    <w:tmpl w:val="EACE955C"/>
    <w:lvl w:ilvl="0" w:tplc="80863ABC">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91358DD"/>
    <w:multiLevelType w:val="hybridMultilevel"/>
    <w:tmpl w:val="E3364C0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AEF0FC9"/>
    <w:multiLevelType w:val="hybridMultilevel"/>
    <w:tmpl w:val="3CF0446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DF63E84"/>
    <w:multiLevelType w:val="hybridMultilevel"/>
    <w:tmpl w:val="8346AE16"/>
    <w:lvl w:ilvl="0" w:tplc="105AB2E8">
      <w:numFmt w:val="bullet"/>
      <w:lvlText w:val="-"/>
      <w:lvlJc w:val="left"/>
      <w:pPr>
        <w:ind w:left="644" w:hanging="360"/>
      </w:pPr>
      <w:rPr>
        <w:rFonts w:ascii="Arial" w:eastAsia="Times New Roman"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4" w15:restartNumberingAfterBreak="0">
    <w:nsid w:val="3F8C1ABA"/>
    <w:multiLevelType w:val="hybridMultilevel"/>
    <w:tmpl w:val="2E3ABAAC"/>
    <w:lvl w:ilvl="0" w:tplc="105AB2E8">
      <w:numFmt w:val="bullet"/>
      <w:lvlText w:val="-"/>
      <w:lvlJc w:val="left"/>
      <w:pPr>
        <w:ind w:left="644" w:hanging="360"/>
      </w:pPr>
      <w:rPr>
        <w:rFonts w:ascii="Arial" w:eastAsia="Times New Roman"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5" w15:restartNumberingAfterBreak="0">
    <w:nsid w:val="482C1330"/>
    <w:multiLevelType w:val="hybridMultilevel"/>
    <w:tmpl w:val="B950CDA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94B0315"/>
    <w:multiLevelType w:val="hybridMultilevel"/>
    <w:tmpl w:val="6D166D2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AE20E05"/>
    <w:multiLevelType w:val="hybridMultilevel"/>
    <w:tmpl w:val="8324A1A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ECC20E9"/>
    <w:multiLevelType w:val="hybridMultilevel"/>
    <w:tmpl w:val="7610E87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0422DF5"/>
    <w:multiLevelType w:val="hybridMultilevel"/>
    <w:tmpl w:val="BB74CC72"/>
    <w:lvl w:ilvl="0" w:tplc="0410000B">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0" w15:restartNumberingAfterBreak="0">
    <w:nsid w:val="50C276F1"/>
    <w:multiLevelType w:val="hybridMultilevel"/>
    <w:tmpl w:val="901C282E"/>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CBE3C94"/>
    <w:multiLevelType w:val="hybridMultilevel"/>
    <w:tmpl w:val="4EEC4678"/>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A825815"/>
    <w:multiLevelType w:val="hybridMultilevel"/>
    <w:tmpl w:val="AF363256"/>
    <w:lvl w:ilvl="0" w:tplc="E18C3E3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CB81B5A"/>
    <w:multiLevelType w:val="hybridMultilevel"/>
    <w:tmpl w:val="E77032E0"/>
    <w:lvl w:ilvl="0" w:tplc="9F724C54">
      <w:numFmt w:val="bullet"/>
      <w:lvlText w:val="-"/>
      <w:lvlJc w:val="left"/>
      <w:pPr>
        <w:ind w:left="1004" w:hanging="360"/>
      </w:pPr>
      <w:rPr>
        <w:rFonts w:ascii="Arial" w:eastAsia="Times New Roman" w:hAnsi="Arial"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4" w15:restartNumberingAfterBreak="0">
    <w:nsid w:val="6CE97492"/>
    <w:multiLevelType w:val="hybridMultilevel"/>
    <w:tmpl w:val="A8F2001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2014F51"/>
    <w:multiLevelType w:val="hybridMultilevel"/>
    <w:tmpl w:val="2A009FC6"/>
    <w:lvl w:ilvl="0" w:tplc="B7EA2A4E">
      <w:numFmt w:val="bullet"/>
      <w:lvlText w:val="-"/>
      <w:lvlJc w:val="left"/>
      <w:pPr>
        <w:ind w:left="1440" w:hanging="360"/>
      </w:pPr>
      <w:rPr>
        <w:rFonts w:ascii="Arial" w:eastAsia="Berlin Sans FB" w:hAnsi="Arial" w:cs="Arial" w:hint="default"/>
        <w:b w:val="0"/>
        <w:i w:val="0"/>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6" w15:restartNumberingAfterBreak="0">
    <w:nsid w:val="72364BDF"/>
    <w:multiLevelType w:val="hybridMultilevel"/>
    <w:tmpl w:val="CEE60AEE"/>
    <w:lvl w:ilvl="0" w:tplc="04100015">
      <w:start w:val="1"/>
      <w:numFmt w:val="upperLetter"/>
      <w:lvlText w:val="%1."/>
      <w:lvlJc w:val="left"/>
      <w:pPr>
        <w:ind w:left="720" w:hanging="360"/>
      </w:pPr>
    </w:lvl>
    <w:lvl w:ilvl="1" w:tplc="04100015">
      <w:start w:val="1"/>
      <w:numFmt w:val="upp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32772EA"/>
    <w:multiLevelType w:val="hybridMultilevel"/>
    <w:tmpl w:val="7BA866B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6353120"/>
    <w:multiLevelType w:val="hybridMultilevel"/>
    <w:tmpl w:val="B946468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BA11A05"/>
    <w:multiLevelType w:val="hybridMultilevel"/>
    <w:tmpl w:val="D8248530"/>
    <w:lvl w:ilvl="0" w:tplc="4412EBEA">
      <w:start w:val="1"/>
      <w:numFmt w:val="decimal"/>
      <w:lvlText w:val="%1."/>
      <w:lvlJc w:val="left"/>
      <w:pPr>
        <w:tabs>
          <w:tab w:val="num" w:pos="720"/>
        </w:tabs>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BBA60E8"/>
    <w:multiLevelType w:val="hybridMultilevel"/>
    <w:tmpl w:val="E1C62EA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37"/>
  </w:num>
  <w:num w:numId="3">
    <w:abstractNumId w:val="10"/>
  </w:num>
  <w:num w:numId="4">
    <w:abstractNumId w:val="35"/>
  </w:num>
  <w:num w:numId="5">
    <w:abstractNumId w:val="31"/>
  </w:num>
  <w:num w:numId="6">
    <w:abstractNumId w:val="25"/>
  </w:num>
  <w:num w:numId="7">
    <w:abstractNumId w:val="9"/>
  </w:num>
  <w:num w:numId="8">
    <w:abstractNumId w:val="14"/>
  </w:num>
  <w:num w:numId="9">
    <w:abstractNumId w:val="4"/>
  </w:num>
  <w:num w:numId="10">
    <w:abstractNumId w:val="5"/>
  </w:num>
  <w:num w:numId="11">
    <w:abstractNumId w:val="39"/>
  </w:num>
  <w:num w:numId="12">
    <w:abstractNumId w:val="30"/>
  </w:num>
  <w:num w:numId="13">
    <w:abstractNumId w:val="13"/>
  </w:num>
  <w:num w:numId="14">
    <w:abstractNumId w:val="28"/>
  </w:num>
  <w:num w:numId="15">
    <w:abstractNumId w:val="7"/>
  </w:num>
  <w:num w:numId="16">
    <w:abstractNumId w:val="34"/>
  </w:num>
  <w:num w:numId="17">
    <w:abstractNumId w:val="11"/>
  </w:num>
  <w:num w:numId="18">
    <w:abstractNumId w:val="27"/>
  </w:num>
  <w:num w:numId="19">
    <w:abstractNumId w:val="22"/>
  </w:num>
  <w:num w:numId="20">
    <w:abstractNumId w:val="26"/>
  </w:num>
  <w:num w:numId="21">
    <w:abstractNumId w:val="33"/>
  </w:num>
  <w:num w:numId="22">
    <w:abstractNumId w:val="18"/>
  </w:num>
  <w:num w:numId="23">
    <w:abstractNumId w:val="3"/>
  </w:num>
  <w:num w:numId="24">
    <w:abstractNumId w:val="6"/>
  </w:num>
  <w:num w:numId="25">
    <w:abstractNumId w:val="2"/>
  </w:num>
  <w:num w:numId="26">
    <w:abstractNumId w:val="23"/>
  </w:num>
  <w:num w:numId="27">
    <w:abstractNumId w:val="8"/>
  </w:num>
  <w:num w:numId="28">
    <w:abstractNumId w:val="21"/>
  </w:num>
  <w:num w:numId="29">
    <w:abstractNumId w:val="40"/>
  </w:num>
  <w:num w:numId="30">
    <w:abstractNumId w:val="15"/>
  </w:num>
  <w:num w:numId="31">
    <w:abstractNumId w:val="32"/>
  </w:num>
  <w:num w:numId="32">
    <w:abstractNumId w:val="16"/>
  </w:num>
  <w:num w:numId="33">
    <w:abstractNumId w:val="38"/>
  </w:num>
  <w:num w:numId="34">
    <w:abstractNumId w:val="19"/>
  </w:num>
  <w:num w:numId="35">
    <w:abstractNumId w:val="17"/>
  </w:num>
  <w:num w:numId="36">
    <w:abstractNumId w:val="20"/>
  </w:num>
  <w:num w:numId="37">
    <w:abstractNumId w:val="24"/>
  </w:num>
  <w:num w:numId="38">
    <w:abstractNumId w:val="36"/>
  </w:num>
  <w:num w:numId="39">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3" w:dllVersion="517"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283"/>
  <w:drawingGridHorizontalSpacing w:val="181"/>
  <w:drawingGridVerticalSpacing w:val="181"/>
  <w:noPunctuationKerning/>
  <w:characterSpacingControl w:val="doNotCompress"/>
  <w:hdrShapeDefaults>
    <o:shapedefaults v:ext="edit" spidmax="2051" fill="f" fillcolor="white" strokecolor="red">
      <v:fill color="white" on="f"/>
      <v:stroke color="red" weight="1.25pt"/>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B5239"/>
    <w:rsid w:val="00011257"/>
    <w:rsid w:val="00043396"/>
    <w:rsid w:val="00045A7D"/>
    <w:rsid w:val="00084243"/>
    <w:rsid w:val="000A7284"/>
    <w:rsid w:val="000E1798"/>
    <w:rsid w:val="00141A6D"/>
    <w:rsid w:val="00154E05"/>
    <w:rsid w:val="00177317"/>
    <w:rsid w:val="00202B72"/>
    <w:rsid w:val="0022092A"/>
    <w:rsid w:val="002276FB"/>
    <w:rsid w:val="00232BB9"/>
    <w:rsid w:val="002A4886"/>
    <w:rsid w:val="002F4E1D"/>
    <w:rsid w:val="00306277"/>
    <w:rsid w:val="00353A57"/>
    <w:rsid w:val="003A4F46"/>
    <w:rsid w:val="004069C5"/>
    <w:rsid w:val="0041701A"/>
    <w:rsid w:val="00417566"/>
    <w:rsid w:val="00457106"/>
    <w:rsid w:val="004601E3"/>
    <w:rsid w:val="00464411"/>
    <w:rsid w:val="0047245E"/>
    <w:rsid w:val="004947D3"/>
    <w:rsid w:val="004F5DFB"/>
    <w:rsid w:val="00534957"/>
    <w:rsid w:val="00585333"/>
    <w:rsid w:val="00604F39"/>
    <w:rsid w:val="00666BFD"/>
    <w:rsid w:val="006B059E"/>
    <w:rsid w:val="006C422D"/>
    <w:rsid w:val="007439AF"/>
    <w:rsid w:val="00780960"/>
    <w:rsid w:val="00796C8B"/>
    <w:rsid w:val="007A14F2"/>
    <w:rsid w:val="007D4078"/>
    <w:rsid w:val="007F00D0"/>
    <w:rsid w:val="007F2980"/>
    <w:rsid w:val="008064AA"/>
    <w:rsid w:val="0081278E"/>
    <w:rsid w:val="0082545A"/>
    <w:rsid w:val="0083743C"/>
    <w:rsid w:val="0084115E"/>
    <w:rsid w:val="00851FBC"/>
    <w:rsid w:val="0087331C"/>
    <w:rsid w:val="008D437C"/>
    <w:rsid w:val="00927B9D"/>
    <w:rsid w:val="009370ED"/>
    <w:rsid w:val="0097034A"/>
    <w:rsid w:val="009B32AE"/>
    <w:rsid w:val="009C2B6D"/>
    <w:rsid w:val="009D3F5C"/>
    <w:rsid w:val="009D5245"/>
    <w:rsid w:val="009E2176"/>
    <w:rsid w:val="00A061C2"/>
    <w:rsid w:val="00A34845"/>
    <w:rsid w:val="00A371ED"/>
    <w:rsid w:val="00A43E34"/>
    <w:rsid w:val="00A57B51"/>
    <w:rsid w:val="00A63AFB"/>
    <w:rsid w:val="00A81625"/>
    <w:rsid w:val="00A937B9"/>
    <w:rsid w:val="00AE35A3"/>
    <w:rsid w:val="00B5198D"/>
    <w:rsid w:val="00BA3EBA"/>
    <w:rsid w:val="00BA761A"/>
    <w:rsid w:val="00BE096B"/>
    <w:rsid w:val="00C16FD2"/>
    <w:rsid w:val="00CA0483"/>
    <w:rsid w:val="00CB252C"/>
    <w:rsid w:val="00CE22B8"/>
    <w:rsid w:val="00D166A7"/>
    <w:rsid w:val="00D53339"/>
    <w:rsid w:val="00D71C8B"/>
    <w:rsid w:val="00DC683D"/>
    <w:rsid w:val="00E335DC"/>
    <w:rsid w:val="00E5148B"/>
    <w:rsid w:val="00EC1208"/>
    <w:rsid w:val="00EE68C1"/>
    <w:rsid w:val="00F315C3"/>
    <w:rsid w:val="00F31F67"/>
    <w:rsid w:val="00F95316"/>
    <w:rsid w:val="00FB19AB"/>
    <w:rsid w:val="00FB5239"/>
    <w:rsid w:val="00FF3D5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strokecolor="red">
      <v:fill color="white" on="f"/>
      <v:stroke color="red" weight="1.25pt"/>
    </o:shapedefaults>
    <o:shapelayout v:ext="edit">
      <o:idmap v:ext="edit" data="1"/>
    </o:shapelayout>
  </w:shapeDefaults>
  <w:decimalSymbol w:val=","/>
  <w:listSeparator w:val=";"/>
  <w14:docId w14:val="6FDC8C48"/>
  <w15:docId w15:val="{54CA8529-0ADD-401C-AC4A-D24A3609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rPr>
      <w:sz w:val="24"/>
      <w:szCs w:val="24"/>
    </w:rPr>
  </w:style>
  <w:style w:type="paragraph" w:styleId="Titolo1">
    <w:name w:val="heading 1"/>
    <w:basedOn w:val="Normale"/>
    <w:next w:val="Normale"/>
    <w:pPr>
      <w:keepNext/>
      <w:numPr>
        <w:numId w:val="1"/>
      </w:numPr>
      <w:spacing w:after="360" w:line="0" w:lineRule="atLeast"/>
      <w:ind w:left="431" w:hanging="431"/>
      <w:outlineLvl w:val="0"/>
    </w:pPr>
    <w:rPr>
      <w:b/>
      <w:sz w:val="32"/>
      <w:szCs w:val="20"/>
    </w:rPr>
  </w:style>
  <w:style w:type="paragraph" w:styleId="Titolo2">
    <w:name w:val="heading 2"/>
    <w:basedOn w:val="Normale"/>
    <w:next w:val="Normale"/>
    <w:link w:val="Titolo2Carattere"/>
    <w:pPr>
      <w:keepNext/>
      <w:outlineLvl w:val="1"/>
    </w:pPr>
    <w:rPr>
      <w:rFonts w:ascii="Verdana" w:hAnsi="Verdana"/>
      <w:b/>
      <w:bCs/>
      <w:sz w:val="20"/>
    </w:rPr>
  </w:style>
  <w:style w:type="paragraph" w:styleId="Titolo3">
    <w:name w:val="heading 3"/>
    <w:basedOn w:val="Normale"/>
    <w:next w:val="Normale"/>
    <w:pPr>
      <w:keepNext/>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outlineLvl w:val="2"/>
    </w:pPr>
    <w:rPr>
      <w:rFonts w:ascii="Arial" w:hAnsi="Arial" w:cs="Arial"/>
      <w:b/>
      <w:bCs/>
      <w:i/>
      <w:iCs/>
      <w:sz w:val="20"/>
    </w:rPr>
  </w:style>
  <w:style w:type="paragraph" w:styleId="Titolo4">
    <w:name w:val="heading 4"/>
    <w:basedOn w:val="Normale"/>
    <w:next w:val="Normale"/>
    <w:pPr>
      <w:keepNext/>
      <w:autoSpaceDE w:val="0"/>
      <w:autoSpaceDN w:val="0"/>
      <w:adjustRightInd w:val="0"/>
      <w:jc w:val="both"/>
      <w:outlineLvl w:val="3"/>
    </w:pPr>
    <w:rPr>
      <w:rFonts w:ascii="Arial" w:hAnsi="Arial" w:cs="Arial"/>
      <w:b/>
      <w:bCs/>
      <w:sz w:val="20"/>
      <w:szCs w:val="20"/>
    </w:rPr>
  </w:style>
  <w:style w:type="paragraph" w:styleId="Titolo5">
    <w:name w:val="heading 5"/>
    <w:basedOn w:val="Normale"/>
    <w:next w:val="Normale"/>
    <w:pPr>
      <w:spacing w:before="240" w:after="60"/>
      <w:outlineLvl w:val="4"/>
    </w:pPr>
    <w:rPr>
      <w:b/>
      <w:bCs/>
      <w:i/>
      <w:iCs/>
      <w:sz w:val="26"/>
      <w:szCs w:val="26"/>
    </w:rPr>
  </w:style>
  <w:style w:type="paragraph" w:styleId="Titolo6">
    <w:name w:val="heading 6"/>
    <w:basedOn w:val="Normale"/>
    <w:next w:val="Normale"/>
    <w:pPr>
      <w:numPr>
        <w:ilvl w:val="5"/>
        <w:numId w:val="1"/>
      </w:numPr>
      <w:spacing w:before="240" w:after="60"/>
      <w:outlineLvl w:val="5"/>
    </w:pPr>
    <w:rPr>
      <w:i/>
      <w:sz w:val="22"/>
      <w:szCs w:val="20"/>
    </w:rPr>
  </w:style>
  <w:style w:type="paragraph" w:styleId="Titolo7">
    <w:name w:val="heading 7"/>
    <w:basedOn w:val="Normale"/>
    <w:next w:val="Normale"/>
    <w:pPr>
      <w:numPr>
        <w:ilvl w:val="6"/>
        <w:numId w:val="1"/>
      </w:numPr>
      <w:spacing w:before="240" w:after="60"/>
      <w:outlineLvl w:val="6"/>
    </w:pPr>
    <w:rPr>
      <w:rFonts w:ascii="Arial" w:hAnsi="Arial"/>
      <w:sz w:val="20"/>
      <w:szCs w:val="20"/>
    </w:rPr>
  </w:style>
  <w:style w:type="paragraph" w:styleId="Titolo8">
    <w:name w:val="heading 8"/>
    <w:basedOn w:val="Normale"/>
    <w:next w:val="Normale"/>
    <w:pPr>
      <w:numPr>
        <w:ilvl w:val="7"/>
        <w:numId w:val="1"/>
      </w:numPr>
      <w:spacing w:before="240" w:after="60"/>
      <w:outlineLvl w:val="7"/>
    </w:pPr>
    <w:rPr>
      <w:rFonts w:ascii="Arial" w:hAnsi="Arial"/>
      <w:i/>
      <w:sz w:val="20"/>
      <w:szCs w:val="20"/>
    </w:rPr>
  </w:style>
  <w:style w:type="paragraph" w:styleId="Titolo9">
    <w:name w:val="heading 9"/>
    <w:basedOn w:val="Normale"/>
    <w:next w:val="Normale"/>
    <w:pPr>
      <w:numPr>
        <w:ilvl w:val="8"/>
        <w:numId w:val="1"/>
      </w:numPr>
      <w:spacing w:before="240" w:after="60"/>
      <w:outlineLvl w:val="8"/>
    </w:pPr>
    <w:rPr>
      <w:rFonts w:ascii="Arial" w:hAnsi="Arial"/>
      <w:b/>
      <w:i/>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omandoaltC">
    <w:name w:val="Comando(alt+C)"/>
    <w:basedOn w:val="Titolo1"/>
    <w:pPr>
      <w:numPr>
        <w:numId w:val="0"/>
      </w:numPr>
      <w:spacing w:after="0" w:line="240" w:lineRule="auto"/>
    </w:pPr>
    <w:rPr>
      <w:rFonts w:ascii="Arial" w:hAnsi="Arial"/>
    </w:rPr>
  </w:style>
  <w:style w:type="paragraph" w:customStyle="1" w:styleId="Vocedelmenaltu">
    <w:name w:val="Voce del menù(alt+u)"/>
    <w:basedOn w:val="Normale"/>
    <w:pPr>
      <w:tabs>
        <w:tab w:val="num" w:pos="360"/>
      </w:tabs>
      <w:spacing w:before="120" w:after="240" w:line="240" w:lineRule="atLeast"/>
      <w:ind w:left="357" w:hanging="357"/>
      <w:outlineLvl w:val="4"/>
    </w:pPr>
    <w:rPr>
      <w:b/>
      <w:sz w:val="28"/>
      <w:szCs w:val="20"/>
      <w:u w:val="thick"/>
    </w:rPr>
  </w:style>
  <w:style w:type="paragraph" w:customStyle="1" w:styleId="Stile1">
    <w:name w:val="Stile1"/>
    <w:basedOn w:val="Puntoelenco"/>
    <w:pPr>
      <w:tabs>
        <w:tab w:val="num" w:pos="720"/>
      </w:tabs>
      <w:ind w:left="720" w:hanging="360"/>
    </w:pPr>
    <w:rPr>
      <w:rFonts w:cs="Arial"/>
    </w:rPr>
  </w:style>
  <w:style w:type="paragraph" w:styleId="Puntoelenco">
    <w:name w:val="List Bullet"/>
    <w:basedOn w:val="Normale"/>
    <w:autoRedefine/>
    <w:pPr>
      <w:ind w:left="709"/>
      <w:jc w:val="both"/>
    </w:pPr>
    <w:rPr>
      <w:rFonts w:ascii="Arial" w:hAnsi="Arial"/>
      <w:sz w:val="20"/>
      <w:szCs w:val="20"/>
    </w:rPr>
  </w:style>
  <w:style w:type="paragraph" w:customStyle="1" w:styleId="Puntoelenco1">
    <w:name w:val="Punto elenco 1"/>
    <w:basedOn w:val="corpoAltF"/>
    <w:pPr>
      <w:tabs>
        <w:tab w:val="num" w:pos="720"/>
      </w:tabs>
      <w:ind w:left="720" w:hanging="360"/>
    </w:pPr>
  </w:style>
  <w:style w:type="paragraph" w:customStyle="1" w:styleId="corpoAltF">
    <w:name w:val="corpo (Alt+F)"/>
    <w:basedOn w:val="Normale"/>
    <w:link w:val="corpoAltFCarattere"/>
    <w:pPr>
      <w:jc w:val="both"/>
    </w:pPr>
    <w:rPr>
      <w:rFonts w:ascii="Arial" w:hAnsi="Arial" w:cs="Arial"/>
      <w:sz w:val="20"/>
      <w:szCs w:val="20"/>
    </w:rPr>
  </w:style>
  <w:style w:type="paragraph" w:styleId="Intestazione">
    <w:name w:val="header"/>
    <w:basedOn w:val="Normale"/>
    <w:link w:val="IntestazioneCarattere"/>
    <w:pPr>
      <w:tabs>
        <w:tab w:val="center" w:pos="4819"/>
        <w:tab w:val="right" w:pos="9638"/>
      </w:tabs>
    </w:pPr>
    <w:rPr>
      <w:sz w:val="20"/>
      <w:szCs w:val="20"/>
    </w:rPr>
  </w:style>
  <w:style w:type="paragraph" w:customStyle="1" w:styleId="comando">
    <w:name w:val="comando"/>
    <w:basedOn w:val="Normale"/>
    <w:pPr>
      <w:tabs>
        <w:tab w:val="right" w:leader="dot" w:pos="9639"/>
      </w:tabs>
    </w:pPr>
    <w:rPr>
      <w:rFonts w:ascii="Arial" w:hAnsi="Arial"/>
      <w:b/>
      <w:caps/>
    </w:rPr>
  </w:style>
  <w:style w:type="character" w:styleId="Collegamentoipertestuale">
    <w:name w:val="Hyperlink"/>
    <w:uiPriority w:val="99"/>
    <w:rPr>
      <w:color w:val="0000FF"/>
      <w:u w:val="single"/>
    </w:rPr>
  </w:style>
  <w:style w:type="paragraph" w:styleId="Sommario1">
    <w:name w:val="toc 1"/>
    <w:basedOn w:val="Normale"/>
    <w:next w:val="Normale"/>
    <w:autoRedefine/>
    <w:uiPriority w:val="39"/>
    <w:pPr>
      <w:pBdr>
        <w:top w:val="double" w:sz="4" w:space="1" w:color="365F91"/>
        <w:bottom w:val="double" w:sz="4" w:space="0" w:color="365F91"/>
      </w:pBdr>
      <w:shd w:val="clear" w:color="auto" w:fill="365F91"/>
      <w:tabs>
        <w:tab w:val="right" w:leader="dot" w:pos="9629"/>
      </w:tabs>
      <w:spacing w:before="180" w:after="60"/>
    </w:pPr>
    <w:rPr>
      <w:rFonts w:ascii="Arial" w:hAnsi="Arial" w:cs="Arial"/>
      <w:b/>
      <w:noProof/>
      <w:color w:val="FFFFFF"/>
      <w:sz w:val="20"/>
      <w:szCs w:val="40"/>
    </w:rPr>
  </w:style>
  <w:style w:type="paragraph" w:styleId="Sommario4">
    <w:name w:val="toc 4"/>
    <w:basedOn w:val="Normale"/>
    <w:next w:val="Normale"/>
    <w:autoRedefine/>
    <w:uiPriority w:val="39"/>
    <w:pPr>
      <w:tabs>
        <w:tab w:val="left" w:pos="993"/>
        <w:tab w:val="right" w:leader="dot" w:pos="9629"/>
      </w:tabs>
      <w:ind w:left="567"/>
    </w:pPr>
    <w:rPr>
      <w:rFonts w:ascii="Arial" w:hAnsi="Arial" w:cs="Arial"/>
      <w:i/>
      <w:noProof/>
      <w:sz w:val="20"/>
      <w:szCs w:val="20"/>
    </w:rPr>
  </w:style>
  <w:style w:type="paragraph" w:customStyle="1" w:styleId="TS-titolo-01">
    <w:name w:val="TS-titolo-01"/>
    <w:basedOn w:val="Intestazione"/>
    <w:link w:val="TS-titolo-01Carattere"/>
    <w:autoRedefine/>
    <w:qFormat/>
    <w:pPr>
      <w:tabs>
        <w:tab w:val="clear" w:pos="4819"/>
        <w:tab w:val="clear" w:pos="9638"/>
      </w:tabs>
    </w:pPr>
    <w:rPr>
      <w:rFonts w:ascii="Arial" w:hAnsi="Arial" w:cs="Arial"/>
      <w:b/>
      <w:i/>
      <w:sz w:val="28"/>
    </w:rPr>
  </w:style>
  <w:style w:type="paragraph" w:customStyle="1" w:styleId="TS-titolo-02">
    <w:name w:val="TS-titolo-02"/>
    <w:basedOn w:val="Intestazione"/>
    <w:autoRedefine/>
    <w:qFormat/>
    <w:pPr>
      <w:ind w:left="69"/>
      <w:jc w:val="center"/>
    </w:pPr>
    <w:rPr>
      <w:rFonts w:ascii="Arial" w:hAnsi="Arial" w:cs="Arial"/>
      <w:b/>
      <w:color w:val="FFFFFF"/>
      <w:sz w:val="32"/>
    </w:rPr>
  </w:style>
  <w:style w:type="paragraph" w:customStyle="1" w:styleId="TS-titolo-04">
    <w:name w:val="TS-titolo-04"/>
    <w:basedOn w:val="Titolo"/>
    <w:link w:val="TS-titolo-04Carattere"/>
    <w:autoRedefine/>
    <w:qFormat/>
    <w:pPr>
      <w:pBdr>
        <w:top w:val="single" w:sz="4" w:space="0" w:color="auto"/>
      </w:pBdr>
      <w:ind w:left="0"/>
      <w:jc w:val="both"/>
    </w:pPr>
    <w:rPr>
      <w:sz w:val="24"/>
      <w:szCs w:val="24"/>
    </w:rPr>
  </w:style>
  <w:style w:type="paragraph" w:styleId="Titolo">
    <w:name w:val="Title"/>
    <w:basedOn w:val="Normale"/>
    <w:pPr>
      <w:pBdr>
        <w:top w:val="single" w:sz="4" w:space="1" w:color="auto"/>
        <w:bottom w:val="single" w:sz="4" w:space="1" w:color="auto"/>
      </w:pBdr>
      <w:spacing w:before="240" w:after="60"/>
      <w:ind w:left="-284"/>
      <w:outlineLvl w:val="0"/>
    </w:pPr>
    <w:rPr>
      <w:rFonts w:ascii="Arial" w:hAnsi="Arial"/>
      <w:b/>
      <w:kern w:val="28"/>
      <w:sz w:val="32"/>
      <w:szCs w:val="20"/>
    </w:rPr>
  </w:style>
  <w:style w:type="paragraph" w:styleId="Titoloindice">
    <w:name w:val="index heading"/>
    <w:basedOn w:val="Normale"/>
    <w:next w:val="Indice1"/>
    <w:semiHidden/>
    <w:rPr>
      <w:sz w:val="20"/>
      <w:szCs w:val="20"/>
    </w:rPr>
  </w:style>
  <w:style w:type="paragraph" w:styleId="Indice1">
    <w:name w:val="index 1"/>
    <w:basedOn w:val="Normale"/>
    <w:next w:val="Normale"/>
    <w:autoRedefine/>
    <w:semiHidden/>
    <w:pPr>
      <w:ind w:left="200" w:hanging="200"/>
    </w:pPr>
    <w:rPr>
      <w:sz w:val="20"/>
      <w:szCs w:val="20"/>
    </w:rPr>
  </w:style>
  <w:style w:type="paragraph" w:customStyle="1" w:styleId="TS-titolo-03">
    <w:name w:val="TS-titolo-03"/>
    <w:basedOn w:val="Intestazione"/>
    <w:autoRedefine/>
    <w:pPr>
      <w:jc w:val="center"/>
    </w:pPr>
    <w:rPr>
      <w:rFonts w:ascii="Arial" w:hAnsi="Arial" w:cs="Arial"/>
      <w:b/>
      <w:color w:val="000000"/>
      <w:sz w:val="32"/>
    </w:rPr>
  </w:style>
  <w:style w:type="paragraph" w:styleId="Corpodeltesto3">
    <w:name w:val="Body Text 3"/>
    <w:basedOn w:val="Normale"/>
    <w:link w:val="Corpodeltesto3Carattere"/>
    <w:pPr>
      <w:jc w:val="both"/>
    </w:pPr>
    <w:rPr>
      <w:rFonts w:ascii="Arial" w:hAnsi="Arial"/>
      <w:b/>
      <w:sz w:val="20"/>
      <w:szCs w:val="20"/>
    </w:rPr>
  </w:style>
  <w:style w:type="paragraph" w:customStyle="1" w:styleId="Esempi">
    <w:name w:val="Esempi"/>
    <w:basedOn w:val="Normale"/>
    <w:pPr>
      <w:jc w:val="both"/>
    </w:pPr>
    <w:rPr>
      <w:rFonts w:ascii="Arial" w:hAnsi="Arial"/>
      <w:i/>
      <w:sz w:val="20"/>
      <w:szCs w:val="20"/>
    </w:rPr>
  </w:style>
  <w:style w:type="paragraph" w:customStyle="1" w:styleId="Funzionealth">
    <w:name w:val="Funzione(alt+h)"/>
    <w:basedOn w:val="Normale"/>
    <w:link w:val="FunzionealthCarattere1"/>
    <w:pPr>
      <w:tabs>
        <w:tab w:val="right" w:pos="3260"/>
        <w:tab w:val="left" w:pos="3402"/>
      </w:tabs>
      <w:spacing w:before="60"/>
      <w:ind w:left="3402" w:hanging="3402"/>
      <w:jc w:val="both"/>
    </w:pPr>
    <w:rPr>
      <w:rFonts w:ascii="Arial" w:hAnsi="Arial"/>
      <w:i/>
      <w:sz w:val="20"/>
      <w:szCs w:val="20"/>
    </w:rPr>
  </w:style>
  <w:style w:type="paragraph" w:styleId="Testonormale">
    <w:name w:val="Plain Text"/>
    <w:basedOn w:val="Normale"/>
    <w:rPr>
      <w:rFonts w:ascii="Courier New" w:hAnsi="Courier New"/>
      <w:sz w:val="20"/>
      <w:szCs w:val="20"/>
    </w:rPr>
  </w:style>
  <w:style w:type="paragraph" w:styleId="Soggettocommento">
    <w:name w:val="annotation subject"/>
    <w:basedOn w:val="Testocommento"/>
    <w:next w:val="Testocommento"/>
    <w:semiHidden/>
    <w:rPr>
      <w:b/>
      <w:bCs/>
    </w:rPr>
  </w:style>
  <w:style w:type="paragraph" w:styleId="Testocommento">
    <w:name w:val="annotation text"/>
    <w:basedOn w:val="Normale"/>
    <w:semiHidden/>
    <w:rPr>
      <w:sz w:val="20"/>
      <w:szCs w:val="20"/>
    </w:rPr>
  </w:style>
  <w:style w:type="paragraph" w:styleId="Corpodeltesto2">
    <w:name w:val="Body Text 2"/>
    <w:basedOn w:val="Normale"/>
    <w:pPr>
      <w:tabs>
        <w:tab w:val="left" w:pos="567"/>
        <w:tab w:val="left" w:pos="1134"/>
        <w:tab w:val="left" w:pos="2552"/>
      </w:tabs>
    </w:pPr>
    <w:rPr>
      <w:i/>
      <w:sz w:val="18"/>
      <w:szCs w:val="20"/>
    </w:rPr>
  </w:style>
  <w:style w:type="paragraph" w:customStyle="1" w:styleId="corpo">
    <w:name w:val="corpo"/>
    <w:basedOn w:val="Normale"/>
    <w:link w:val="corpoCarattere"/>
    <w:pPr>
      <w:jc w:val="both"/>
    </w:pPr>
    <w:rPr>
      <w:rFonts w:ascii="Arial" w:hAnsi="Arial" w:cs="Arial"/>
      <w:sz w:val="20"/>
      <w:szCs w:val="20"/>
    </w:rPr>
  </w:style>
  <w:style w:type="character" w:styleId="Numeropagina">
    <w:name w:val="page number"/>
    <w:basedOn w:val="Carpredefinitoparagrafo"/>
  </w:style>
  <w:style w:type="paragraph" w:styleId="Pidipagina">
    <w:name w:val="footer"/>
    <w:basedOn w:val="Normale"/>
    <w:pPr>
      <w:tabs>
        <w:tab w:val="center" w:pos="4819"/>
        <w:tab w:val="right" w:pos="9638"/>
      </w:tabs>
    </w:pPr>
    <w:rPr>
      <w:sz w:val="20"/>
      <w:szCs w:val="20"/>
    </w:rPr>
  </w:style>
  <w:style w:type="paragraph" w:customStyle="1" w:styleId="TS-testata-01">
    <w:name w:val="TS-testata-01"/>
    <w:basedOn w:val="Intestazione"/>
    <w:rPr>
      <w:rFonts w:ascii="Arial" w:hAnsi="Arial" w:cs="Arial"/>
      <w:b/>
      <w:i/>
      <w:sz w:val="28"/>
    </w:rPr>
  </w:style>
  <w:style w:type="paragraph" w:styleId="NormaleWeb">
    <w:name w:val="Normal (Web)"/>
    <w:basedOn w:val="Normale"/>
    <w:uiPriority w:val="99"/>
    <w:pPr>
      <w:spacing w:before="100" w:beforeAutospacing="1" w:after="100" w:afterAutospacing="1"/>
    </w:pPr>
  </w:style>
  <w:style w:type="paragraph" w:styleId="Rientrocorpodeltesto2">
    <w:name w:val="Body Text Indent 2"/>
    <w:basedOn w:val="Normale"/>
    <w:pPr>
      <w:ind w:left="180"/>
      <w:jc w:val="both"/>
    </w:pPr>
    <w:rPr>
      <w:rFonts w:ascii="Verdana" w:hAnsi="Verdana" w:cs="Arial"/>
      <w:sz w:val="20"/>
    </w:rPr>
  </w:style>
  <w:style w:type="paragraph" w:styleId="Corpotesto">
    <w:name w:val="Body Text"/>
    <w:basedOn w:val="Normale"/>
    <w:pPr>
      <w:jc w:val="both"/>
    </w:pPr>
    <w:rPr>
      <w:rFonts w:ascii="Verdana" w:hAnsi="Verdana" w:cs="Arial"/>
      <w:sz w:val="20"/>
    </w:rPr>
  </w:style>
  <w:style w:type="paragraph" w:styleId="Sommario8">
    <w:name w:val="toc 8"/>
    <w:basedOn w:val="Normale"/>
    <w:next w:val="Normale"/>
    <w:autoRedefine/>
    <w:semiHidden/>
    <w:pPr>
      <w:ind w:left="1680"/>
    </w:pPr>
  </w:style>
  <w:style w:type="paragraph" w:styleId="Sommario2">
    <w:name w:val="toc 2"/>
    <w:basedOn w:val="Sommario1"/>
    <w:next w:val="Normale"/>
    <w:autoRedefine/>
    <w:uiPriority w:val="39"/>
    <w:pPr>
      <w:pBdr>
        <w:top w:val="single" w:sz="4" w:space="1" w:color="365F91"/>
        <w:bottom w:val="single" w:sz="4" w:space="0" w:color="365F91"/>
      </w:pBdr>
      <w:shd w:val="clear" w:color="auto" w:fill="auto"/>
      <w:spacing w:before="120"/>
      <w:ind w:left="113"/>
    </w:pPr>
    <w:rPr>
      <w:color w:val="auto"/>
    </w:rPr>
  </w:style>
  <w:style w:type="paragraph" w:styleId="Sommario9">
    <w:name w:val="toc 9"/>
    <w:basedOn w:val="Normale"/>
    <w:next w:val="Normale"/>
    <w:autoRedefine/>
    <w:semiHidden/>
    <w:pPr>
      <w:ind w:left="1920"/>
    </w:pPr>
  </w:style>
  <w:style w:type="paragraph" w:styleId="Sommario3">
    <w:name w:val="toc 3"/>
    <w:basedOn w:val="Sommario2"/>
    <w:next w:val="CorpoAltF0"/>
    <w:autoRedefine/>
    <w:uiPriority w:val="39"/>
    <w:pPr>
      <w:pBdr>
        <w:top w:val="none" w:sz="0" w:space="0" w:color="auto"/>
        <w:bottom w:val="none" w:sz="0" w:space="0" w:color="auto"/>
      </w:pBdr>
      <w:shd w:val="clear" w:color="auto" w:fill="D9D9D9"/>
    </w:pPr>
  </w:style>
  <w:style w:type="paragraph" w:styleId="Sommario5">
    <w:name w:val="toc 5"/>
    <w:basedOn w:val="Normale"/>
    <w:next w:val="Normale"/>
    <w:autoRedefine/>
    <w:uiPriority w:val="39"/>
    <w:pPr>
      <w:ind w:left="1134"/>
    </w:pPr>
    <w:rPr>
      <w:rFonts w:ascii="Arial" w:hAnsi="Arial"/>
      <w:i/>
      <w:sz w:val="18"/>
    </w:rPr>
  </w:style>
  <w:style w:type="paragraph" w:customStyle="1" w:styleId="Default">
    <w:name w:val="Default"/>
    <w:pPr>
      <w:autoSpaceDE w:val="0"/>
      <w:autoSpaceDN w:val="0"/>
      <w:adjustRightInd w:val="0"/>
    </w:pPr>
    <w:rPr>
      <w:rFonts w:ascii="Verdana" w:hAnsi="Verdana"/>
    </w:rPr>
  </w:style>
  <w:style w:type="paragraph" w:styleId="Sommario6">
    <w:name w:val="toc 6"/>
    <w:basedOn w:val="Normale"/>
    <w:next w:val="Normale"/>
    <w:autoRedefine/>
    <w:semiHidden/>
    <w:pPr>
      <w:ind w:left="1200"/>
    </w:pPr>
  </w:style>
  <w:style w:type="paragraph" w:styleId="Sommario7">
    <w:name w:val="toc 7"/>
    <w:basedOn w:val="Normale"/>
    <w:next w:val="Normale"/>
    <w:autoRedefine/>
    <w:semiHidden/>
    <w:pPr>
      <w:ind w:left="1440"/>
    </w:pPr>
  </w:style>
  <w:style w:type="character" w:styleId="Enfasigrassetto">
    <w:name w:val="Strong"/>
    <w:uiPriority w:val="22"/>
    <w:qFormat/>
    <w:rPr>
      <w:b/>
      <w:bCs/>
    </w:rPr>
  </w:style>
  <w:style w:type="character" w:styleId="Collegamentovisitato">
    <w:name w:val="FollowedHyperlink"/>
    <w:rPr>
      <w:color w:val="800080"/>
      <w:u w:val="single"/>
    </w:rPr>
  </w:style>
  <w:style w:type="paragraph" w:customStyle="1" w:styleId="TS-titolo-Comando">
    <w:name w:val="TS-titolo-Comando"/>
    <w:basedOn w:val="TS-titolo-01"/>
    <w:qFormat/>
    <w:pPr>
      <w:jc w:val="center"/>
    </w:pPr>
    <w:rPr>
      <w:rFonts w:cs="Times New Roman"/>
      <w:bCs/>
      <w:i w:val="0"/>
      <w:sz w:val="32"/>
    </w:rPr>
  </w:style>
  <w:style w:type="character" w:customStyle="1" w:styleId="corpoAltFCarattere">
    <w:name w:val="corpo (Alt+F) Carattere"/>
    <w:link w:val="corpoAltF"/>
    <w:rPr>
      <w:rFonts w:ascii="Arial" w:hAnsi="Arial" w:cs="Arial"/>
      <w:lang w:val="it-IT" w:eastAsia="it-IT" w:bidi="ar-SA"/>
    </w:rPr>
  </w:style>
  <w:style w:type="paragraph" w:styleId="Indice7">
    <w:name w:val="index 7"/>
    <w:basedOn w:val="Normale"/>
    <w:next w:val="Normale"/>
    <w:autoRedefine/>
    <w:semiHidden/>
    <w:pPr>
      <w:ind w:left="1400" w:hanging="200"/>
    </w:pPr>
    <w:rPr>
      <w:sz w:val="20"/>
      <w:szCs w:val="20"/>
    </w:rPr>
  </w:style>
  <w:style w:type="paragraph" w:customStyle="1" w:styleId="Paragrafoconcampialtp">
    <w:name w:val="Paragrafo con campi (alt+p)"/>
    <w:basedOn w:val="Normale"/>
    <w:pPr>
      <w:spacing w:after="120"/>
      <w:ind w:left="3402" w:hanging="3402"/>
      <w:jc w:val="both"/>
    </w:pPr>
    <w:rPr>
      <w:rFonts w:ascii="Arial" w:hAnsi="Arial"/>
      <w:i/>
      <w:sz w:val="20"/>
      <w:szCs w:val="20"/>
    </w:rPr>
  </w:style>
  <w:style w:type="paragraph" w:customStyle="1" w:styleId="Interlinafra2righeALTA">
    <w:name w:val="Interlina fra 2 righe (ALT+A)"/>
    <w:next w:val="Funzionealth"/>
    <w:pPr>
      <w:spacing w:line="120" w:lineRule="exact"/>
    </w:pPr>
    <w:rPr>
      <w:b/>
      <w:i/>
    </w:rPr>
  </w:style>
  <w:style w:type="paragraph" w:customStyle="1" w:styleId="CorpoCentrato">
    <w:name w:val="Corpo Centrato"/>
    <w:basedOn w:val="corpoAltF"/>
    <w:next w:val="corpoAltF"/>
    <w:pPr>
      <w:jc w:val="center"/>
    </w:pPr>
  </w:style>
  <w:style w:type="paragraph" w:customStyle="1" w:styleId="CorpoSpazioPrima">
    <w:name w:val="Corpo SpazioPrima"/>
    <w:basedOn w:val="corpoAltF"/>
    <w:next w:val="corpoAltF"/>
    <w:link w:val="CorpoSpazioPrimaCarattere"/>
    <w:pPr>
      <w:spacing w:before="120"/>
    </w:pPr>
  </w:style>
  <w:style w:type="paragraph" w:customStyle="1" w:styleId="TS-titolo-05">
    <w:name w:val="TS-titolo-05"/>
    <w:basedOn w:val="Normale"/>
    <w:next w:val="CorpoAltF0"/>
    <w:link w:val="TS-titolo-05Carattere"/>
    <w:qFormat/>
    <w:pPr>
      <w:pBdr>
        <w:top w:val="single" w:sz="4" w:space="1" w:color="auto"/>
        <w:bottom w:val="single" w:sz="4" w:space="1" w:color="auto"/>
      </w:pBdr>
      <w:spacing w:before="240" w:after="60"/>
    </w:pPr>
    <w:rPr>
      <w:rFonts w:ascii="Arial" w:hAnsi="Arial"/>
      <w:sz w:val="20"/>
    </w:rPr>
  </w:style>
  <w:style w:type="table" w:styleId="Grigliatabella">
    <w:name w:val="Table Grid"/>
    <w:basedOn w:val="Tabellanorma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Pr>
      <w:rFonts w:ascii="Tahoma" w:hAnsi="Tahoma" w:cs="Tahoma"/>
      <w:sz w:val="16"/>
      <w:szCs w:val="16"/>
    </w:rPr>
  </w:style>
  <w:style w:type="paragraph" w:customStyle="1" w:styleId="SpazioPrimaAltS">
    <w:name w:val="SpazioPrima (Alt+S)"/>
    <w:basedOn w:val="corpoAltF"/>
    <w:next w:val="corpoAltF"/>
    <w:pPr>
      <w:spacing w:before="120"/>
    </w:pPr>
  </w:style>
  <w:style w:type="character" w:customStyle="1" w:styleId="TS-titolo-05Carattere">
    <w:name w:val="TS-titolo-05 Carattere"/>
    <w:link w:val="TS-titolo-05"/>
    <w:rPr>
      <w:rFonts w:ascii="Arial" w:hAnsi="Arial"/>
      <w:szCs w:val="24"/>
    </w:rPr>
  </w:style>
  <w:style w:type="character" w:customStyle="1" w:styleId="TS-titolo-04Carattere">
    <w:name w:val="TS-titolo-04 Carattere"/>
    <w:link w:val="TS-titolo-04"/>
    <w:rPr>
      <w:rFonts w:ascii="Arial" w:hAnsi="Arial"/>
      <w:b/>
      <w:kern w:val="28"/>
      <w:sz w:val="24"/>
      <w:szCs w:val="24"/>
    </w:rPr>
  </w:style>
  <w:style w:type="character" w:customStyle="1" w:styleId="CorpoSpazioPrimaCarattere">
    <w:name w:val="Corpo SpazioPrima Carattere"/>
    <w:basedOn w:val="corpoAltFCarattere"/>
    <w:link w:val="CorpoSpazioPrima"/>
    <w:rPr>
      <w:rFonts w:ascii="Arial" w:hAnsi="Arial" w:cs="Arial"/>
      <w:lang w:val="it-IT" w:eastAsia="it-IT" w:bidi="ar-SA"/>
    </w:rPr>
  </w:style>
  <w:style w:type="paragraph" w:customStyle="1" w:styleId="testo">
    <w:name w:val="testo"/>
    <w:basedOn w:val="Normale"/>
  </w:style>
  <w:style w:type="character" w:customStyle="1" w:styleId="corpoAltFCarattere1">
    <w:name w:val="corpo (Alt+F) Carattere1"/>
    <w:rPr>
      <w:rFonts w:ascii="Arial" w:hAnsi="Arial" w:cs="Arial"/>
      <w:lang w:val="it-IT" w:eastAsia="it-IT" w:bidi="ar-SA"/>
    </w:rPr>
  </w:style>
  <w:style w:type="character" w:customStyle="1" w:styleId="corpoCarattere">
    <w:name w:val="corpo Carattere"/>
    <w:link w:val="corpo"/>
    <w:rPr>
      <w:rFonts w:ascii="Arial" w:hAnsi="Arial" w:cs="Arial"/>
      <w:lang w:val="it-IT" w:eastAsia="it-IT" w:bidi="ar-SA"/>
    </w:rPr>
  </w:style>
  <w:style w:type="character" w:customStyle="1" w:styleId="StileArial10pt">
    <w:name w:val="Stile Arial 10 pt"/>
    <w:rPr>
      <w:rFonts w:ascii="Arial" w:hAnsi="Arial"/>
      <w:sz w:val="20"/>
    </w:rPr>
  </w:style>
  <w:style w:type="paragraph" w:customStyle="1" w:styleId="CorpoAltF0">
    <w:name w:val="Corpo (Alt+F)"/>
    <w:basedOn w:val="Normale"/>
    <w:link w:val="CorpoAltFCarattere0"/>
    <w:qFormat/>
    <w:pPr>
      <w:jc w:val="both"/>
    </w:pPr>
    <w:rPr>
      <w:rFonts w:ascii="Arial" w:hAnsi="Arial"/>
      <w:sz w:val="20"/>
      <w:szCs w:val="20"/>
    </w:rPr>
  </w:style>
  <w:style w:type="character" w:customStyle="1" w:styleId="IntestazioneCarattere">
    <w:name w:val="Intestazione Carattere"/>
    <w:link w:val="Intestazione"/>
    <w:rPr>
      <w:lang w:val="it-IT" w:eastAsia="it-IT" w:bidi="ar-SA"/>
    </w:rPr>
  </w:style>
  <w:style w:type="character" w:customStyle="1" w:styleId="CarattereCarattere">
    <w:name w:val="Carattere Carattere"/>
    <w:rPr>
      <w:rFonts w:ascii="Times New Roman" w:eastAsia="Times New Roman" w:hAnsi="Times New Roman" w:cs="Times New Roman"/>
      <w:sz w:val="20"/>
      <w:szCs w:val="20"/>
      <w:lang w:eastAsia="it-IT"/>
    </w:rPr>
  </w:style>
  <w:style w:type="character" w:customStyle="1" w:styleId="FunzionealthCarattere1">
    <w:name w:val="Funzione(alt+h) Carattere1"/>
    <w:link w:val="Funzionealth"/>
    <w:rPr>
      <w:rFonts w:ascii="Arial" w:hAnsi="Arial"/>
      <w:i/>
      <w:lang w:val="it-IT" w:eastAsia="it-IT" w:bidi="ar-SA"/>
    </w:rPr>
  </w:style>
  <w:style w:type="character" w:customStyle="1" w:styleId="Titolo2Carattere">
    <w:name w:val="Titolo 2 Carattere"/>
    <w:link w:val="Titolo2"/>
    <w:rPr>
      <w:rFonts w:ascii="Verdana" w:hAnsi="Verdana"/>
      <w:b/>
      <w:bCs/>
      <w:szCs w:val="24"/>
      <w:lang w:val="it-IT" w:eastAsia="it-IT" w:bidi="ar-SA"/>
    </w:rPr>
  </w:style>
  <w:style w:type="paragraph" w:customStyle="1" w:styleId="WWNewPage">
    <w:name w:val="WW_NewPage"/>
    <w:basedOn w:val="Normale"/>
    <w:qFormat/>
    <w:pPr>
      <w:jc w:val="both"/>
    </w:pPr>
    <w:rPr>
      <w:rFonts w:ascii="Arial" w:hAnsi="Arial"/>
      <w:b/>
      <w:bCs/>
      <w:color w:val="FFFFFF"/>
      <w:sz w:val="4"/>
      <w:szCs w:val="4"/>
    </w:rPr>
  </w:style>
  <w:style w:type="paragraph" w:customStyle="1" w:styleId="WWRelease">
    <w:name w:val="WW_Release"/>
    <w:basedOn w:val="Intestazione"/>
    <w:pPr>
      <w:tabs>
        <w:tab w:val="clear" w:pos="4819"/>
        <w:tab w:val="clear" w:pos="9638"/>
      </w:tabs>
    </w:pPr>
    <w:rPr>
      <w:rFonts w:ascii="Arial" w:hAnsi="Arial" w:cs="Arial"/>
      <w:b/>
      <w:bCs/>
    </w:rPr>
  </w:style>
  <w:style w:type="character" w:customStyle="1" w:styleId="CorpoAltFCarattere0">
    <w:name w:val="Corpo (Alt+F) Carattere"/>
    <w:link w:val="CorpoAltF0"/>
    <w:rPr>
      <w:rFonts w:ascii="Arial" w:hAnsi="Arial" w:cs="Arial"/>
    </w:rPr>
  </w:style>
  <w:style w:type="paragraph" w:customStyle="1" w:styleId="WWReleaseTipo">
    <w:name w:val="WW_Release_Tipo"/>
    <w:basedOn w:val="Intestazione"/>
    <w:pPr>
      <w:tabs>
        <w:tab w:val="clear" w:pos="4819"/>
        <w:tab w:val="clear" w:pos="9638"/>
      </w:tabs>
    </w:pPr>
    <w:rPr>
      <w:rFonts w:ascii="Arial" w:hAnsi="Arial" w:cs="Arial"/>
      <w:b/>
    </w:rPr>
  </w:style>
  <w:style w:type="paragraph" w:customStyle="1" w:styleId="WWNormativaSoftware">
    <w:name w:val="WW_NormativaSoftware"/>
    <w:basedOn w:val="TS-titolo-Comando"/>
    <w:next w:val="CorpoAltF0"/>
    <w:qFormat/>
    <w:pPr>
      <w:spacing w:before="60"/>
      <w:ind w:left="176"/>
      <w:jc w:val="left"/>
    </w:pPr>
    <w:rPr>
      <w:color w:val="17365D"/>
      <w:sz w:val="28"/>
    </w:rPr>
  </w:style>
  <w:style w:type="paragraph" w:customStyle="1" w:styleId="WWTipoDocumento">
    <w:name w:val="WW_TipoDocumento"/>
    <w:basedOn w:val="CorpoAltF0"/>
    <w:next w:val="CorpoAltF0"/>
    <w:link w:val="WWTipoDocumentoCarattere"/>
    <w:qFormat/>
    <w:pPr>
      <w:ind w:left="142"/>
    </w:pPr>
    <w:rPr>
      <w:b/>
      <w:color w:val="FFFFFF" w:themeColor="background1"/>
      <w:sz w:val="10"/>
      <w:szCs w:val="22"/>
    </w:rPr>
  </w:style>
  <w:style w:type="character" w:customStyle="1" w:styleId="WWTipoDocumentoCarattere">
    <w:name w:val="WW_TipoDocumento Carattere"/>
    <w:link w:val="WWTipoDocumento"/>
    <w:rPr>
      <w:rFonts w:ascii="Arial" w:hAnsi="Arial"/>
      <w:b/>
      <w:color w:val="FFFFFF" w:themeColor="background1"/>
      <w:sz w:val="10"/>
      <w:szCs w:val="22"/>
    </w:rPr>
  </w:style>
  <w:style w:type="paragraph" w:styleId="Paragrafoelenco">
    <w:name w:val="List Paragraph"/>
    <w:basedOn w:val="Normale"/>
    <w:uiPriority w:val="34"/>
    <w:qFormat/>
    <w:pPr>
      <w:ind w:left="720"/>
      <w:contextualSpacing/>
    </w:pPr>
  </w:style>
  <w:style w:type="paragraph" w:styleId="Didascalia">
    <w:name w:val="caption"/>
    <w:basedOn w:val="CorpoAltF0"/>
    <w:next w:val="CorpoAltF0"/>
    <w:pPr>
      <w:spacing w:before="40"/>
      <w:jc w:val="center"/>
      <w:outlineLvl w:val="5"/>
    </w:pPr>
    <w:rPr>
      <w:rFonts w:cs="Arial"/>
      <w:bCs/>
    </w:rPr>
  </w:style>
  <w:style w:type="paragraph" w:customStyle="1" w:styleId="StileFigura">
    <w:name w:val="Stile Figura"/>
    <w:basedOn w:val="CorpoAltF0"/>
    <w:next w:val="CorpoAltF0"/>
    <w:pPr>
      <w:jc w:val="center"/>
      <w:outlineLvl w:val="6"/>
    </w:pPr>
    <w:rPr>
      <w:rFonts w:cs="Arial"/>
    </w:rPr>
  </w:style>
  <w:style w:type="character" w:customStyle="1" w:styleId="TS-titolo-01Carattere">
    <w:name w:val="TS-titolo-01 Carattere"/>
    <w:link w:val="TS-titolo-01"/>
    <w:rPr>
      <w:rFonts w:ascii="Arial" w:hAnsi="Arial" w:cs="Arial"/>
      <w:b/>
      <w:i/>
      <w:sz w:val="28"/>
    </w:rPr>
  </w:style>
  <w:style w:type="paragraph" w:customStyle="1" w:styleId="CorpoCentrato0">
    <w:name w:val="CorpoCentrato"/>
    <w:basedOn w:val="Normale"/>
    <w:next w:val="CorpoAltF0"/>
    <w:link w:val="CorpoCentratoCarattere"/>
    <w:pPr>
      <w:spacing w:before="120"/>
      <w:jc w:val="center"/>
    </w:pPr>
    <w:rPr>
      <w:rFonts w:ascii="Arial" w:hAnsi="Arial" w:cs="Arial"/>
      <w:sz w:val="20"/>
      <w:szCs w:val="20"/>
    </w:rPr>
  </w:style>
  <w:style w:type="character" w:customStyle="1" w:styleId="CorpoCentratoCarattere">
    <w:name w:val="CorpoCentrato Carattere"/>
    <w:basedOn w:val="Carpredefinitoparagrafo"/>
    <w:link w:val="CorpoCentrato0"/>
    <w:rPr>
      <w:rFonts w:ascii="Arial" w:hAnsi="Arial" w:cs="Arial"/>
    </w:rPr>
  </w:style>
  <w:style w:type="character" w:styleId="Enfasicorsivo">
    <w:name w:val="Emphasis"/>
    <w:uiPriority w:val="20"/>
    <w:qFormat/>
    <w:rPr>
      <w:b/>
      <w:bCs/>
      <w:i w:val="0"/>
      <w:iCs w:val="0"/>
    </w:rPr>
  </w:style>
  <w:style w:type="paragraph" w:customStyle="1" w:styleId="Ignora">
    <w:name w:val="Ignora"/>
    <w:basedOn w:val="CorpoAltF0"/>
    <w:qFormat/>
  </w:style>
  <w:style w:type="character" w:customStyle="1" w:styleId="Corpodeltesto3Carattere">
    <w:name w:val="Corpo del testo 3 Carattere"/>
    <w:basedOn w:val="Carpredefinitoparagrafo"/>
    <w:link w:val="Corpodeltesto3"/>
    <w:rPr>
      <w:rFonts w:ascii="Arial" w:hAnsi="Arial"/>
      <w:b/>
    </w:rPr>
  </w:style>
  <w:style w:type="paragraph" w:customStyle="1" w:styleId="TitSOTTOPAR1">
    <w:name w:val="Tit. SOTTOPAR 1"/>
    <w:basedOn w:val="Normale"/>
    <w:pPr>
      <w:pBdr>
        <w:bottom w:val="single" w:sz="8" w:space="5" w:color="auto"/>
      </w:pBdr>
      <w:spacing w:before="120"/>
      <w:outlineLvl w:val="3"/>
    </w:pPr>
    <w:rPr>
      <w:rFonts w:ascii="Arial" w:hAnsi="Arial"/>
      <w:b/>
      <w:i/>
      <w:sz w:val="20"/>
      <w:szCs w:val="20"/>
    </w:rPr>
  </w:style>
  <w:style w:type="paragraph" w:customStyle="1" w:styleId="TitPARAGRAFO">
    <w:name w:val="Tit. PARAGRAFO"/>
    <w:basedOn w:val="Normale"/>
    <w:pPr>
      <w:pBdr>
        <w:bottom w:val="single" w:sz="8" w:space="5" w:color="auto"/>
      </w:pBdr>
      <w:spacing w:before="120"/>
      <w:outlineLvl w:val="2"/>
    </w:pPr>
    <w:rPr>
      <w:rFonts w:ascii="Arial" w:hAnsi="Arial"/>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25292">
      <w:bodyDiv w:val="1"/>
      <w:marLeft w:val="0"/>
      <w:marRight w:val="0"/>
      <w:marTop w:val="0"/>
      <w:marBottom w:val="0"/>
      <w:divBdr>
        <w:top w:val="none" w:sz="0" w:space="0" w:color="auto"/>
        <w:left w:val="none" w:sz="0" w:space="0" w:color="auto"/>
        <w:bottom w:val="none" w:sz="0" w:space="0" w:color="auto"/>
        <w:right w:val="none" w:sz="0" w:space="0" w:color="auto"/>
      </w:divBdr>
      <w:divsChild>
        <w:div w:id="1887911113">
          <w:marLeft w:val="0"/>
          <w:marRight w:val="0"/>
          <w:marTop w:val="0"/>
          <w:marBottom w:val="0"/>
          <w:divBdr>
            <w:top w:val="none" w:sz="0" w:space="0" w:color="auto"/>
            <w:left w:val="none" w:sz="0" w:space="0" w:color="auto"/>
            <w:bottom w:val="none" w:sz="0" w:space="0" w:color="auto"/>
            <w:right w:val="none" w:sz="0" w:space="0" w:color="auto"/>
          </w:divBdr>
          <w:divsChild>
            <w:div w:id="998192128">
              <w:marLeft w:val="0"/>
              <w:marRight w:val="0"/>
              <w:marTop w:val="0"/>
              <w:marBottom w:val="0"/>
              <w:divBdr>
                <w:top w:val="none" w:sz="0" w:space="0" w:color="auto"/>
                <w:left w:val="none" w:sz="0" w:space="0" w:color="auto"/>
                <w:bottom w:val="none" w:sz="0" w:space="0" w:color="auto"/>
                <w:right w:val="none" w:sz="0" w:space="0" w:color="auto"/>
              </w:divBdr>
              <w:divsChild>
                <w:div w:id="560024906">
                  <w:marLeft w:val="0"/>
                  <w:marRight w:val="0"/>
                  <w:marTop w:val="0"/>
                  <w:marBottom w:val="0"/>
                  <w:divBdr>
                    <w:top w:val="none" w:sz="0" w:space="0" w:color="auto"/>
                    <w:left w:val="none" w:sz="0" w:space="0" w:color="auto"/>
                    <w:bottom w:val="none" w:sz="0" w:space="0" w:color="auto"/>
                    <w:right w:val="none" w:sz="0" w:space="0" w:color="auto"/>
                  </w:divBdr>
                  <w:divsChild>
                    <w:div w:id="643313024">
                      <w:marLeft w:val="150"/>
                      <w:marRight w:val="150"/>
                      <w:marTop w:val="120"/>
                      <w:marBottom w:val="0"/>
                      <w:divBdr>
                        <w:top w:val="none" w:sz="0" w:space="0" w:color="auto"/>
                        <w:left w:val="none" w:sz="0" w:space="0" w:color="auto"/>
                        <w:bottom w:val="none" w:sz="0" w:space="0" w:color="auto"/>
                        <w:right w:val="none" w:sz="0" w:space="0" w:color="auto"/>
                      </w:divBdr>
                      <w:divsChild>
                        <w:div w:id="702828083">
                          <w:marLeft w:val="0"/>
                          <w:marRight w:val="0"/>
                          <w:marTop w:val="0"/>
                          <w:marBottom w:val="0"/>
                          <w:divBdr>
                            <w:top w:val="none" w:sz="0" w:space="0" w:color="auto"/>
                            <w:left w:val="none" w:sz="0" w:space="0" w:color="auto"/>
                            <w:bottom w:val="none" w:sz="0" w:space="0" w:color="auto"/>
                            <w:right w:val="single" w:sz="6" w:space="8" w:color="DDDDDD"/>
                          </w:divBdr>
                          <w:divsChild>
                            <w:div w:id="1828789027">
                              <w:marLeft w:val="0"/>
                              <w:marRight w:val="0"/>
                              <w:marTop w:val="0"/>
                              <w:marBottom w:val="0"/>
                              <w:divBdr>
                                <w:top w:val="none" w:sz="0" w:space="0" w:color="auto"/>
                                <w:left w:val="none" w:sz="0" w:space="0" w:color="auto"/>
                                <w:bottom w:val="none" w:sz="0" w:space="0" w:color="auto"/>
                                <w:right w:val="none" w:sz="0" w:space="0" w:color="auto"/>
                              </w:divBdr>
                              <w:divsChild>
                                <w:div w:id="677121778">
                                  <w:marLeft w:val="0"/>
                                  <w:marRight w:val="0"/>
                                  <w:marTop w:val="0"/>
                                  <w:marBottom w:val="0"/>
                                  <w:divBdr>
                                    <w:top w:val="none" w:sz="0" w:space="0" w:color="auto"/>
                                    <w:left w:val="none" w:sz="0" w:space="0" w:color="auto"/>
                                    <w:bottom w:val="none" w:sz="0" w:space="0" w:color="auto"/>
                                    <w:right w:val="none" w:sz="0" w:space="0" w:color="auto"/>
                                  </w:divBdr>
                                  <w:divsChild>
                                    <w:div w:id="1627733351">
                                      <w:marLeft w:val="0"/>
                                      <w:marRight w:val="0"/>
                                      <w:marTop w:val="0"/>
                                      <w:marBottom w:val="0"/>
                                      <w:divBdr>
                                        <w:top w:val="none" w:sz="0" w:space="0" w:color="auto"/>
                                        <w:left w:val="none" w:sz="0" w:space="0" w:color="auto"/>
                                        <w:bottom w:val="none" w:sz="0" w:space="0" w:color="auto"/>
                                        <w:right w:val="none" w:sz="0" w:space="0" w:color="auto"/>
                                      </w:divBdr>
                                      <w:divsChild>
                                        <w:div w:id="127771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152628">
      <w:bodyDiv w:val="1"/>
      <w:marLeft w:val="0"/>
      <w:marRight w:val="0"/>
      <w:marTop w:val="0"/>
      <w:marBottom w:val="0"/>
      <w:divBdr>
        <w:top w:val="none" w:sz="0" w:space="0" w:color="auto"/>
        <w:left w:val="none" w:sz="0" w:space="0" w:color="auto"/>
        <w:bottom w:val="none" w:sz="0" w:space="0" w:color="auto"/>
        <w:right w:val="none" w:sz="0" w:space="0" w:color="auto"/>
      </w:divBdr>
    </w:div>
    <w:div w:id="61951878">
      <w:bodyDiv w:val="1"/>
      <w:marLeft w:val="0"/>
      <w:marRight w:val="0"/>
      <w:marTop w:val="0"/>
      <w:marBottom w:val="0"/>
      <w:divBdr>
        <w:top w:val="none" w:sz="0" w:space="0" w:color="auto"/>
        <w:left w:val="none" w:sz="0" w:space="0" w:color="auto"/>
        <w:bottom w:val="none" w:sz="0" w:space="0" w:color="auto"/>
        <w:right w:val="none" w:sz="0" w:space="0" w:color="auto"/>
      </w:divBdr>
    </w:div>
    <w:div w:id="192882101">
      <w:bodyDiv w:val="1"/>
      <w:marLeft w:val="0"/>
      <w:marRight w:val="0"/>
      <w:marTop w:val="0"/>
      <w:marBottom w:val="0"/>
      <w:divBdr>
        <w:top w:val="none" w:sz="0" w:space="0" w:color="auto"/>
        <w:left w:val="none" w:sz="0" w:space="0" w:color="auto"/>
        <w:bottom w:val="none" w:sz="0" w:space="0" w:color="auto"/>
        <w:right w:val="none" w:sz="0" w:space="0" w:color="auto"/>
      </w:divBdr>
    </w:div>
    <w:div w:id="332991996">
      <w:bodyDiv w:val="1"/>
      <w:marLeft w:val="0"/>
      <w:marRight w:val="0"/>
      <w:marTop w:val="0"/>
      <w:marBottom w:val="0"/>
      <w:divBdr>
        <w:top w:val="none" w:sz="0" w:space="0" w:color="auto"/>
        <w:left w:val="none" w:sz="0" w:space="0" w:color="auto"/>
        <w:bottom w:val="none" w:sz="0" w:space="0" w:color="auto"/>
        <w:right w:val="none" w:sz="0" w:space="0" w:color="auto"/>
      </w:divBdr>
      <w:divsChild>
        <w:div w:id="114060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671739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343284787">
      <w:bodyDiv w:val="1"/>
      <w:marLeft w:val="0"/>
      <w:marRight w:val="0"/>
      <w:marTop w:val="0"/>
      <w:marBottom w:val="0"/>
      <w:divBdr>
        <w:top w:val="none" w:sz="0" w:space="0" w:color="auto"/>
        <w:left w:val="none" w:sz="0" w:space="0" w:color="auto"/>
        <w:bottom w:val="none" w:sz="0" w:space="0" w:color="auto"/>
        <w:right w:val="none" w:sz="0" w:space="0" w:color="auto"/>
      </w:divBdr>
      <w:divsChild>
        <w:div w:id="671222115">
          <w:marLeft w:val="0"/>
          <w:marRight w:val="0"/>
          <w:marTop w:val="0"/>
          <w:marBottom w:val="0"/>
          <w:divBdr>
            <w:top w:val="none" w:sz="0" w:space="0" w:color="auto"/>
            <w:left w:val="none" w:sz="0" w:space="0" w:color="auto"/>
            <w:bottom w:val="none" w:sz="0" w:space="0" w:color="auto"/>
            <w:right w:val="none" w:sz="0" w:space="0" w:color="auto"/>
          </w:divBdr>
          <w:divsChild>
            <w:div w:id="2141990863">
              <w:marLeft w:val="0"/>
              <w:marRight w:val="0"/>
              <w:marTop w:val="0"/>
              <w:marBottom w:val="0"/>
              <w:divBdr>
                <w:top w:val="none" w:sz="0" w:space="0" w:color="auto"/>
                <w:left w:val="none" w:sz="0" w:space="0" w:color="auto"/>
                <w:bottom w:val="none" w:sz="0" w:space="0" w:color="auto"/>
                <w:right w:val="none" w:sz="0" w:space="0" w:color="auto"/>
              </w:divBdr>
              <w:divsChild>
                <w:div w:id="571817721">
                  <w:marLeft w:val="0"/>
                  <w:marRight w:val="0"/>
                  <w:marTop w:val="0"/>
                  <w:marBottom w:val="0"/>
                  <w:divBdr>
                    <w:top w:val="none" w:sz="0" w:space="0" w:color="auto"/>
                    <w:left w:val="none" w:sz="0" w:space="0" w:color="auto"/>
                    <w:bottom w:val="none" w:sz="0" w:space="0" w:color="auto"/>
                    <w:right w:val="none" w:sz="0" w:space="0" w:color="auto"/>
                  </w:divBdr>
                  <w:divsChild>
                    <w:div w:id="1829981437">
                      <w:marLeft w:val="150"/>
                      <w:marRight w:val="150"/>
                      <w:marTop w:val="120"/>
                      <w:marBottom w:val="0"/>
                      <w:divBdr>
                        <w:top w:val="none" w:sz="0" w:space="0" w:color="auto"/>
                        <w:left w:val="none" w:sz="0" w:space="0" w:color="auto"/>
                        <w:bottom w:val="none" w:sz="0" w:space="0" w:color="auto"/>
                        <w:right w:val="none" w:sz="0" w:space="0" w:color="auto"/>
                      </w:divBdr>
                      <w:divsChild>
                        <w:div w:id="1751537669">
                          <w:marLeft w:val="0"/>
                          <w:marRight w:val="0"/>
                          <w:marTop w:val="0"/>
                          <w:marBottom w:val="0"/>
                          <w:divBdr>
                            <w:top w:val="none" w:sz="0" w:space="0" w:color="auto"/>
                            <w:left w:val="none" w:sz="0" w:space="0" w:color="auto"/>
                            <w:bottom w:val="none" w:sz="0" w:space="0" w:color="auto"/>
                            <w:right w:val="single" w:sz="6" w:space="8" w:color="DDDDDD"/>
                          </w:divBdr>
                          <w:divsChild>
                            <w:div w:id="1137336970">
                              <w:marLeft w:val="0"/>
                              <w:marRight w:val="0"/>
                              <w:marTop w:val="0"/>
                              <w:marBottom w:val="90"/>
                              <w:divBdr>
                                <w:top w:val="single" w:sz="6" w:space="5" w:color="D7D7D7"/>
                                <w:left w:val="single" w:sz="6" w:space="5" w:color="D7D7D7"/>
                                <w:bottom w:val="single" w:sz="6" w:space="5" w:color="D7D7D7"/>
                                <w:right w:val="single" w:sz="6" w:space="5" w:color="D7D7D7"/>
                              </w:divBdr>
                              <w:divsChild>
                                <w:div w:id="1255557263">
                                  <w:marLeft w:val="0"/>
                                  <w:marRight w:val="0"/>
                                  <w:marTop w:val="0"/>
                                  <w:marBottom w:val="0"/>
                                  <w:divBdr>
                                    <w:top w:val="none" w:sz="0" w:space="0" w:color="auto"/>
                                    <w:left w:val="none" w:sz="0" w:space="0" w:color="auto"/>
                                    <w:bottom w:val="none" w:sz="0" w:space="0" w:color="auto"/>
                                    <w:right w:val="none" w:sz="0" w:space="0" w:color="auto"/>
                                  </w:divBdr>
                                  <w:divsChild>
                                    <w:div w:id="162839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4357494">
      <w:bodyDiv w:val="1"/>
      <w:marLeft w:val="0"/>
      <w:marRight w:val="0"/>
      <w:marTop w:val="0"/>
      <w:marBottom w:val="0"/>
      <w:divBdr>
        <w:top w:val="none" w:sz="0" w:space="0" w:color="auto"/>
        <w:left w:val="none" w:sz="0" w:space="0" w:color="auto"/>
        <w:bottom w:val="none" w:sz="0" w:space="0" w:color="auto"/>
        <w:right w:val="none" w:sz="0" w:space="0" w:color="auto"/>
      </w:divBdr>
    </w:div>
    <w:div w:id="370032690">
      <w:bodyDiv w:val="1"/>
      <w:marLeft w:val="0"/>
      <w:marRight w:val="0"/>
      <w:marTop w:val="0"/>
      <w:marBottom w:val="0"/>
      <w:divBdr>
        <w:top w:val="none" w:sz="0" w:space="0" w:color="auto"/>
        <w:left w:val="none" w:sz="0" w:space="0" w:color="auto"/>
        <w:bottom w:val="none" w:sz="0" w:space="0" w:color="auto"/>
        <w:right w:val="none" w:sz="0" w:space="0" w:color="auto"/>
      </w:divBdr>
      <w:divsChild>
        <w:div w:id="1745299062">
          <w:marLeft w:val="0"/>
          <w:marRight w:val="0"/>
          <w:marTop w:val="0"/>
          <w:marBottom w:val="0"/>
          <w:divBdr>
            <w:top w:val="none" w:sz="0" w:space="0" w:color="auto"/>
            <w:left w:val="none" w:sz="0" w:space="0" w:color="auto"/>
            <w:bottom w:val="none" w:sz="0" w:space="0" w:color="auto"/>
            <w:right w:val="none" w:sz="0" w:space="0" w:color="auto"/>
          </w:divBdr>
          <w:divsChild>
            <w:div w:id="1547983991">
              <w:marLeft w:val="0"/>
              <w:marRight w:val="0"/>
              <w:marTop w:val="0"/>
              <w:marBottom w:val="0"/>
              <w:divBdr>
                <w:top w:val="none" w:sz="0" w:space="0" w:color="auto"/>
                <w:left w:val="none" w:sz="0" w:space="0" w:color="auto"/>
                <w:bottom w:val="none" w:sz="0" w:space="0" w:color="auto"/>
                <w:right w:val="none" w:sz="0" w:space="0" w:color="auto"/>
              </w:divBdr>
              <w:divsChild>
                <w:div w:id="1098871001">
                  <w:marLeft w:val="0"/>
                  <w:marRight w:val="0"/>
                  <w:marTop w:val="0"/>
                  <w:marBottom w:val="0"/>
                  <w:divBdr>
                    <w:top w:val="none" w:sz="0" w:space="0" w:color="auto"/>
                    <w:left w:val="none" w:sz="0" w:space="0" w:color="auto"/>
                    <w:bottom w:val="none" w:sz="0" w:space="0" w:color="auto"/>
                    <w:right w:val="none" w:sz="0" w:space="0" w:color="auto"/>
                  </w:divBdr>
                  <w:divsChild>
                    <w:div w:id="356346269">
                      <w:marLeft w:val="150"/>
                      <w:marRight w:val="150"/>
                      <w:marTop w:val="120"/>
                      <w:marBottom w:val="0"/>
                      <w:divBdr>
                        <w:top w:val="none" w:sz="0" w:space="0" w:color="auto"/>
                        <w:left w:val="none" w:sz="0" w:space="0" w:color="auto"/>
                        <w:bottom w:val="none" w:sz="0" w:space="0" w:color="auto"/>
                        <w:right w:val="none" w:sz="0" w:space="0" w:color="auto"/>
                      </w:divBdr>
                      <w:divsChild>
                        <w:div w:id="1157575527">
                          <w:marLeft w:val="0"/>
                          <w:marRight w:val="0"/>
                          <w:marTop w:val="0"/>
                          <w:marBottom w:val="0"/>
                          <w:divBdr>
                            <w:top w:val="none" w:sz="0" w:space="0" w:color="auto"/>
                            <w:left w:val="none" w:sz="0" w:space="0" w:color="auto"/>
                            <w:bottom w:val="none" w:sz="0" w:space="0" w:color="auto"/>
                            <w:right w:val="single" w:sz="6" w:space="8" w:color="DDDDDD"/>
                          </w:divBdr>
                          <w:divsChild>
                            <w:div w:id="1897088383">
                              <w:marLeft w:val="0"/>
                              <w:marRight w:val="0"/>
                              <w:marTop w:val="0"/>
                              <w:marBottom w:val="0"/>
                              <w:divBdr>
                                <w:top w:val="none" w:sz="0" w:space="0" w:color="auto"/>
                                <w:left w:val="none" w:sz="0" w:space="0" w:color="auto"/>
                                <w:bottom w:val="none" w:sz="0" w:space="0" w:color="auto"/>
                                <w:right w:val="none" w:sz="0" w:space="0" w:color="auto"/>
                              </w:divBdr>
                              <w:divsChild>
                                <w:div w:id="2032410379">
                                  <w:marLeft w:val="0"/>
                                  <w:marRight w:val="0"/>
                                  <w:marTop w:val="0"/>
                                  <w:marBottom w:val="0"/>
                                  <w:divBdr>
                                    <w:top w:val="none" w:sz="0" w:space="0" w:color="auto"/>
                                    <w:left w:val="none" w:sz="0" w:space="0" w:color="auto"/>
                                    <w:bottom w:val="none" w:sz="0" w:space="0" w:color="auto"/>
                                    <w:right w:val="none" w:sz="0" w:space="0" w:color="auto"/>
                                  </w:divBdr>
                                  <w:divsChild>
                                    <w:div w:id="1780103655">
                                      <w:marLeft w:val="0"/>
                                      <w:marRight w:val="0"/>
                                      <w:marTop w:val="0"/>
                                      <w:marBottom w:val="0"/>
                                      <w:divBdr>
                                        <w:top w:val="none" w:sz="0" w:space="0" w:color="auto"/>
                                        <w:left w:val="none" w:sz="0" w:space="0" w:color="auto"/>
                                        <w:bottom w:val="none" w:sz="0" w:space="0" w:color="auto"/>
                                        <w:right w:val="none" w:sz="0" w:space="0" w:color="auto"/>
                                      </w:divBdr>
                                      <w:divsChild>
                                        <w:div w:id="158521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095707">
      <w:bodyDiv w:val="1"/>
      <w:marLeft w:val="0"/>
      <w:marRight w:val="0"/>
      <w:marTop w:val="0"/>
      <w:marBottom w:val="0"/>
      <w:divBdr>
        <w:top w:val="none" w:sz="0" w:space="0" w:color="auto"/>
        <w:left w:val="none" w:sz="0" w:space="0" w:color="auto"/>
        <w:bottom w:val="none" w:sz="0" w:space="0" w:color="auto"/>
        <w:right w:val="none" w:sz="0" w:space="0" w:color="auto"/>
      </w:divBdr>
    </w:div>
    <w:div w:id="490633781">
      <w:bodyDiv w:val="1"/>
      <w:marLeft w:val="0"/>
      <w:marRight w:val="0"/>
      <w:marTop w:val="0"/>
      <w:marBottom w:val="0"/>
      <w:divBdr>
        <w:top w:val="none" w:sz="0" w:space="0" w:color="auto"/>
        <w:left w:val="none" w:sz="0" w:space="0" w:color="auto"/>
        <w:bottom w:val="none" w:sz="0" w:space="0" w:color="auto"/>
        <w:right w:val="none" w:sz="0" w:space="0" w:color="auto"/>
      </w:divBdr>
    </w:div>
    <w:div w:id="491066332">
      <w:bodyDiv w:val="1"/>
      <w:marLeft w:val="0"/>
      <w:marRight w:val="0"/>
      <w:marTop w:val="0"/>
      <w:marBottom w:val="0"/>
      <w:divBdr>
        <w:top w:val="none" w:sz="0" w:space="0" w:color="auto"/>
        <w:left w:val="none" w:sz="0" w:space="0" w:color="auto"/>
        <w:bottom w:val="none" w:sz="0" w:space="0" w:color="auto"/>
        <w:right w:val="none" w:sz="0" w:space="0" w:color="auto"/>
      </w:divBdr>
    </w:div>
    <w:div w:id="494882600">
      <w:bodyDiv w:val="1"/>
      <w:marLeft w:val="0"/>
      <w:marRight w:val="0"/>
      <w:marTop w:val="0"/>
      <w:marBottom w:val="0"/>
      <w:divBdr>
        <w:top w:val="none" w:sz="0" w:space="0" w:color="auto"/>
        <w:left w:val="none" w:sz="0" w:space="0" w:color="auto"/>
        <w:bottom w:val="none" w:sz="0" w:space="0" w:color="auto"/>
        <w:right w:val="none" w:sz="0" w:space="0" w:color="auto"/>
      </w:divBdr>
    </w:div>
    <w:div w:id="505025945">
      <w:bodyDiv w:val="1"/>
      <w:marLeft w:val="0"/>
      <w:marRight w:val="0"/>
      <w:marTop w:val="0"/>
      <w:marBottom w:val="0"/>
      <w:divBdr>
        <w:top w:val="none" w:sz="0" w:space="0" w:color="auto"/>
        <w:left w:val="none" w:sz="0" w:space="0" w:color="auto"/>
        <w:bottom w:val="none" w:sz="0" w:space="0" w:color="auto"/>
        <w:right w:val="none" w:sz="0" w:space="0" w:color="auto"/>
      </w:divBdr>
    </w:div>
    <w:div w:id="531961644">
      <w:bodyDiv w:val="1"/>
      <w:marLeft w:val="0"/>
      <w:marRight w:val="0"/>
      <w:marTop w:val="0"/>
      <w:marBottom w:val="0"/>
      <w:divBdr>
        <w:top w:val="none" w:sz="0" w:space="0" w:color="auto"/>
        <w:left w:val="none" w:sz="0" w:space="0" w:color="auto"/>
        <w:bottom w:val="none" w:sz="0" w:space="0" w:color="auto"/>
        <w:right w:val="none" w:sz="0" w:space="0" w:color="auto"/>
      </w:divBdr>
    </w:div>
    <w:div w:id="588932809">
      <w:bodyDiv w:val="1"/>
      <w:marLeft w:val="0"/>
      <w:marRight w:val="0"/>
      <w:marTop w:val="0"/>
      <w:marBottom w:val="0"/>
      <w:divBdr>
        <w:top w:val="none" w:sz="0" w:space="0" w:color="auto"/>
        <w:left w:val="none" w:sz="0" w:space="0" w:color="auto"/>
        <w:bottom w:val="none" w:sz="0" w:space="0" w:color="auto"/>
        <w:right w:val="none" w:sz="0" w:space="0" w:color="auto"/>
      </w:divBdr>
    </w:div>
    <w:div w:id="856772791">
      <w:bodyDiv w:val="1"/>
      <w:marLeft w:val="0"/>
      <w:marRight w:val="0"/>
      <w:marTop w:val="0"/>
      <w:marBottom w:val="0"/>
      <w:divBdr>
        <w:top w:val="none" w:sz="0" w:space="0" w:color="auto"/>
        <w:left w:val="none" w:sz="0" w:space="0" w:color="auto"/>
        <w:bottom w:val="none" w:sz="0" w:space="0" w:color="auto"/>
        <w:right w:val="none" w:sz="0" w:space="0" w:color="auto"/>
      </w:divBdr>
    </w:div>
    <w:div w:id="906262063">
      <w:bodyDiv w:val="1"/>
      <w:marLeft w:val="0"/>
      <w:marRight w:val="0"/>
      <w:marTop w:val="0"/>
      <w:marBottom w:val="0"/>
      <w:divBdr>
        <w:top w:val="none" w:sz="0" w:space="0" w:color="auto"/>
        <w:left w:val="none" w:sz="0" w:space="0" w:color="auto"/>
        <w:bottom w:val="none" w:sz="0" w:space="0" w:color="auto"/>
        <w:right w:val="none" w:sz="0" w:space="0" w:color="auto"/>
      </w:divBdr>
    </w:div>
    <w:div w:id="950629428">
      <w:bodyDiv w:val="1"/>
      <w:marLeft w:val="0"/>
      <w:marRight w:val="0"/>
      <w:marTop w:val="0"/>
      <w:marBottom w:val="0"/>
      <w:divBdr>
        <w:top w:val="none" w:sz="0" w:space="0" w:color="auto"/>
        <w:left w:val="none" w:sz="0" w:space="0" w:color="auto"/>
        <w:bottom w:val="none" w:sz="0" w:space="0" w:color="auto"/>
        <w:right w:val="none" w:sz="0" w:space="0" w:color="auto"/>
      </w:divBdr>
      <w:divsChild>
        <w:div w:id="274598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8649161">
              <w:marLeft w:val="284"/>
              <w:marRight w:val="0"/>
              <w:marTop w:val="60"/>
              <w:marBottom w:val="0"/>
              <w:divBdr>
                <w:top w:val="none" w:sz="0" w:space="0" w:color="auto"/>
                <w:left w:val="none" w:sz="0" w:space="0" w:color="auto"/>
                <w:bottom w:val="none" w:sz="0" w:space="0" w:color="auto"/>
                <w:right w:val="none" w:sz="0" w:space="0" w:color="auto"/>
              </w:divBdr>
            </w:div>
          </w:divsChild>
        </w:div>
      </w:divsChild>
    </w:div>
    <w:div w:id="1146437947">
      <w:bodyDiv w:val="1"/>
      <w:marLeft w:val="0"/>
      <w:marRight w:val="0"/>
      <w:marTop w:val="0"/>
      <w:marBottom w:val="0"/>
      <w:divBdr>
        <w:top w:val="none" w:sz="0" w:space="0" w:color="auto"/>
        <w:left w:val="none" w:sz="0" w:space="0" w:color="auto"/>
        <w:bottom w:val="none" w:sz="0" w:space="0" w:color="auto"/>
        <w:right w:val="none" w:sz="0" w:space="0" w:color="auto"/>
      </w:divBdr>
      <w:divsChild>
        <w:div w:id="573667508">
          <w:marLeft w:val="0"/>
          <w:marRight w:val="0"/>
          <w:marTop w:val="0"/>
          <w:marBottom w:val="0"/>
          <w:divBdr>
            <w:top w:val="none" w:sz="0" w:space="0" w:color="auto"/>
            <w:left w:val="none" w:sz="0" w:space="0" w:color="auto"/>
            <w:bottom w:val="none" w:sz="0" w:space="0" w:color="auto"/>
            <w:right w:val="none" w:sz="0" w:space="0" w:color="auto"/>
          </w:divBdr>
          <w:divsChild>
            <w:div w:id="2065255166">
              <w:marLeft w:val="0"/>
              <w:marRight w:val="0"/>
              <w:marTop w:val="0"/>
              <w:marBottom w:val="0"/>
              <w:divBdr>
                <w:top w:val="none" w:sz="0" w:space="0" w:color="auto"/>
                <w:left w:val="none" w:sz="0" w:space="0" w:color="auto"/>
                <w:bottom w:val="none" w:sz="0" w:space="0" w:color="auto"/>
                <w:right w:val="none" w:sz="0" w:space="0" w:color="auto"/>
              </w:divBdr>
              <w:divsChild>
                <w:div w:id="1597246051">
                  <w:marLeft w:val="0"/>
                  <w:marRight w:val="0"/>
                  <w:marTop w:val="0"/>
                  <w:marBottom w:val="0"/>
                  <w:divBdr>
                    <w:top w:val="none" w:sz="0" w:space="0" w:color="auto"/>
                    <w:left w:val="none" w:sz="0" w:space="0" w:color="auto"/>
                    <w:bottom w:val="none" w:sz="0" w:space="0" w:color="auto"/>
                    <w:right w:val="none" w:sz="0" w:space="0" w:color="auto"/>
                  </w:divBdr>
                  <w:divsChild>
                    <w:div w:id="77406696">
                      <w:marLeft w:val="150"/>
                      <w:marRight w:val="150"/>
                      <w:marTop w:val="120"/>
                      <w:marBottom w:val="0"/>
                      <w:divBdr>
                        <w:top w:val="none" w:sz="0" w:space="0" w:color="auto"/>
                        <w:left w:val="none" w:sz="0" w:space="0" w:color="auto"/>
                        <w:bottom w:val="none" w:sz="0" w:space="0" w:color="auto"/>
                        <w:right w:val="none" w:sz="0" w:space="0" w:color="auto"/>
                      </w:divBdr>
                      <w:divsChild>
                        <w:div w:id="1634746953">
                          <w:marLeft w:val="0"/>
                          <w:marRight w:val="0"/>
                          <w:marTop w:val="0"/>
                          <w:marBottom w:val="0"/>
                          <w:divBdr>
                            <w:top w:val="none" w:sz="0" w:space="0" w:color="auto"/>
                            <w:left w:val="none" w:sz="0" w:space="0" w:color="auto"/>
                            <w:bottom w:val="none" w:sz="0" w:space="0" w:color="auto"/>
                            <w:right w:val="single" w:sz="6" w:space="8" w:color="DDDDDD"/>
                          </w:divBdr>
                          <w:divsChild>
                            <w:div w:id="244657608">
                              <w:marLeft w:val="0"/>
                              <w:marRight w:val="0"/>
                              <w:marTop w:val="0"/>
                              <w:marBottom w:val="90"/>
                              <w:divBdr>
                                <w:top w:val="single" w:sz="6" w:space="5" w:color="D7D7D7"/>
                                <w:left w:val="single" w:sz="6" w:space="5" w:color="D7D7D7"/>
                                <w:bottom w:val="single" w:sz="6" w:space="5" w:color="D7D7D7"/>
                                <w:right w:val="single" w:sz="6" w:space="5" w:color="D7D7D7"/>
                              </w:divBdr>
                              <w:divsChild>
                                <w:div w:id="1287076918">
                                  <w:marLeft w:val="0"/>
                                  <w:marRight w:val="0"/>
                                  <w:marTop w:val="0"/>
                                  <w:marBottom w:val="0"/>
                                  <w:divBdr>
                                    <w:top w:val="none" w:sz="0" w:space="0" w:color="auto"/>
                                    <w:left w:val="none" w:sz="0" w:space="0" w:color="auto"/>
                                    <w:bottom w:val="none" w:sz="0" w:space="0" w:color="auto"/>
                                    <w:right w:val="none" w:sz="0" w:space="0" w:color="auto"/>
                                  </w:divBdr>
                                  <w:divsChild>
                                    <w:div w:id="14539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060839">
      <w:bodyDiv w:val="1"/>
      <w:marLeft w:val="0"/>
      <w:marRight w:val="0"/>
      <w:marTop w:val="0"/>
      <w:marBottom w:val="0"/>
      <w:divBdr>
        <w:top w:val="none" w:sz="0" w:space="0" w:color="auto"/>
        <w:left w:val="none" w:sz="0" w:space="0" w:color="auto"/>
        <w:bottom w:val="none" w:sz="0" w:space="0" w:color="auto"/>
        <w:right w:val="none" w:sz="0" w:space="0" w:color="auto"/>
      </w:divBdr>
      <w:divsChild>
        <w:div w:id="1048843444">
          <w:marLeft w:val="0"/>
          <w:marRight w:val="0"/>
          <w:marTop w:val="0"/>
          <w:marBottom w:val="0"/>
          <w:divBdr>
            <w:top w:val="none" w:sz="0" w:space="0" w:color="auto"/>
            <w:left w:val="none" w:sz="0" w:space="0" w:color="auto"/>
            <w:bottom w:val="none" w:sz="0" w:space="0" w:color="auto"/>
            <w:right w:val="none" w:sz="0" w:space="0" w:color="auto"/>
          </w:divBdr>
          <w:divsChild>
            <w:div w:id="1198200531">
              <w:marLeft w:val="0"/>
              <w:marRight w:val="0"/>
              <w:marTop w:val="0"/>
              <w:marBottom w:val="0"/>
              <w:divBdr>
                <w:top w:val="none" w:sz="0" w:space="0" w:color="auto"/>
                <w:left w:val="none" w:sz="0" w:space="0" w:color="auto"/>
                <w:bottom w:val="none" w:sz="0" w:space="0" w:color="auto"/>
                <w:right w:val="none" w:sz="0" w:space="0" w:color="auto"/>
              </w:divBdr>
              <w:divsChild>
                <w:div w:id="165898372">
                  <w:marLeft w:val="0"/>
                  <w:marRight w:val="0"/>
                  <w:marTop w:val="0"/>
                  <w:marBottom w:val="0"/>
                  <w:divBdr>
                    <w:top w:val="none" w:sz="0" w:space="0" w:color="auto"/>
                    <w:left w:val="none" w:sz="0" w:space="0" w:color="auto"/>
                    <w:bottom w:val="none" w:sz="0" w:space="0" w:color="auto"/>
                    <w:right w:val="none" w:sz="0" w:space="0" w:color="auto"/>
                  </w:divBdr>
                  <w:divsChild>
                    <w:div w:id="375089003">
                      <w:marLeft w:val="150"/>
                      <w:marRight w:val="150"/>
                      <w:marTop w:val="120"/>
                      <w:marBottom w:val="0"/>
                      <w:divBdr>
                        <w:top w:val="none" w:sz="0" w:space="0" w:color="auto"/>
                        <w:left w:val="none" w:sz="0" w:space="0" w:color="auto"/>
                        <w:bottom w:val="none" w:sz="0" w:space="0" w:color="auto"/>
                        <w:right w:val="none" w:sz="0" w:space="0" w:color="auto"/>
                      </w:divBdr>
                      <w:divsChild>
                        <w:div w:id="1265574334">
                          <w:marLeft w:val="0"/>
                          <w:marRight w:val="0"/>
                          <w:marTop w:val="0"/>
                          <w:marBottom w:val="0"/>
                          <w:divBdr>
                            <w:top w:val="none" w:sz="0" w:space="0" w:color="auto"/>
                            <w:left w:val="none" w:sz="0" w:space="0" w:color="auto"/>
                            <w:bottom w:val="none" w:sz="0" w:space="0" w:color="auto"/>
                            <w:right w:val="single" w:sz="6" w:space="8" w:color="DDDDDD"/>
                          </w:divBdr>
                          <w:divsChild>
                            <w:div w:id="209804777">
                              <w:marLeft w:val="0"/>
                              <w:marRight w:val="0"/>
                              <w:marTop w:val="0"/>
                              <w:marBottom w:val="90"/>
                              <w:divBdr>
                                <w:top w:val="single" w:sz="6" w:space="5" w:color="D7D7D7"/>
                                <w:left w:val="single" w:sz="6" w:space="5" w:color="D7D7D7"/>
                                <w:bottom w:val="single" w:sz="6" w:space="5" w:color="D7D7D7"/>
                                <w:right w:val="single" w:sz="6" w:space="5" w:color="D7D7D7"/>
                              </w:divBdr>
                              <w:divsChild>
                                <w:div w:id="1626157210">
                                  <w:marLeft w:val="0"/>
                                  <w:marRight w:val="0"/>
                                  <w:marTop w:val="0"/>
                                  <w:marBottom w:val="0"/>
                                  <w:divBdr>
                                    <w:top w:val="none" w:sz="0" w:space="0" w:color="auto"/>
                                    <w:left w:val="none" w:sz="0" w:space="0" w:color="auto"/>
                                    <w:bottom w:val="none" w:sz="0" w:space="0" w:color="auto"/>
                                    <w:right w:val="none" w:sz="0" w:space="0" w:color="auto"/>
                                  </w:divBdr>
                                  <w:divsChild>
                                    <w:div w:id="4771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480017">
      <w:bodyDiv w:val="1"/>
      <w:marLeft w:val="0"/>
      <w:marRight w:val="0"/>
      <w:marTop w:val="0"/>
      <w:marBottom w:val="0"/>
      <w:divBdr>
        <w:top w:val="none" w:sz="0" w:space="0" w:color="auto"/>
        <w:left w:val="none" w:sz="0" w:space="0" w:color="auto"/>
        <w:bottom w:val="none" w:sz="0" w:space="0" w:color="auto"/>
        <w:right w:val="none" w:sz="0" w:space="0" w:color="auto"/>
      </w:divBdr>
    </w:div>
    <w:div w:id="1401176200">
      <w:bodyDiv w:val="1"/>
      <w:marLeft w:val="0"/>
      <w:marRight w:val="0"/>
      <w:marTop w:val="0"/>
      <w:marBottom w:val="0"/>
      <w:divBdr>
        <w:top w:val="none" w:sz="0" w:space="0" w:color="auto"/>
        <w:left w:val="none" w:sz="0" w:space="0" w:color="auto"/>
        <w:bottom w:val="none" w:sz="0" w:space="0" w:color="auto"/>
        <w:right w:val="none" w:sz="0" w:space="0" w:color="auto"/>
      </w:divBdr>
      <w:divsChild>
        <w:div w:id="605431396">
          <w:marLeft w:val="0"/>
          <w:marRight w:val="0"/>
          <w:marTop w:val="0"/>
          <w:marBottom w:val="0"/>
          <w:divBdr>
            <w:top w:val="none" w:sz="0" w:space="0" w:color="auto"/>
            <w:left w:val="none" w:sz="0" w:space="0" w:color="auto"/>
            <w:bottom w:val="none" w:sz="0" w:space="0" w:color="auto"/>
            <w:right w:val="none" w:sz="0" w:space="0" w:color="auto"/>
          </w:divBdr>
        </w:div>
      </w:divsChild>
    </w:div>
    <w:div w:id="1477407660">
      <w:bodyDiv w:val="1"/>
      <w:marLeft w:val="0"/>
      <w:marRight w:val="0"/>
      <w:marTop w:val="0"/>
      <w:marBottom w:val="0"/>
      <w:divBdr>
        <w:top w:val="none" w:sz="0" w:space="0" w:color="auto"/>
        <w:left w:val="none" w:sz="0" w:space="0" w:color="auto"/>
        <w:bottom w:val="none" w:sz="0" w:space="0" w:color="auto"/>
        <w:right w:val="none" w:sz="0" w:space="0" w:color="auto"/>
      </w:divBdr>
    </w:div>
    <w:div w:id="1553424732">
      <w:bodyDiv w:val="1"/>
      <w:marLeft w:val="0"/>
      <w:marRight w:val="0"/>
      <w:marTop w:val="0"/>
      <w:marBottom w:val="0"/>
      <w:divBdr>
        <w:top w:val="none" w:sz="0" w:space="0" w:color="auto"/>
        <w:left w:val="none" w:sz="0" w:space="0" w:color="auto"/>
        <w:bottom w:val="none" w:sz="0" w:space="0" w:color="auto"/>
        <w:right w:val="none" w:sz="0" w:space="0" w:color="auto"/>
      </w:divBdr>
      <w:divsChild>
        <w:div w:id="22145277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4892944">
              <w:marLeft w:val="0"/>
              <w:marRight w:val="0"/>
              <w:marTop w:val="0"/>
              <w:marBottom w:val="0"/>
              <w:divBdr>
                <w:top w:val="none" w:sz="0" w:space="0" w:color="auto"/>
                <w:left w:val="none" w:sz="0" w:space="0" w:color="auto"/>
                <w:bottom w:val="none" w:sz="0" w:space="0" w:color="auto"/>
                <w:right w:val="none" w:sz="0" w:space="0" w:color="auto"/>
              </w:divBdr>
            </w:div>
            <w:div w:id="252396170">
              <w:marLeft w:val="0"/>
              <w:marRight w:val="0"/>
              <w:marTop w:val="0"/>
              <w:marBottom w:val="0"/>
              <w:divBdr>
                <w:top w:val="none" w:sz="0" w:space="0" w:color="auto"/>
                <w:left w:val="none" w:sz="0" w:space="0" w:color="auto"/>
                <w:bottom w:val="none" w:sz="0" w:space="0" w:color="auto"/>
                <w:right w:val="none" w:sz="0" w:space="0" w:color="auto"/>
              </w:divBdr>
            </w:div>
            <w:div w:id="673725923">
              <w:marLeft w:val="0"/>
              <w:marRight w:val="0"/>
              <w:marTop w:val="0"/>
              <w:marBottom w:val="0"/>
              <w:divBdr>
                <w:top w:val="none" w:sz="0" w:space="0" w:color="auto"/>
                <w:left w:val="none" w:sz="0" w:space="0" w:color="auto"/>
                <w:bottom w:val="none" w:sz="0" w:space="0" w:color="auto"/>
                <w:right w:val="none" w:sz="0" w:space="0" w:color="auto"/>
              </w:divBdr>
            </w:div>
            <w:div w:id="728766397">
              <w:marLeft w:val="0"/>
              <w:marRight w:val="0"/>
              <w:marTop w:val="0"/>
              <w:marBottom w:val="0"/>
              <w:divBdr>
                <w:top w:val="none" w:sz="0" w:space="0" w:color="auto"/>
                <w:left w:val="none" w:sz="0" w:space="0" w:color="auto"/>
                <w:bottom w:val="none" w:sz="0" w:space="0" w:color="auto"/>
                <w:right w:val="none" w:sz="0" w:space="0" w:color="auto"/>
              </w:divBdr>
            </w:div>
            <w:div w:id="837305700">
              <w:marLeft w:val="0"/>
              <w:marRight w:val="0"/>
              <w:marTop w:val="0"/>
              <w:marBottom w:val="0"/>
              <w:divBdr>
                <w:top w:val="none" w:sz="0" w:space="0" w:color="auto"/>
                <w:left w:val="none" w:sz="0" w:space="0" w:color="auto"/>
                <w:bottom w:val="none" w:sz="0" w:space="0" w:color="auto"/>
                <w:right w:val="none" w:sz="0" w:space="0" w:color="auto"/>
              </w:divBdr>
            </w:div>
            <w:div w:id="1328362234">
              <w:marLeft w:val="0"/>
              <w:marRight w:val="0"/>
              <w:marTop w:val="0"/>
              <w:marBottom w:val="0"/>
              <w:divBdr>
                <w:top w:val="none" w:sz="0" w:space="0" w:color="auto"/>
                <w:left w:val="none" w:sz="0" w:space="0" w:color="auto"/>
                <w:bottom w:val="none" w:sz="0" w:space="0" w:color="auto"/>
                <w:right w:val="none" w:sz="0" w:space="0" w:color="auto"/>
              </w:divBdr>
            </w:div>
            <w:div w:id="1335916339">
              <w:marLeft w:val="0"/>
              <w:marRight w:val="0"/>
              <w:marTop w:val="0"/>
              <w:marBottom w:val="0"/>
              <w:divBdr>
                <w:top w:val="none" w:sz="0" w:space="0" w:color="auto"/>
                <w:left w:val="none" w:sz="0" w:space="0" w:color="auto"/>
                <w:bottom w:val="none" w:sz="0" w:space="0" w:color="auto"/>
                <w:right w:val="none" w:sz="0" w:space="0" w:color="auto"/>
              </w:divBdr>
            </w:div>
            <w:div w:id="135888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4188">
      <w:bodyDiv w:val="1"/>
      <w:marLeft w:val="0"/>
      <w:marRight w:val="0"/>
      <w:marTop w:val="0"/>
      <w:marBottom w:val="0"/>
      <w:divBdr>
        <w:top w:val="none" w:sz="0" w:space="0" w:color="auto"/>
        <w:left w:val="none" w:sz="0" w:space="0" w:color="auto"/>
        <w:bottom w:val="none" w:sz="0" w:space="0" w:color="auto"/>
        <w:right w:val="none" w:sz="0" w:space="0" w:color="auto"/>
      </w:divBdr>
    </w:div>
    <w:div w:id="1756052993">
      <w:bodyDiv w:val="1"/>
      <w:marLeft w:val="0"/>
      <w:marRight w:val="0"/>
      <w:marTop w:val="0"/>
      <w:marBottom w:val="0"/>
      <w:divBdr>
        <w:top w:val="none" w:sz="0" w:space="0" w:color="auto"/>
        <w:left w:val="none" w:sz="0" w:space="0" w:color="auto"/>
        <w:bottom w:val="none" w:sz="0" w:space="0" w:color="auto"/>
        <w:right w:val="none" w:sz="0" w:space="0" w:color="auto"/>
      </w:divBdr>
    </w:div>
    <w:div w:id="2056005071">
      <w:bodyDiv w:val="1"/>
      <w:marLeft w:val="0"/>
      <w:marRight w:val="0"/>
      <w:marTop w:val="0"/>
      <w:marBottom w:val="0"/>
      <w:divBdr>
        <w:top w:val="none" w:sz="0" w:space="0" w:color="auto"/>
        <w:left w:val="none" w:sz="0" w:space="0" w:color="auto"/>
        <w:bottom w:val="none" w:sz="0" w:space="0" w:color="auto"/>
        <w:right w:val="none" w:sz="0" w:space="0" w:color="auto"/>
      </w:divBdr>
      <w:divsChild>
        <w:div w:id="45033568">
          <w:marLeft w:val="0"/>
          <w:marRight w:val="0"/>
          <w:marTop w:val="0"/>
          <w:marBottom w:val="0"/>
          <w:divBdr>
            <w:top w:val="none" w:sz="0" w:space="0" w:color="auto"/>
            <w:left w:val="none" w:sz="0" w:space="0" w:color="auto"/>
            <w:bottom w:val="none" w:sz="0" w:space="0" w:color="auto"/>
            <w:right w:val="none" w:sz="0" w:space="0" w:color="auto"/>
          </w:divBdr>
          <w:divsChild>
            <w:div w:id="1721397766">
              <w:marLeft w:val="0"/>
              <w:marRight w:val="0"/>
              <w:marTop w:val="0"/>
              <w:marBottom w:val="0"/>
              <w:divBdr>
                <w:top w:val="none" w:sz="0" w:space="0" w:color="auto"/>
                <w:left w:val="none" w:sz="0" w:space="0" w:color="auto"/>
                <w:bottom w:val="none" w:sz="0" w:space="0" w:color="auto"/>
                <w:right w:val="none" w:sz="0" w:space="0" w:color="auto"/>
              </w:divBdr>
              <w:divsChild>
                <w:div w:id="1139958029">
                  <w:marLeft w:val="0"/>
                  <w:marRight w:val="0"/>
                  <w:marTop w:val="0"/>
                  <w:marBottom w:val="0"/>
                  <w:divBdr>
                    <w:top w:val="none" w:sz="0" w:space="0" w:color="auto"/>
                    <w:left w:val="none" w:sz="0" w:space="0" w:color="auto"/>
                    <w:bottom w:val="none" w:sz="0" w:space="0" w:color="auto"/>
                    <w:right w:val="none" w:sz="0" w:space="0" w:color="auto"/>
                  </w:divBdr>
                  <w:divsChild>
                    <w:div w:id="566303501">
                      <w:marLeft w:val="150"/>
                      <w:marRight w:val="150"/>
                      <w:marTop w:val="120"/>
                      <w:marBottom w:val="0"/>
                      <w:divBdr>
                        <w:top w:val="none" w:sz="0" w:space="0" w:color="auto"/>
                        <w:left w:val="none" w:sz="0" w:space="0" w:color="auto"/>
                        <w:bottom w:val="none" w:sz="0" w:space="0" w:color="auto"/>
                        <w:right w:val="none" w:sz="0" w:space="0" w:color="auto"/>
                      </w:divBdr>
                      <w:divsChild>
                        <w:div w:id="1214734554">
                          <w:marLeft w:val="0"/>
                          <w:marRight w:val="0"/>
                          <w:marTop w:val="0"/>
                          <w:marBottom w:val="0"/>
                          <w:divBdr>
                            <w:top w:val="none" w:sz="0" w:space="0" w:color="auto"/>
                            <w:left w:val="none" w:sz="0" w:space="0" w:color="auto"/>
                            <w:bottom w:val="none" w:sz="0" w:space="0" w:color="auto"/>
                            <w:right w:val="single" w:sz="6" w:space="8" w:color="DDDDDD"/>
                          </w:divBdr>
                          <w:divsChild>
                            <w:div w:id="877398489">
                              <w:marLeft w:val="0"/>
                              <w:marRight w:val="0"/>
                              <w:marTop w:val="0"/>
                              <w:marBottom w:val="0"/>
                              <w:divBdr>
                                <w:top w:val="none" w:sz="0" w:space="0" w:color="auto"/>
                                <w:left w:val="none" w:sz="0" w:space="0" w:color="auto"/>
                                <w:bottom w:val="none" w:sz="0" w:space="0" w:color="auto"/>
                                <w:right w:val="none" w:sz="0" w:space="0" w:color="auto"/>
                              </w:divBdr>
                              <w:divsChild>
                                <w:div w:id="690109582">
                                  <w:marLeft w:val="0"/>
                                  <w:marRight w:val="0"/>
                                  <w:marTop w:val="0"/>
                                  <w:marBottom w:val="0"/>
                                  <w:divBdr>
                                    <w:top w:val="none" w:sz="0" w:space="0" w:color="auto"/>
                                    <w:left w:val="none" w:sz="0" w:space="0" w:color="auto"/>
                                    <w:bottom w:val="none" w:sz="0" w:space="0" w:color="auto"/>
                                    <w:right w:val="none" w:sz="0" w:space="0" w:color="auto"/>
                                  </w:divBdr>
                                  <w:divsChild>
                                    <w:div w:id="951546195">
                                      <w:marLeft w:val="0"/>
                                      <w:marRight w:val="0"/>
                                      <w:marTop w:val="0"/>
                                      <w:marBottom w:val="0"/>
                                      <w:divBdr>
                                        <w:top w:val="none" w:sz="0" w:space="0" w:color="auto"/>
                                        <w:left w:val="none" w:sz="0" w:space="0" w:color="auto"/>
                                        <w:bottom w:val="none" w:sz="0" w:space="0" w:color="auto"/>
                                        <w:right w:val="none" w:sz="0" w:space="0" w:color="auto"/>
                                      </w:divBdr>
                                      <w:divsChild>
                                        <w:div w:id="27761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263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tmp"/><Relationship Id="rId26" Type="http://schemas.openxmlformats.org/officeDocument/2006/relationships/image" Target="media/image19.png"/><Relationship Id="rId39" Type="http://schemas.openxmlformats.org/officeDocument/2006/relationships/image" Target="media/image32.tmp"/><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tm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footer" Target="footer1.xml"/><Relationship Id="rId19" Type="http://schemas.openxmlformats.org/officeDocument/2006/relationships/image" Target="media/image12.tmp"/><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teamadsen\Winny\Paghe\Documentale\MODELLI%20NOTE\PAGHE_AAAAXXYY_IMP.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8E52D-A82D-4441-8140-D012E468E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PAGHE_AAAAXXYY_IMP.dotx</Template>
  <TotalTime>516</TotalTime>
  <Pages>33</Pages>
  <Words>10459</Words>
  <Characters>59621</Characters>
  <Application>Microsoft Office Word</Application>
  <DocSecurity>0</DocSecurity>
  <Lines>496</Lines>
  <Paragraphs>139</Paragraphs>
  <ScaleCrop>false</ScaleCrop>
  <HeadingPairs>
    <vt:vector size="2" baseType="variant">
      <vt:variant>
        <vt:lpstr>Titolo</vt:lpstr>
      </vt:variant>
      <vt:variant>
        <vt:i4>1</vt:i4>
      </vt:variant>
    </vt:vector>
  </HeadingPairs>
  <TitlesOfParts>
    <vt:vector size="1" baseType="lpstr">
      <vt:lpstr>SPEDIZIONE</vt:lpstr>
    </vt:vector>
  </TitlesOfParts>
  <Company>Teamsystem S.p.A</Company>
  <LinksUpToDate>false</LinksUpToDate>
  <CharactersWithSpaces>69941</CharactersWithSpaces>
  <SharedDoc>false</SharedDoc>
  <HLinks>
    <vt:vector size="84" baseType="variant">
      <vt:variant>
        <vt:i4>1441843</vt:i4>
      </vt:variant>
      <vt:variant>
        <vt:i4>74</vt:i4>
      </vt:variant>
      <vt:variant>
        <vt:i4>0</vt:i4>
      </vt:variant>
      <vt:variant>
        <vt:i4>5</vt:i4>
      </vt:variant>
      <vt:variant>
        <vt:lpwstr/>
      </vt:variant>
      <vt:variant>
        <vt:lpwstr>_Toc425959737</vt:lpwstr>
      </vt:variant>
      <vt:variant>
        <vt:i4>1441843</vt:i4>
      </vt:variant>
      <vt:variant>
        <vt:i4>68</vt:i4>
      </vt:variant>
      <vt:variant>
        <vt:i4>0</vt:i4>
      </vt:variant>
      <vt:variant>
        <vt:i4>5</vt:i4>
      </vt:variant>
      <vt:variant>
        <vt:lpwstr/>
      </vt:variant>
      <vt:variant>
        <vt:lpwstr>_Toc425959736</vt:lpwstr>
      </vt:variant>
      <vt:variant>
        <vt:i4>1441843</vt:i4>
      </vt:variant>
      <vt:variant>
        <vt:i4>62</vt:i4>
      </vt:variant>
      <vt:variant>
        <vt:i4>0</vt:i4>
      </vt:variant>
      <vt:variant>
        <vt:i4>5</vt:i4>
      </vt:variant>
      <vt:variant>
        <vt:lpwstr/>
      </vt:variant>
      <vt:variant>
        <vt:lpwstr>_Toc425959735</vt:lpwstr>
      </vt:variant>
      <vt:variant>
        <vt:i4>1441843</vt:i4>
      </vt:variant>
      <vt:variant>
        <vt:i4>56</vt:i4>
      </vt:variant>
      <vt:variant>
        <vt:i4>0</vt:i4>
      </vt:variant>
      <vt:variant>
        <vt:i4>5</vt:i4>
      </vt:variant>
      <vt:variant>
        <vt:lpwstr/>
      </vt:variant>
      <vt:variant>
        <vt:lpwstr>_Toc425959734</vt:lpwstr>
      </vt:variant>
      <vt:variant>
        <vt:i4>1441843</vt:i4>
      </vt:variant>
      <vt:variant>
        <vt:i4>50</vt:i4>
      </vt:variant>
      <vt:variant>
        <vt:i4>0</vt:i4>
      </vt:variant>
      <vt:variant>
        <vt:i4>5</vt:i4>
      </vt:variant>
      <vt:variant>
        <vt:lpwstr/>
      </vt:variant>
      <vt:variant>
        <vt:lpwstr>_Toc425959733</vt:lpwstr>
      </vt:variant>
      <vt:variant>
        <vt:i4>1441843</vt:i4>
      </vt:variant>
      <vt:variant>
        <vt:i4>44</vt:i4>
      </vt:variant>
      <vt:variant>
        <vt:i4>0</vt:i4>
      </vt:variant>
      <vt:variant>
        <vt:i4>5</vt:i4>
      </vt:variant>
      <vt:variant>
        <vt:lpwstr/>
      </vt:variant>
      <vt:variant>
        <vt:lpwstr>_Toc425959732</vt:lpwstr>
      </vt:variant>
      <vt:variant>
        <vt:i4>1441843</vt:i4>
      </vt:variant>
      <vt:variant>
        <vt:i4>38</vt:i4>
      </vt:variant>
      <vt:variant>
        <vt:i4>0</vt:i4>
      </vt:variant>
      <vt:variant>
        <vt:i4>5</vt:i4>
      </vt:variant>
      <vt:variant>
        <vt:lpwstr/>
      </vt:variant>
      <vt:variant>
        <vt:lpwstr>_Toc425959731</vt:lpwstr>
      </vt:variant>
      <vt:variant>
        <vt:i4>1441843</vt:i4>
      </vt:variant>
      <vt:variant>
        <vt:i4>32</vt:i4>
      </vt:variant>
      <vt:variant>
        <vt:i4>0</vt:i4>
      </vt:variant>
      <vt:variant>
        <vt:i4>5</vt:i4>
      </vt:variant>
      <vt:variant>
        <vt:lpwstr/>
      </vt:variant>
      <vt:variant>
        <vt:lpwstr>_Toc425959730</vt:lpwstr>
      </vt:variant>
      <vt:variant>
        <vt:i4>1507379</vt:i4>
      </vt:variant>
      <vt:variant>
        <vt:i4>26</vt:i4>
      </vt:variant>
      <vt:variant>
        <vt:i4>0</vt:i4>
      </vt:variant>
      <vt:variant>
        <vt:i4>5</vt:i4>
      </vt:variant>
      <vt:variant>
        <vt:lpwstr/>
      </vt:variant>
      <vt:variant>
        <vt:lpwstr>_Toc425959729</vt:lpwstr>
      </vt:variant>
      <vt:variant>
        <vt:i4>1507379</vt:i4>
      </vt:variant>
      <vt:variant>
        <vt:i4>20</vt:i4>
      </vt:variant>
      <vt:variant>
        <vt:i4>0</vt:i4>
      </vt:variant>
      <vt:variant>
        <vt:i4>5</vt:i4>
      </vt:variant>
      <vt:variant>
        <vt:lpwstr/>
      </vt:variant>
      <vt:variant>
        <vt:lpwstr>_Toc425959728</vt:lpwstr>
      </vt:variant>
      <vt:variant>
        <vt:i4>1507379</vt:i4>
      </vt:variant>
      <vt:variant>
        <vt:i4>14</vt:i4>
      </vt:variant>
      <vt:variant>
        <vt:i4>0</vt:i4>
      </vt:variant>
      <vt:variant>
        <vt:i4>5</vt:i4>
      </vt:variant>
      <vt:variant>
        <vt:lpwstr/>
      </vt:variant>
      <vt:variant>
        <vt:lpwstr>_Toc425959727</vt:lpwstr>
      </vt:variant>
      <vt:variant>
        <vt:i4>1507379</vt:i4>
      </vt:variant>
      <vt:variant>
        <vt:i4>8</vt:i4>
      </vt:variant>
      <vt:variant>
        <vt:i4>0</vt:i4>
      </vt:variant>
      <vt:variant>
        <vt:i4>5</vt:i4>
      </vt:variant>
      <vt:variant>
        <vt:lpwstr/>
      </vt:variant>
      <vt:variant>
        <vt:lpwstr>_Toc425959726</vt:lpwstr>
      </vt:variant>
      <vt:variant>
        <vt:i4>1507379</vt:i4>
      </vt:variant>
      <vt:variant>
        <vt:i4>2</vt:i4>
      </vt:variant>
      <vt:variant>
        <vt:i4>0</vt:i4>
      </vt:variant>
      <vt:variant>
        <vt:i4>5</vt:i4>
      </vt:variant>
      <vt:variant>
        <vt:lpwstr/>
      </vt:variant>
      <vt:variant>
        <vt:lpwstr>_Toc425959725</vt:lpwstr>
      </vt:variant>
      <vt:variant>
        <vt:i4>6422638</vt:i4>
      </vt:variant>
      <vt:variant>
        <vt:i4>0</vt:i4>
      </vt:variant>
      <vt:variant>
        <vt:i4>0</vt:i4>
      </vt:variant>
      <vt:variant>
        <vt:i4>5</vt:i4>
      </vt:variant>
      <vt:variant>
        <vt:lpwstr/>
      </vt:variant>
      <vt:variant>
        <vt:lpwstr>INDICE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SPEDIZIONE</dc:title>
  <dc:subject/>
  <dc:creator>Luca Moricoli</dc:creator>
  <cp:keywords/>
  <dc:description/>
  <cp:lastModifiedBy>Barbara Mandolini</cp:lastModifiedBy>
  <cp:revision>23</cp:revision>
  <cp:lastPrinted>2017-11-22T16:31:00Z</cp:lastPrinted>
  <dcterms:created xsi:type="dcterms:W3CDTF">2017-11-20T08:51:00Z</dcterms:created>
  <dcterms:modified xsi:type="dcterms:W3CDTF">2017-11-22T16:31:00Z</dcterms:modified>
</cp:coreProperties>
</file>