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0C" w:rsidRDefault="00BC5D0C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BC5D0C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BC5D0C" w:rsidRPr="002816A1" w:rsidRDefault="00B329DA">
            <w:pPr>
              <w:pStyle w:val="WWRelease"/>
              <w:jc w:val="center"/>
              <w:rPr>
                <w:lang w:val="en-US"/>
              </w:rPr>
            </w:pPr>
            <w:r w:rsidRPr="002816A1">
              <w:rPr>
                <w:lang w:val="en-US"/>
              </w:rPr>
              <w:t xml:space="preserve">RELEASE </w:t>
            </w:r>
            <w:proofErr w:type="spellStart"/>
            <w:r w:rsidRPr="002816A1">
              <w:rPr>
                <w:lang w:val="en-US"/>
              </w:rPr>
              <w:t>Versione</w:t>
            </w:r>
            <w:proofErr w:type="spellEnd"/>
            <w:r w:rsidRPr="002816A1">
              <w:rPr>
                <w:lang w:val="en-US"/>
              </w:rPr>
              <w:t xml:space="preserve"> </w:t>
            </w:r>
            <w:r w:rsidR="002816A1" w:rsidRPr="002816A1">
              <w:rPr>
                <w:lang w:val="en-US"/>
              </w:rPr>
              <w:t>2017</w:t>
            </w:r>
            <w:r w:rsidRPr="002816A1">
              <w:rPr>
                <w:lang w:val="en-US"/>
              </w:rPr>
              <w:t>.</w:t>
            </w:r>
            <w:r w:rsidR="002816A1" w:rsidRPr="002816A1">
              <w:rPr>
                <w:lang w:val="en-US"/>
              </w:rPr>
              <w:t>2</w:t>
            </w:r>
            <w:r w:rsidRPr="002816A1">
              <w:rPr>
                <w:lang w:val="en-US"/>
              </w:rPr>
              <w:t>.</w:t>
            </w:r>
            <w:r w:rsidR="002816A1" w:rsidRPr="002816A1">
              <w:rPr>
                <w:lang w:val="en-US"/>
              </w:rPr>
              <w:t>6</w:t>
            </w:r>
          </w:p>
        </w:tc>
      </w:tr>
    </w:tbl>
    <w:p w:rsidR="00BC5D0C" w:rsidRDefault="00BC5D0C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BC5D0C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329DA">
            <w:pPr>
              <w:pStyle w:val="WWTipoDocumento"/>
            </w:pPr>
            <w:r>
              <w:t>CONTENUTO DEL RILASCIO</w:t>
            </w:r>
          </w:p>
          <w:p w:rsidR="00BC5D0C" w:rsidRDefault="00B329DA">
            <w:pPr>
              <w:pStyle w:val="CorpoAltF0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 w:rsidR="00BC5D0C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CorpoAltF0"/>
              <w:ind w:left="113"/>
              <w:rPr>
                <w:rFonts w:cs="Arial"/>
              </w:rPr>
            </w:pPr>
            <w:r>
              <w:rPr>
                <w:rFonts w:cs="Arial"/>
              </w:rPr>
              <w:t>Aggiornamento procedura</w:t>
            </w:r>
          </w:p>
        </w:tc>
      </w:tr>
      <w:tr w:rsidR="00BC5D0C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Pr="002816A1" w:rsidRDefault="002816A1">
            <w:pPr>
              <w:pStyle w:val="CorpoAltF0"/>
              <w:ind w:left="113"/>
              <w:rPr>
                <w:rFonts w:cs="Arial"/>
                <w:b/>
              </w:rPr>
            </w:pPr>
            <w:r w:rsidRPr="002816A1">
              <w:rPr>
                <w:rFonts w:cs="Arial"/>
                <w:b/>
              </w:rPr>
              <w:t>2017</w:t>
            </w:r>
            <w:r w:rsidR="00B329DA" w:rsidRPr="002816A1">
              <w:rPr>
                <w:rFonts w:cs="Arial"/>
                <w:b/>
              </w:rPr>
              <w:t>.</w:t>
            </w:r>
            <w:r w:rsidRPr="002816A1">
              <w:rPr>
                <w:rFonts w:cs="Arial"/>
                <w:b/>
              </w:rPr>
              <w:t>2</w:t>
            </w:r>
            <w:r w:rsidR="00B329DA" w:rsidRPr="002816A1">
              <w:rPr>
                <w:rFonts w:cs="Arial"/>
                <w:b/>
              </w:rPr>
              <w:t>.</w:t>
            </w:r>
            <w:r w:rsidRPr="002816A1">
              <w:rPr>
                <w:rFonts w:cs="Arial"/>
                <w:b/>
              </w:rPr>
              <w:t>6</w:t>
            </w:r>
            <w:r w:rsidR="00B329DA" w:rsidRPr="002816A1">
              <w:rPr>
                <w:rFonts w:cs="Arial"/>
                <w:b/>
              </w:rPr>
              <w:t xml:space="preserve"> (Update)</w:t>
            </w:r>
          </w:p>
        </w:tc>
      </w:tr>
      <w:tr w:rsidR="00BC5D0C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Pr="002816A1" w:rsidRDefault="002816A1">
            <w:pPr>
              <w:pStyle w:val="CorpoAltF0"/>
              <w:ind w:left="113"/>
              <w:rPr>
                <w:rFonts w:cs="Arial"/>
                <w:b/>
              </w:rPr>
            </w:pPr>
            <w:r w:rsidRPr="002816A1">
              <w:rPr>
                <w:rFonts w:cs="Arial"/>
                <w:b/>
              </w:rPr>
              <w:t>22</w:t>
            </w:r>
            <w:r w:rsidR="00B329DA" w:rsidRPr="002816A1">
              <w:rPr>
                <w:rFonts w:cs="Arial"/>
                <w:b/>
              </w:rPr>
              <w:t>.</w:t>
            </w:r>
            <w:r w:rsidRPr="002816A1">
              <w:rPr>
                <w:rFonts w:cs="Arial"/>
                <w:b/>
              </w:rPr>
              <w:t>12</w:t>
            </w:r>
            <w:r w:rsidR="00B329DA" w:rsidRPr="002816A1">
              <w:rPr>
                <w:rFonts w:cs="Arial"/>
                <w:b/>
              </w:rPr>
              <w:t>.</w:t>
            </w:r>
            <w:r w:rsidRPr="002816A1">
              <w:rPr>
                <w:rFonts w:cs="Arial"/>
                <w:b/>
              </w:rPr>
              <w:t>2017</w:t>
            </w:r>
          </w:p>
        </w:tc>
      </w:tr>
      <w:tr w:rsidR="00BC5D0C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Contenuto del Rilascio</w:t>
            </w:r>
          </w:p>
        </w:tc>
      </w:tr>
      <w:tr w:rsidR="00BC5D0C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CorpoAltF0"/>
              <w:ind w:lef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Guida utente</w:t>
            </w:r>
          </w:p>
        </w:tc>
      </w:tr>
      <w:tr w:rsidR="00BC5D0C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BC5D0C" w:rsidRDefault="00BC5D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BC5D0C" w:rsidRDefault="00BC5D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BC5D0C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BC5D0C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Pr="00AE4FFE" w:rsidRDefault="00B329DA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AE4FFE">
              <w:rPr>
                <w:rFonts w:ascii="Arial" w:hAnsi="Arial" w:cs="Arial"/>
                <w:b/>
              </w:rPr>
              <w:t>Versione  2017</w:t>
            </w:r>
            <w:proofErr w:type="gramEnd"/>
            <w:r w:rsidRPr="00AE4FFE">
              <w:rPr>
                <w:rFonts w:ascii="Arial" w:hAnsi="Arial" w:cs="Arial"/>
                <w:b/>
              </w:rPr>
              <w:t>.</w:t>
            </w:r>
            <w:r w:rsidR="002816A1" w:rsidRPr="00AE4FFE">
              <w:rPr>
                <w:rFonts w:ascii="Arial" w:hAnsi="Arial" w:cs="Arial"/>
                <w:b/>
              </w:rPr>
              <w:t>2</w:t>
            </w:r>
            <w:r w:rsidRPr="00AE4FFE">
              <w:rPr>
                <w:rFonts w:ascii="Arial" w:hAnsi="Arial" w:cs="Arial"/>
                <w:b/>
              </w:rPr>
              <w:t>.</w:t>
            </w:r>
            <w:r w:rsidR="002816A1" w:rsidRPr="00AE4FFE">
              <w:rPr>
                <w:rFonts w:ascii="Arial" w:hAnsi="Arial" w:cs="Arial"/>
                <w:b/>
              </w:rPr>
              <w:t>4</w:t>
            </w:r>
          </w:p>
        </w:tc>
      </w:tr>
      <w:tr w:rsidR="00BC5D0C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Pr="00AE4FFE" w:rsidRDefault="00B329DA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AE4FFE">
              <w:rPr>
                <w:rFonts w:ascii="Arial" w:hAnsi="Arial" w:cs="Arial"/>
                <w:b/>
              </w:rPr>
              <w:t>Versione  2017</w:t>
            </w:r>
            <w:proofErr w:type="gramEnd"/>
            <w:r w:rsidRPr="00AE4FFE">
              <w:rPr>
                <w:rFonts w:ascii="Arial" w:hAnsi="Arial" w:cs="Arial"/>
                <w:b/>
              </w:rPr>
              <w:t>.</w:t>
            </w:r>
            <w:r w:rsidR="00AE4FFE" w:rsidRPr="00AE4FFE">
              <w:rPr>
                <w:rFonts w:ascii="Arial" w:hAnsi="Arial" w:cs="Arial"/>
                <w:b/>
              </w:rPr>
              <w:t>2</w:t>
            </w:r>
            <w:r w:rsidRPr="00AE4FFE">
              <w:rPr>
                <w:rFonts w:ascii="Arial" w:hAnsi="Arial" w:cs="Arial"/>
                <w:b/>
              </w:rPr>
              <w:t>.</w:t>
            </w:r>
            <w:r w:rsidR="00AE4FFE" w:rsidRPr="00AE4FFE">
              <w:rPr>
                <w:rFonts w:ascii="Arial" w:hAnsi="Arial" w:cs="Arial"/>
                <w:b/>
              </w:rPr>
              <w:t>2</w:t>
            </w:r>
          </w:p>
        </w:tc>
      </w:tr>
      <w:tr w:rsidR="00BC5D0C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Pr="00AE4FFE" w:rsidRDefault="00B329DA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AE4FFE">
              <w:rPr>
                <w:rFonts w:ascii="Arial" w:hAnsi="Arial" w:cs="Arial"/>
                <w:b/>
              </w:rPr>
              <w:t>Versione  2017</w:t>
            </w:r>
            <w:proofErr w:type="gramEnd"/>
            <w:r w:rsidRPr="00AE4FFE">
              <w:rPr>
                <w:rFonts w:ascii="Arial" w:hAnsi="Arial" w:cs="Arial"/>
                <w:b/>
              </w:rPr>
              <w:t>.</w:t>
            </w:r>
            <w:r w:rsidR="00AE4FFE" w:rsidRPr="00AE4FFE">
              <w:rPr>
                <w:rFonts w:ascii="Arial" w:hAnsi="Arial" w:cs="Arial"/>
                <w:b/>
              </w:rPr>
              <w:t>5</w:t>
            </w:r>
            <w:r w:rsidRPr="00AE4FFE">
              <w:rPr>
                <w:rFonts w:ascii="Arial" w:hAnsi="Arial" w:cs="Arial"/>
                <w:b/>
              </w:rPr>
              <w:t>.</w:t>
            </w:r>
            <w:r w:rsidR="00AE4FFE" w:rsidRPr="00AE4FFE">
              <w:rPr>
                <w:rFonts w:ascii="Arial" w:hAnsi="Arial" w:cs="Arial"/>
                <w:b/>
              </w:rPr>
              <w:t>0</w:t>
            </w:r>
          </w:p>
        </w:tc>
      </w:tr>
      <w:tr w:rsidR="00BC5D0C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BC5D0C" w:rsidRDefault="00BC5D0C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C5D0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BC5D0C" w:rsidRDefault="00BC5D0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BC5D0C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5D0C" w:rsidRDefault="00BC5D0C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C5D0C" w:rsidRDefault="00B329DA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BC5D0C" w:rsidRDefault="00BC5D0C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BC5D0C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BC5D0C" w:rsidRDefault="00B329DA">
            <w:pPr>
              <w:pStyle w:val="WWContenutoRilascio"/>
            </w:pPr>
            <w:r>
              <w:t>Contenuto del rilascio</w:t>
            </w:r>
          </w:p>
        </w:tc>
      </w:tr>
      <w:tr w:rsidR="00BC5D0C">
        <w:trPr>
          <w:jc w:val="center"/>
        </w:trPr>
        <w:tc>
          <w:tcPr>
            <w:tcW w:w="9671" w:type="dxa"/>
          </w:tcPr>
          <w:p w:rsidR="00BC5D0C" w:rsidRPr="0070746C" w:rsidRDefault="009B0B58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</w:rPr>
            </w:pPr>
            <w:r>
              <w:rPr>
                <w:b/>
              </w:rPr>
              <w:t>Aggiornamento aliquote ed esenzioni addizionali comunali</w:t>
            </w:r>
          </w:p>
          <w:p w:rsidR="00BC5D0C" w:rsidRDefault="009B0B58">
            <w:pPr>
              <w:pStyle w:val="corpoAltF"/>
              <w:ind w:left="454" w:right="170"/>
            </w:pPr>
            <w:r>
              <w:t xml:space="preserve">Con la presente versione viene fornito </w:t>
            </w:r>
            <w:r w:rsidR="002349C5">
              <w:t>un nuovo</w:t>
            </w:r>
            <w:r>
              <w:t xml:space="preserve"> file </w:t>
            </w:r>
            <w:r w:rsidR="002349C5">
              <w:t>di aggiornamento del</w:t>
            </w:r>
            <w:r>
              <w:t>le aliquote e</w:t>
            </w:r>
            <w:r w:rsidR="002349C5">
              <w:t>d</w:t>
            </w:r>
            <w:r>
              <w:t xml:space="preserve"> </w:t>
            </w:r>
            <w:r w:rsidR="00D935A4">
              <w:t xml:space="preserve">eventuali </w:t>
            </w:r>
            <w:r>
              <w:t>esenzioni pubblicate dai vari comuni, desunte da</w:t>
            </w:r>
            <w:r w:rsidR="00D935A4">
              <w:t>l</w:t>
            </w:r>
            <w:r>
              <w:t xml:space="preserve"> file “</w:t>
            </w:r>
            <w:r>
              <w:rPr>
                <w:i/>
              </w:rPr>
              <w:t>Elenco del 2017</w:t>
            </w:r>
            <w:r>
              <w:t>” disponibile nel sito del dipartimento delle Finanze</w:t>
            </w:r>
            <w:r w:rsidR="00D935A4">
              <w:t xml:space="preserve"> </w:t>
            </w:r>
            <w:r>
              <w:rPr>
                <w:b/>
              </w:rPr>
              <w:t>aggiornato al 20/12/2017</w:t>
            </w:r>
            <w:r w:rsidR="00D935A4">
              <w:t>.</w:t>
            </w:r>
          </w:p>
          <w:p w:rsidR="00D935A4" w:rsidRDefault="00D935A4">
            <w:pPr>
              <w:pStyle w:val="corpoAltF"/>
              <w:ind w:left="454" w:right="170"/>
            </w:pPr>
            <w:r>
              <w:t>Per l’aggiornamento della relativa tabella “</w:t>
            </w:r>
            <w:r>
              <w:rPr>
                <w:i/>
              </w:rPr>
              <w:t>Aliquote IRPEF addizionali comunali</w:t>
            </w:r>
            <w:r>
              <w:t>” (</w:t>
            </w:r>
            <w:r>
              <w:rPr>
                <w:b/>
              </w:rPr>
              <w:t>TB0406</w:t>
            </w:r>
            <w:r>
              <w:t>) è necessario eseguire la scelta “</w:t>
            </w:r>
            <w:r>
              <w:rPr>
                <w:i/>
              </w:rPr>
              <w:t xml:space="preserve">Aggiornamento da file </w:t>
            </w:r>
            <w:proofErr w:type="spellStart"/>
            <w:r>
              <w:rPr>
                <w:i/>
              </w:rPr>
              <w:t>Teamsystem</w:t>
            </w:r>
            <w:proofErr w:type="spellEnd"/>
            <w:r>
              <w:t xml:space="preserve">” del comando </w:t>
            </w:r>
            <w:r>
              <w:rPr>
                <w:b/>
              </w:rPr>
              <w:t>AGGADD</w:t>
            </w:r>
            <w:r w:rsidR="002349C5">
              <w:t>.</w:t>
            </w:r>
          </w:p>
          <w:p w:rsidR="00BC5D0C" w:rsidRPr="0070746C" w:rsidRDefault="0070746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</w:rPr>
            </w:pPr>
            <w:r w:rsidRPr="0070746C">
              <w:rPr>
                <w:b/>
              </w:rPr>
              <w:t xml:space="preserve">Correzione delle seguenti anomalie relative alle verifiche </w:t>
            </w:r>
            <w:r w:rsidR="0023729F">
              <w:rPr>
                <w:b/>
              </w:rPr>
              <w:t>comuni per addizionali IRPEF</w:t>
            </w:r>
          </w:p>
          <w:p w:rsidR="00D578BA" w:rsidRDefault="00D578BA" w:rsidP="0070746C">
            <w:pPr>
              <w:pStyle w:val="corpoAltF"/>
              <w:numPr>
                <w:ilvl w:val="0"/>
                <w:numId w:val="31"/>
              </w:numPr>
              <w:spacing w:before="60"/>
              <w:ind w:left="862" w:right="170"/>
            </w:pPr>
            <w:r>
              <w:t>La segnalazione di “</w:t>
            </w:r>
            <w:r>
              <w:rPr>
                <w:i/>
              </w:rPr>
              <w:t>Aliquota addizionale comunale non trovata</w:t>
            </w:r>
            <w:r>
              <w:t xml:space="preserve">” (assenza della relativa tabella </w:t>
            </w:r>
            <w:r>
              <w:rPr>
                <w:b/>
              </w:rPr>
              <w:t>TB0406</w:t>
            </w:r>
            <w:r>
              <w:t>)</w:t>
            </w:r>
            <w:r w:rsidR="00843354">
              <w:t xml:space="preserve"> veniva evidenziata anche con riferimento ai comuni che non hanno mai deliberato </w:t>
            </w:r>
            <w:r w:rsidR="003A0B91">
              <w:t xml:space="preserve">un’aliquota </w:t>
            </w:r>
            <w:r w:rsidR="00843354">
              <w:t>di addizionale comunale.</w:t>
            </w:r>
          </w:p>
          <w:p w:rsidR="000E2FF0" w:rsidRPr="003A0B91" w:rsidRDefault="000E2FF0" w:rsidP="0070746C">
            <w:pPr>
              <w:pStyle w:val="corpoAltF"/>
              <w:numPr>
                <w:ilvl w:val="0"/>
                <w:numId w:val="31"/>
              </w:numPr>
              <w:spacing w:before="60"/>
              <w:ind w:left="862" w:right="170"/>
            </w:pPr>
            <w:r w:rsidRPr="003A0B91">
              <w:t>In presenza dei codici H840 (San Fermo della Battaglia), I632 (Sermide e Felonica), D564 (Fiastra) e G521 (Pettinengo) nel campo “</w:t>
            </w:r>
            <w:r w:rsidRPr="003A0B91">
              <w:rPr>
                <w:i/>
              </w:rPr>
              <w:t>Ex comune per saldo</w:t>
            </w:r>
            <w:r w:rsidRPr="003A0B91">
              <w:t>” (sez. “</w:t>
            </w:r>
            <w:r w:rsidRPr="003A0B91">
              <w:rPr>
                <w:i/>
              </w:rPr>
              <w:t>Progressivi &gt; Irpef e detrazioni &gt; Addizionali</w:t>
            </w:r>
            <w:r w:rsidRPr="003A0B91">
              <w:t xml:space="preserve">” di </w:t>
            </w:r>
            <w:r w:rsidRPr="003A0B91">
              <w:rPr>
                <w:b/>
              </w:rPr>
              <w:t>DIPE</w:t>
            </w:r>
            <w:r w:rsidRPr="003A0B91">
              <w:t>), il programma evidenziava erroneamente la segnalazione “</w:t>
            </w:r>
            <w:r w:rsidRPr="003A0B91">
              <w:rPr>
                <w:i/>
              </w:rPr>
              <w:t>Codice ex-comune per saldo non coerente</w:t>
            </w:r>
            <w:r w:rsidRPr="003A0B91">
              <w:t>”.</w:t>
            </w:r>
          </w:p>
          <w:p w:rsidR="000E2FF0" w:rsidRDefault="000E2FF0" w:rsidP="000E2FF0">
            <w:pPr>
              <w:pStyle w:val="corpoAltF"/>
              <w:numPr>
                <w:ilvl w:val="0"/>
                <w:numId w:val="31"/>
              </w:numPr>
              <w:spacing w:before="60"/>
              <w:ind w:left="862" w:right="170"/>
            </w:pPr>
            <w:r>
              <w:t>In presenza del codice A861 (Bienno) come comune per il calcolo dell’addizionale comunale per il 2017 (campo “</w:t>
            </w:r>
            <w:proofErr w:type="spellStart"/>
            <w:r>
              <w:rPr>
                <w:i/>
              </w:rPr>
              <w:t>Versam</w:t>
            </w:r>
            <w:proofErr w:type="spellEnd"/>
            <w:r>
              <w:rPr>
                <w:i/>
              </w:rPr>
              <w:t>. addizionali</w:t>
            </w:r>
            <w:r>
              <w:t>” della scheda “</w:t>
            </w:r>
            <w:r>
              <w:rPr>
                <w:i/>
              </w:rPr>
              <w:t>Anagrafica</w:t>
            </w:r>
            <w:r>
              <w:t xml:space="preserve">” di </w:t>
            </w:r>
            <w:r>
              <w:rPr>
                <w:b/>
              </w:rPr>
              <w:t>DIPE</w:t>
            </w:r>
            <w:r w:rsidRPr="000E2FF0">
              <w:t>)</w:t>
            </w:r>
            <w:r>
              <w:t>, il programma evidenziava erroneamente la segnalazione “</w:t>
            </w:r>
            <w:r>
              <w:rPr>
                <w:i/>
              </w:rPr>
              <w:t>Codice comune non più attivo</w:t>
            </w:r>
            <w:r>
              <w:t>”</w:t>
            </w:r>
            <w:r w:rsidR="00BB73E5">
              <w:t>.</w:t>
            </w:r>
          </w:p>
          <w:p w:rsidR="00BC5D0C" w:rsidRPr="0070746C" w:rsidRDefault="0070746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</w:rPr>
            </w:pPr>
            <w:r>
              <w:rPr>
                <w:b/>
              </w:rPr>
              <w:t>Precisazione: comuni oggetto di fusione nel 2016</w:t>
            </w:r>
          </w:p>
          <w:p w:rsidR="002349C5" w:rsidRDefault="002349C5" w:rsidP="00AE4FFE">
            <w:pPr>
              <w:pStyle w:val="CorpoAltF0"/>
              <w:spacing w:before="60"/>
              <w:ind w:left="454" w:right="170"/>
            </w:pPr>
            <w:r>
              <w:t>Ad integrazione di quanto indicato nella versione PAGHE 2017.2.5</w:t>
            </w:r>
            <w:r w:rsidR="003A0B91">
              <w:t>, si precisa che</w:t>
            </w:r>
            <w:r>
              <w:t xml:space="preserve"> </w:t>
            </w:r>
            <w:r w:rsidR="003A0B91">
              <w:t>i</w:t>
            </w:r>
            <w:r>
              <w:t>l campo “</w:t>
            </w:r>
            <w:r>
              <w:rPr>
                <w:i/>
              </w:rPr>
              <w:t>Ex comune</w:t>
            </w:r>
            <w:r>
              <w:t xml:space="preserve">” in </w:t>
            </w:r>
            <w:r>
              <w:rPr>
                <w:b/>
              </w:rPr>
              <w:t>DIPE</w:t>
            </w:r>
            <w:r>
              <w:t xml:space="preserve"> &gt; “</w:t>
            </w:r>
            <w:r>
              <w:rPr>
                <w:i/>
              </w:rPr>
              <w:t>Progressivi &gt; Irpef e detrazioni &gt; Addizionali</w:t>
            </w:r>
            <w:r>
              <w:t xml:space="preserve">” deve essere compilato anche con riferimento ai comuni istituiti per fusione nel corso del </w:t>
            </w:r>
            <w:r w:rsidRPr="003A0B91">
              <w:t>2016</w:t>
            </w:r>
            <w:r w:rsidR="003A0B91">
              <w:t>,</w:t>
            </w:r>
            <w:r>
              <w:t xml:space="preserve"> che prevedono anche per il 2017 l’applicazione di aliquote differenziate.</w:t>
            </w:r>
            <w:r w:rsidR="003A0B91">
              <w:t xml:space="preserve"> </w:t>
            </w:r>
            <w:r>
              <w:t>Di seguito si riporta l’elenco dei comuni interessati:</w:t>
            </w:r>
          </w:p>
          <w:p w:rsidR="00AE4FFE" w:rsidRDefault="00AE4FFE" w:rsidP="00BB73E5">
            <w:pPr>
              <w:pStyle w:val="CorpoAltF0"/>
              <w:spacing w:before="120"/>
              <w:ind w:left="454" w:right="1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60000" cy="1072679"/>
                  <wp:effectExtent l="0" t="0" r="0" b="0"/>
                  <wp:docPr id="4" name="Immagine 4" descr="Ritaglio scherm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E47FB4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07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B73E5" w:rsidRDefault="00BB73E5" w:rsidP="00BB73E5">
            <w:pPr>
              <w:pStyle w:val="corpoAltF"/>
              <w:ind w:left="454" w:right="170"/>
            </w:pPr>
          </w:p>
        </w:tc>
      </w:tr>
    </w:tbl>
    <w:p w:rsidR="00BC5D0C" w:rsidRDefault="00B329DA">
      <w:pPr>
        <w:rPr>
          <w:rFonts w:ascii="Arial" w:hAnsi="Arial"/>
          <w:sz w:val="20"/>
          <w:szCs w:val="20"/>
        </w:rPr>
      </w:pPr>
      <w:bookmarkStart w:id="1" w:name="_Toc33011301"/>
      <w:r>
        <w:br w:type="page"/>
      </w:r>
    </w:p>
    <w:p w:rsidR="00BC5D0C" w:rsidRDefault="00BC5D0C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BC5D0C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BC5D0C" w:rsidRDefault="00B329DA">
            <w:pPr>
              <w:pStyle w:val="WWContenutoRilascio"/>
              <w:rPr>
                <w:rFonts w:cs="Arial"/>
              </w:rPr>
            </w:pPr>
            <w:r>
              <w:rPr>
                <w:rFonts w:cs="Arial"/>
              </w:rPr>
              <w:t>Note di installazione</w:t>
            </w:r>
          </w:p>
        </w:tc>
      </w:tr>
    </w:tbl>
    <w:p w:rsidR="00BC5D0C" w:rsidRDefault="00BC5D0C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BC5D0C">
        <w:trPr>
          <w:jc w:val="center"/>
        </w:trPr>
        <w:tc>
          <w:tcPr>
            <w:tcW w:w="4825" w:type="dxa"/>
            <w:shd w:val="clear" w:color="auto" w:fill="BFBFBF"/>
          </w:tcPr>
          <w:p w:rsidR="00BC5D0C" w:rsidRDefault="00B329DA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BC5D0C" w:rsidRDefault="00B329DA">
            <w:pPr>
              <w:pStyle w:val="corpoAlt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Ambiente LINUX</w:t>
            </w:r>
          </w:p>
        </w:tc>
      </w:tr>
      <w:tr w:rsidR="00BC5D0C">
        <w:trPr>
          <w:jc w:val="center"/>
        </w:trPr>
        <w:tc>
          <w:tcPr>
            <w:tcW w:w="4825" w:type="dxa"/>
          </w:tcPr>
          <w:p w:rsidR="00BC5D0C" w:rsidRDefault="00B329DA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BC5D0C" w:rsidRDefault="00B329D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BC5D0C" w:rsidRDefault="00B329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BC5D0C" w:rsidRDefault="00B329DA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C5D0C" w:rsidRDefault="00B329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BC5D0C" w:rsidRDefault="00BC5D0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BC5D0C" w:rsidRDefault="00B329DA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BC5D0C" w:rsidRDefault="00B329DA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BC5D0C" w:rsidRDefault="00B329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BC5D0C" w:rsidRDefault="00B329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BC5D0C" w:rsidRDefault="00BC5D0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BC5D0C" w:rsidRDefault="00BC5D0C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BC5D0C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BC5D0C" w:rsidRDefault="00B329DA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BC5D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BC5D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BC5D0C" w:rsidRDefault="00B329DA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BC5D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BC5D0C" w:rsidRDefault="00BC5D0C">
      <w:pPr>
        <w:pStyle w:val="Ignora"/>
        <w:rPr>
          <w:sz w:val="10"/>
          <w:szCs w:val="10"/>
          <w:lang w:val="en-GB"/>
        </w:rPr>
      </w:pPr>
    </w:p>
    <w:p w:rsidR="00BC5D0C" w:rsidRDefault="00B329DA">
      <w:pPr>
        <w:numPr>
          <w:ilvl w:val="0"/>
          <w:numId w:val="1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BC5D0C" w:rsidRDefault="00B329DA">
      <w:pPr>
        <w:numPr>
          <w:ilvl w:val="0"/>
          <w:numId w:val="2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BC5D0C" w:rsidRDefault="00BC5D0C">
      <w:pPr>
        <w:pStyle w:val="CorpoAltF0"/>
        <w:rPr>
          <w:sz w:val="10"/>
          <w:szCs w:val="10"/>
        </w:rPr>
      </w:pPr>
    </w:p>
    <w:p w:rsidR="00BC5D0C" w:rsidRDefault="00BC5D0C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BC5D0C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BC5D0C" w:rsidRDefault="00B329DA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BC5D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BC5D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BC5D0C" w:rsidRDefault="00B329DA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BC5D0C" w:rsidRDefault="00BC5D0C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BC5D0C" w:rsidRDefault="00BC5D0C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BC5D0C" w:rsidRDefault="00B329DA">
            <w:pPr>
              <w:rPr>
                <w:rFonts w:ascii="LFT Etica Lt" w:hAnsi="LFT Etica Lt" w:cs="Arial"/>
                <w:sz w:val="12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BC5D0C" w:rsidRDefault="00B329DA">
            <w:pPr>
              <w:rPr>
                <w:rFonts w:ascii="LFT Etica Lt" w:hAnsi="LFT Etica Lt" w:cs="Arial"/>
                <w:sz w:val="18"/>
                <w:szCs w:val="16"/>
              </w:rPr>
            </w:pPr>
            <w:r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BC5D0C" w:rsidRDefault="00BC5D0C">
      <w:pPr>
        <w:pStyle w:val="Ignora"/>
        <w:rPr>
          <w:sz w:val="10"/>
          <w:szCs w:val="10"/>
        </w:rPr>
      </w:pPr>
    </w:p>
    <w:p w:rsidR="00BC5D0C" w:rsidRDefault="00B329DA">
      <w:pPr>
        <w:jc w:val="both"/>
        <w:rPr>
          <w:rFonts w:ascii="LFT Etica Lt" w:hAnsi="LFT Etica Lt"/>
          <w:sz w:val="18"/>
          <w:szCs w:val="18"/>
        </w:rPr>
      </w:pPr>
      <w:r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BC5D0C" w:rsidRDefault="00B329DA"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>
        <w:rPr>
          <w:rFonts w:ascii="LFT Etica Lt" w:hAnsi="LFT Etica Lt"/>
          <w:b/>
          <w:sz w:val="18"/>
          <w:szCs w:val="18"/>
        </w:rPr>
        <w:t>Ubuntu 16.04 LTS 64 bit</w:t>
      </w:r>
    </w:p>
    <w:p w:rsidR="00BC5D0C" w:rsidRDefault="00B329DA">
      <w:pPr>
        <w:pStyle w:val="Paragrafoelenco"/>
        <w:numPr>
          <w:ilvl w:val="0"/>
          <w:numId w:val="2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>
        <w:rPr>
          <w:rFonts w:ascii="LFT Etica Lt" w:hAnsi="LFT Etica Lt"/>
          <w:b/>
          <w:sz w:val="18"/>
          <w:szCs w:val="18"/>
        </w:rPr>
        <w:t>CentOS</w:t>
      </w:r>
      <w:proofErr w:type="spellEnd"/>
      <w:r>
        <w:rPr>
          <w:rFonts w:ascii="LFT Etica Lt" w:hAnsi="LFT Etica Lt"/>
          <w:b/>
          <w:sz w:val="18"/>
          <w:szCs w:val="18"/>
        </w:rPr>
        <w:t xml:space="preserve"> 7.3 64 bit</w:t>
      </w:r>
    </w:p>
    <w:p w:rsidR="00BC5D0C" w:rsidRDefault="00BC5D0C">
      <w:pPr>
        <w:pStyle w:val="Ignora"/>
        <w:rPr>
          <w:sz w:val="10"/>
          <w:szCs w:val="10"/>
        </w:rPr>
      </w:pPr>
    </w:p>
    <w:p w:rsidR="00BC5D0C" w:rsidRDefault="00B329DA">
      <w:pPr>
        <w:jc w:val="both"/>
        <w:rPr>
          <w:rFonts w:ascii="LFT Etica Lt" w:hAnsi="LFT Etica Lt" w:cs="Arial"/>
          <w:i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BC5D0C" w:rsidRDefault="00B329DA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POLYEDRO ultima versione rilasciata</w:t>
      </w:r>
    </w:p>
    <w:p w:rsidR="00BC5D0C" w:rsidRDefault="00BC5D0C">
      <w:pPr>
        <w:pStyle w:val="Ignora"/>
        <w:rPr>
          <w:sz w:val="10"/>
          <w:szCs w:val="10"/>
        </w:rPr>
      </w:pPr>
    </w:p>
    <w:p w:rsidR="00BC5D0C" w:rsidRDefault="00B329DA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>
        <w:rPr>
          <w:rFonts w:ascii="LFT Etica Lt" w:hAnsi="LFT Etica Lt" w:cs="Arial"/>
          <w:b/>
          <w:sz w:val="18"/>
          <w:szCs w:val="18"/>
        </w:rPr>
        <w:t>Gecom</w:t>
      </w:r>
      <w:proofErr w:type="spellEnd"/>
      <w:r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BC5D0C" w:rsidRDefault="00B329DA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TeamPortal ultima versione rilasciata</w:t>
      </w:r>
    </w:p>
    <w:p w:rsidR="00BC5D0C" w:rsidRDefault="00B329DA">
      <w:pPr>
        <w:numPr>
          <w:ilvl w:val="0"/>
          <w:numId w:val="2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BC5D0C" w:rsidRDefault="00B329DA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 xml:space="preserve">Sysint/W 20140100 </w:t>
      </w:r>
    </w:p>
    <w:p w:rsidR="00BC5D0C" w:rsidRDefault="00B329DA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BC5D0C" w:rsidRDefault="00B329DA">
      <w:pPr>
        <w:pStyle w:val="Paragrafoelenco"/>
        <w:numPr>
          <w:ilvl w:val="0"/>
          <w:numId w:val="3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Runtime Cobol 812-20160100</w:t>
      </w:r>
    </w:p>
    <w:p w:rsidR="00BC5D0C" w:rsidRDefault="00BC5D0C">
      <w:pPr>
        <w:pStyle w:val="Ignora"/>
        <w:rPr>
          <w:sz w:val="10"/>
          <w:szCs w:val="10"/>
        </w:rPr>
      </w:pPr>
    </w:p>
    <w:p w:rsidR="00BC5D0C" w:rsidRDefault="00B329DA">
      <w:pPr>
        <w:jc w:val="both"/>
        <w:rPr>
          <w:rFonts w:ascii="LFT Etica Lt" w:hAnsi="LFT Etica Lt" w:cs="Arial"/>
          <w:b/>
          <w:sz w:val="18"/>
          <w:szCs w:val="18"/>
        </w:rPr>
      </w:pPr>
      <w:r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BC5D0C" w:rsidRDefault="00B329DA">
      <w:pPr>
        <w:jc w:val="both"/>
        <w:rPr>
          <w:rFonts w:ascii="LFT Etica Lt" w:hAnsi="LFT Etica Lt" w:cs="Arial"/>
          <w:sz w:val="18"/>
          <w:szCs w:val="18"/>
        </w:rPr>
      </w:pPr>
      <w:r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>
        <w:rPr>
          <w:rFonts w:ascii="LFT Etica Lt" w:hAnsi="LFT Etica Lt" w:cs="Arial"/>
          <w:sz w:val="18"/>
          <w:szCs w:val="18"/>
        </w:rPr>
        <w:t>treeRTG</w:t>
      </w:r>
      <w:proofErr w:type="spellEnd"/>
      <w:r>
        <w:rPr>
          <w:rFonts w:ascii="LFT Etica Lt" w:hAnsi="LFT Etica Lt" w:cs="Arial"/>
          <w:sz w:val="18"/>
          <w:szCs w:val="18"/>
        </w:rPr>
        <w:t>.</w:t>
      </w:r>
      <w:bookmarkEnd w:id="1"/>
    </w:p>
    <w:sectPr w:rsidR="00BC5D0C">
      <w:headerReference w:type="default" r:id="rId10"/>
      <w:footerReference w:type="default" r:id="rId11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D3" w:rsidRDefault="00456CD3">
      <w:r>
        <w:separator/>
      </w:r>
    </w:p>
  </w:endnote>
  <w:endnote w:type="continuationSeparator" w:id="0">
    <w:p w:rsidR="00456CD3" w:rsidRDefault="004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58" w:rsidRDefault="009B0B58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9B0B58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9B0B58" w:rsidRDefault="009B0B58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9B0B58" w:rsidRPr="002816A1" w:rsidRDefault="009B0B58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 w:rsidRPr="002816A1"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9B0B58" w:rsidRPr="002816A1" w:rsidRDefault="009B0B58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2816A1">
            <w:rPr>
              <w:rFonts w:ascii="Arial" w:hAnsi="Arial" w:cs="Arial"/>
              <w:i/>
              <w:sz w:val="20"/>
              <w:szCs w:val="20"/>
            </w:rPr>
            <w:t>PAGHE 2017.2.6</w:t>
          </w:r>
        </w:p>
      </w:tc>
      <w:tc>
        <w:tcPr>
          <w:tcW w:w="1701" w:type="dxa"/>
        </w:tcPr>
        <w:p w:rsidR="009B0B58" w:rsidRDefault="009B0B58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AE4FFE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9B0B58" w:rsidRDefault="009B0B58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D3" w:rsidRDefault="00456CD3">
      <w:r>
        <w:separator/>
      </w:r>
    </w:p>
  </w:footnote>
  <w:footnote w:type="continuationSeparator" w:id="0">
    <w:p w:rsidR="00456CD3" w:rsidRDefault="0045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9B0B58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B0B58" w:rsidRDefault="009B0B58">
          <w:pPr>
            <w:pStyle w:val="Intestazione"/>
            <w:spacing w:before="20" w:after="20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B0B58" w:rsidRDefault="009B0B58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B0B58" w:rsidRDefault="009B0B58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9B0B58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9B0B58" w:rsidRDefault="009B0B58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9B0B58" w:rsidRDefault="009B0B58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9B0B58" w:rsidRDefault="009B0B58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9B0B58" w:rsidRDefault="009B0B58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007"/>
    <w:multiLevelType w:val="hybridMultilevel"/>
    <w:tmpl w:val="3F589400"/>
    <w:lvl w:ilvl="0" w:tplc="0410000B">
      <w:start w:val="1"/>
      <w:numFmt w:val="bullet"/>
      <w:lvlText w:val=""/>
      <w:lvlJc w:val="left"/>
      <w:pPr>
        <w:tabs>
          <w:tab w:val="num" w:pos="1276"/>
        </w:tabs>
        <w:ind w:left="12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16F976F0"/>
    <w:multiLevelType w:val="hybridMultilevel"/>
    <w:tmpl w:val="3B8CEA28"/>
    <w:lvl w:ilvl="0" w:tplc="7520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8FA717F"/>
    <w:multiLevelType w:val="hybridMultilevel"/>
    <w:tmpl w:val="B5AC2CA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10B31"/>
    <w:multiLevelType w:val="hybridMultilevel"/>
    <w:tmpl w:val="2AF69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C87FE6"/>
    <w:multiLevelType w:val="hybridMultilevel"/>
    <w:tmpl w:val="ECEE0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2B5CA0"/>
    <w:multiLevelType w:val="hybridMultilevel"/>
    <w:tmpl w:val="AE34AE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504B4"/>
    <w:multiLevelType w:val="hybridMultilevel"/>
    <w:tmpl w:val="3BB88B24"/>
    <w:lvl w:ilvl="0" w:tplc="31C85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527"/>
    <w:multiLevelType w:val="hybridMultilevel"/>
    <w:tmpl w:val="39AC0430"/>
    <w:lvl w:ilvl="0" w:tplc="433CD00A">
      <w:start w:val="1"/>
      <w:numFmt w:val="bullet"/>
      <w:lvlText w:val=""/>
      <w:lvlJc w:val="left"/>
      <w:pPr>
        <w:tabs>
          <w:tab w:val="num" w:pos="1276"/>
        </w:tabs>
        <w:ind w:left="1276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4A1615"/>
    <w:multiLevelType w:val="hybridMultilevel"/>
    <w:tmpl w:val="8E0E26E2"/>
    <w:lvl w:ilvl="0" w:tplc="04100005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2" w15:restartNumberingAfterBreak="0">
    <w:nsid w:val="37D76C6D"/>
    <w:multiLevelType w:val="hybridMultilevel"/>
    <w:tmpl w:val="6A581CF2"/>
    <w:lvl w:ilvl="0" w:tplc="EC8E9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C97ABA"/>
    <w:multiLevelType w:val="hybridMultilevel"/>
    <w:tmpl w:val="E482DEDA"/>
    <w:lvl w:ilvl="0" w:tplc="31C8510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AA72E8"/>
    <w:multiLevelType w:val="hybridMultilevel"/>
    <w:tmpl w:val="127A46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775A5"/>
    <w:multiLevelType w:val="hybridMultilevel"/>
    <w:tmpl w:val="10F60DDE"/>
    <w:lvl w:ilvl="0" w:tplc="0410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E4C7850"/>
    <w:multiLevelType w:val="hybridMultilevel"/>
    <w:tmpl w:val="4B3E13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B2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erlin Sans FB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58D10E6E"/>
    <w:multiLevelType w:val="hybridMultilevel"/>
    <w:tmpl w:val="AC0CC56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3" w15:restartNumberingAfterBreak="0">
    <w:nsid w:val="612E73CF"/>
    <w:multiLevelType w:val="hybridMultilevel"/>
    <w:tmpl w:val="30325922"/>
    <w:lvl w:ilvl="0" w:tplc="105AB2E8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D1D2E"/>
    <w:multiLevelType w:val="hybridMultilevel"/>
    <w:tmpl w:val="43FED836"/>
    <w:lvl w:ilvl="0" w:tplc="B7EA2A4E">
      <w:numFmt w:val="bullet"/>
      <w:lvlText w:val="-"/>
      <w:lvlJc w:val="left"/>
      <w:pPr>
        <w:ind w:left="720" w:hanging="360"/>
      </w:pPr>
      <w:rPr>
        <w:rFonts w:ascii="Arial" w:eastAsia="Berlin Sans FB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A30CB"/>
    <w:multiLevelType w:val="hybridMultilevel"/>
    <w:tmpl w:val="24B221C0"/>
    <w:lvl w:ilvl="0" w:tplc="41A01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10857"/>
    <w:multiLevelType w:val="hybridMultilevel"/>
    <w:tmpl w:val="455A0E3A"/>
    <w:lvl w:ilvl="0" w:tplc="43A2F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60C32"/>
    <w:multiLevelType w:val="hybridMultilevel"/>
    <w:tmpl w:val="11B6DBB2"/>
    <w:lvl w:ilvl="0" w:tplc="105AB2E8">
      <w:numFmt w:val="bullet"/>
      <w:lvlText w:val="-"/>
      <w:lvlJc w:val="left"/>
      <w:pPr>
        <w:ind w:left="1287" w:hanging="360"/>
      </w:pPr>
      <w:rPr>
        <w:rFonts w:ascii="Arial" w:eastAsia="Berlin Sans FB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E27A51"/>
    <w:multiLevelType w:val="hybridMultilevel"/>
    <w:tmpl w:val="8A0A2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7"/>
  </w:num>
  <w:num w:numId="5">
    <w:abstractNumId w:val="6"/>
  </w:num>
  <w:num w:numId="6">
    <w:abstractNumId w:val="19"/>
  </w:num>
  <w:num w:numId="7">
    <w:abstractNumId w:val="8"/>
  </w:num>
  <w:num w:numId="8">
    <w:abstractNumId w:val="11"/>
  </w:num>
  <w:num w:numId="9">
    <w:abstractNumId w:val="18"/>
  </w:num>
  <w:num w:numId="10">
    <w:abstractNumId w:val="7"/>
  </w:num>
  <w:num w:numId="11">
    <w:abstractNumId w:val="12"/>
  </w:num>
  <w:num w:numId="12">
    <w:abstractNumId w:val="10"/>
  </w:num>
  <w:num w:numId="13">
    <w:abstractNumId w:val="28"/>
  </w:num>
  <w:num w:numId="14">
    <w:abstractNumId w:val="1"/>
  </w:num>
  <w:num w:numId="15">
    <w:abstractNumId w:val="25"/>
  </w:num>
  <w:num w:numId="16">
    <w:abstractNumId w:val="26"/>
  </w:num>
  <w:num w:numId="17">
    <w:abstractNumId w:val="16"/>
  </w:num>
  <w:num w:numId="18">
    <w:abstractNumId w:val="30"/>
  </w:num>
  <w:num w:numId="19">
    <w:abstractNumId w:val="13"/>
  </w:num>
  <w:num w:numId="20">
    <w:abstractNumId w:val="21"/>
  </w:num>
  <w:num w:numId="21">
    <w:abstractNumId w:val="15"/>
  </w:num>
  <w:num w:numId="22">
    <w:abstractNumId w:val="29"/>
  </w:num>
  <w:num w:numId="23">
    <w:abstractNumId w:val="4"/>
  </w:num>
  <w:num w:numId="24">
    <w:abstractNumId w:val="9"/>
  </w:num>
  <w:num w:numId="25">
    <w:abstractNumId w:val="23"/>
  </w:num>
  <w:num w:numId="26">
    <w:abstractNumId w:val="5"/>
  </w:num>
  <w:num w:numId="27">
    <w:abstractNumId w:val="20"/>
  </w:num>
  <w:num w:numId="28">
    <w:abstractNumId w:val="14"/>
  </w:num>
  <w:num w:numId="29">
    <w:abstractNumId w:val="24"/>
  </w:num>
  <w:num w:numId="30">
    <w:abstractNumId w:val="22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6A1"/>
    <w:rsid w:val="000B2939"/>
    <w:rsid w:val="000E2FF0"/>
    <w:rsid w:val="002349C5"/>
    <w:rsid w:val="0023729F"/>
    <w:rsid w:val="002816A1"/>
    <w:rsid w:val="00281AAC"/>
    <w:rsid w:val="003A0B91"/>
    <w:rsid w:val="00456CD3"/>
    <w:rsid w:val="005D146F"/>
    <w:rsid w:val="0070746C"/>
    <w:rsid w:val="00832996"/>
    <w:rsid w:val="00843354"/>
    <w:rsid w:val="009B0B58"/>
    <w:rsid w:val="00AE4FFE"/>
    <w:rsid w:val="00B329DA"/>
    <w:rsid w:val="00BB73E5"/>
    <w:rsid w:val="00BC5D0C"/>
    <w:rsid w:val="00D578BA"/>
    <w:rsid w:val="00D615A8"/>
    <w:rsid w:val="00D935A4"/>
    <w:rsid w:val="00E26B9E"/>
    <w:rsid w:val="00E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7FE04867"/>
  <w15:docId w15:val="{462D9008-202A-42A0-9DC5-9D2AFFC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gnora">
    <w:name w:val="Ignora"/>
    <w:basedOn w:val="CorpoAlt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oricoli\Documents\Modelli%20di%20Office%20personalizzati\PAGHE_AAAAXXYY_C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C894-F6A7-472C-8A5F-9E31C1FF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PAGHE_AAAAXXYY_CR</Template>
  <TotalTime>155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Luca Moricoli</cp:lastModifiedBy>
  <cp:revision>4</cp:revision>
  <cp:lastPrinted>2017-12-22T14:48:00Z</cp:lastPrinted>
  <dcterms:created xsi:type="dcterms:W3CDTF">2017-12-22T11:48:00Z</dcterms:created>
  <dcterms:modified xsi:type="dcterms:W3CDTF">2017-12-22T15:38:00Z</dcterms:modified>
</cp:coreProperties>
</file>