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A0F01" w14:textId="77777777" w:rsidR="00176861" w:rsidRDefault="00176861"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176861" w:rsidRPr="009E6F5F" w14:paraId="3AAA0F03" w14:textId="77777777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AAA0F02" w14:textId="69CB2959" w:rsidR="00176861" w:rsidRPr="009E6F5F" w:rsidRDefault="00E5788E">
            <w:pPr>
              <w:pStyle w:val="WWRelease"/>
              <w:jc w:val="center"/>
              <w:rPr>
                <w:lang w:val="en-US"/>
              </w:rPr>
            </w:pPr>
            <w:r w:rsidRPr="009E6F5F">
              <w:rPr>
                <w:lang w:val="en-US"/>
              </w:rPr>
              <w:t xml:space="preserve">RELEASE </w:t>
            </w:r>
            <w:proofErr w:type="spellStart"/>
            <w:r w:rsidRPr="009E6F5F">
              <w:rPr>
                <w:lang w:val="en-US"/>
              </w:rPr>
              <w:t>Versione</w:t>
            </w:r>
            <w:proofErr w:type="spellEnd"/>
            <w:r w:rsidRPr="009E6F5F">
              <w:rPr>
                <w:lang w:val="en-US"/>
              </w:rPr>
              <w:t xml:space="preserve"> 2018.1.</w:t>
            </w:r>
            <w:r w:rsidR="00212BBC" w:rsidRPr="009E6F5F">
              <w:rPr>
                <w:lang w:val="en-US"/>
              </w:rPr>
              <w:t>8</w:t>
            </w:r>
          </w:p>
        </w:tc>
      </w:tr>
    </w:tbl>
    <w:p w14:paraId="3AAA0F04" w14:textId="77777777" w:rsidR="00176861" w:rsidRPr="009E6F5F" w:rsidRDefault="00176861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3"/>
        <w:gridCol w:w="3841"/>
      </w:tblGrid>
      <w:tr w:rsidR="00176861" w:rsidRPr="009E6F5F" w14:paraId="3AAA0F09" w14:textId="77777777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AAA0F05" w14:textId="77777777" w:rsidR="00176861" w:rsidRPr="009E6F5F" w:rsidRDefault="00E5788E">
            <w:pPr>
              <w:pStyle w:val="WWTipoDocumento"/>
            </w:pPr>
            <w:r w:rsidRPr="009E6F5F">
              <w:t>CONTENUTO DEL RILASCIO</w:t>
            </w:r>
          </w:p>
          <w:p w14:paraId="3AAA0F06" w14:textId="77777777" w:rsidR="00176861" w:rsidRPr="009E6F5F" w:rsidRDefault="00E5788E">
            <w:pPr>
              <w:pStyle w:val="CorpoAltF0"/>
              <w:rPr>
                <w:color w:val="000000"/>
              </w:rPr>
            </w:pPr>
            <w:r w:rsidRPr="009E6F5F">
              <w:rPr>
                <w:noProof/>
              </w:rPr>
              <w:drawing>
                <wp:inline distT="0" distB="0" distL="0" distR="0" wp14:anchorId="3AAA0FD3" wp14:editId="3AAA0FD4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07" w14:textId="77777777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9E6F5F"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08" w14:textId="77777777" w:rsidR="00176861" w:rsidRPr="009E6F5F" w:rsidRDefault="00E5788E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 w:rsidRPr="009E6F5F">
              <w:rPr>
                <w:rFonts w:cs="Arial"/>
                <w:b/>
                <w:sz w:val="28"/>
                <w:szCs w:val="28"/>
              </w:rPr>
              <w:t>GECOM PAGHE</w:t>
            </w:r>
          </w:p>
        </w:tc>
      </w:tr>
      <w:tr w:rsidR="00176861" w:rsidRPr="009E6F5F" w14:paraId="3AAA0F0D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AAA0F0A" w14:textId="77777777" w:rsidR="00176861" w:rsidRPr="009E6F5F" w:rsidRDefault="00176861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0B" w14:textId="77777777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9E6F5F"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0C" w14:textId="77777777" w:rsidR="00176861" w:rsidRPr="009E6F5F" w:rsidRDefault="00E5788E">
            <w:pPr>
              <w:pStyle w:val="CorpoAltF0"/>
              <w:ind w:left="113"/>
              <w:rPr>
                <w:rFonts w:cs="Arial"/>
              </w:rPr>
            </w:pPr>
            <w:r w:rsidRPr="009E6F5F">
              <w:rPr>
                <w:rFonts w:cs="Arial"/>
              </w:rPr>
              <w:t>Aggiornamento procedura</w:t>
            </w:r>
          </w:p>
        </w:tc>
      </w:tr>
      <w:tr w:rsidR="00176861" w:rsidRPr="009E6F5F" w14:paraId="3AAA0F11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AAA0F0E" w14:textId="77777777" w:rsidR="00176861" w:rsidRPr="009E6F5F" w:rsidRDefault="00176861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0F" w14:textId="77777777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9E6F5F"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10" w14:textId="7E508A31" w:rsidR="00176861" w:rsidRPr="009E6F5F" w:rsidRDefault="00E5788E">
            <w:pPr>
              <w:pStyle w:val="CorpoAltF0"/>
              <w:ind w:left="113"/>
              <w:rPr>
                <w:rFonts w:cs="Arial"/>
                <w:b/>
              </w:rPr>
            </w:pPr>
            <w:r w:rsidRPr="009E6F5F">
              <w:rPr>
                <w:rFonts w:cs="Arial"/>
                <w:b/>
              </w:rPr>
              <w:t>2018.1.</w:t>
            </w:r>
            <w:r w:rsidR="00212BBC" w:rsidRPr="009E6F5F">
              <w:rPr>
                <w:rFonts w:cs="Arial"/>
                <w:b/>
              </w:rPr>
              <w:t>8</w:t>
            </w:r>
            <w:r w:rsidRPr="009E6F5F">
              <w:rPr>
                <w:rFonts w:cs="Arial"/>
                <w:b/>
              </w:rPr>
              <w:t xml:space="preserve"> (Update)</w:t>
            </w:r>
          </w:p>
        </w:tc>
      </w:tr>
      <w:tr w:rsidR="00176861" w:rsidRPr="009E6F5F" w14:paraId="3AAA0F15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AAA0F12" w14:textId="77777777" w:rsidR="00176861" w:rsidRPr="009E6F5F" w:rsidRDefault="00176861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13" w14:textId="77777777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9E6F5F"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14" w14:textId="49505820" w:rsidR="00176861" w:rsidRPr="009E6F5F" w:rsidRDefault="00212BBC">
            <w:pPr>
              <w:pStyle w:val="CorpoAltF0"/>
              <w:ind w:left="113"/>
              <w:rPr>
                <w:rFonts w:cs="Arial"/>
                <w:b/>
              </w:rPr>
            </w:pPr>
            <w:r w:rsidRPr="009E6F5F">
              <w:rPr>
                <w:rFonts w:cs="Arial"/>
                <w:b/>
              </w:rPr>
              <w:t>20</w:t>
            </w:r>
            <w:r w:rsidR="00E5788E" w:rsidRPr="009E6F5F">
              <w:rPr>
                <w:rFonts w:cs="Arial"/>
                <w:b/>
              </w:rPr>
              <w:t>.</w:t>
            </w:r>
            <w:r w:rsidR="009D1349" w:rsidRPr="009E6F5F">
              <w:rPr>
                <w:rFonts w:cs="Arial"/>
                <w:b/>
              </w:rPr>
              <w:t>1</w:t>
            </w:r>
            <w:r w:rsidR="00486D53" w:rsidRPr="009E6F5F">
              <w:rPr>
                <w:rFonts w:cs="Arial"/>
                <w:b/>
              </w:rPr>
              <w:t>2</w:t>
            </w:r>
            <w:r w:rsidR="00E5788E" w:rsidRPr="009E6F5F">
              <w:rPr>
                <w:rFonts w:cs="Arial"/>
                <w:b/>
              </w:rPr>
              <w:t>.2018</w:t>
            </w:r>
          </w:p>
        </w:tc>
      </w:tr>
      <w:tr w:rsidR="00176861" w:rsidRPr="009E6F5F" w14:paraId="3AAA0F19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AAA0F16" w14:textId="77777777" w:rsidR="00176861" w:rsidRPr="009E6F5F" w:rsidRDefault="00176861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17" w14:textId="77777777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9E6F5F"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18" w14:textId="77777777" w:rsidR="00176861" w:rsidRPr="009E6F5F" w:rsidRDefault="00E5788E">
            <w:pPr>
              <w:pStyle w:val="CorpoAltF0"/>
              <w:ind w:left="113"/>
              <w:rPr>
                <w:rFonts w:cs="Arial"/>
                <w:b/>
              </w:rPr>
            </w:pPr>
            <w:r w:rsidRPr="009E6F5F">
              <w:rPr>
                <w:rFonts w:cs="Arial"/>
                <w:b/>
              </w:rPr>
              <w:t>Contenuto del Rilascio</w:t>
            </w:r>
          </w:p>
        </w:tc>
      </w:tr>
      <w:tr w:rsidR="00176861" w:rsidRPr="009E6F5F" w14:paraId="3AAA0F1D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AAA0F1A" w14:textId="77777777" w:rsidR="00176861" w:rsidRPr="009E6F5F" w:rsidRDefault="00176861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1B" w14:textId="77777777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9E6F5F"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1C" w14:textId="77777777" w:rsidR="00176861" w:rsidRPr="009E6F5F" w:rsidRDefault="00E5788E">
            <w:pPr>
              <w:pStyle w:val="CorpoAltF0"/>
              <w:ind w:left="113"/>
              <w:rPr>
                <w:rFonts w:cs="Arial"/>
                <w:b/>
              </w:rPr>
            </w:pPr>
            <w:r w:rsidRPr="009E6F5F">
              <w:rPr>
                <w:rFonts w:cs="Arial"/>
                <w:b/>
              </w:rPr>
              <w:t>Guida utente</w:t>
            </w:r>
          </w:p>
        </w:tc>
      </w:tr>
      <w:tr w:rsidR="00176861" w:rsidRPr="009E6F5F" w14:paraId="3AAA0F21" w14:textId="77777777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AAA0F1E" w14:textId="77777777" w:rsidR="00176861" w:rsidRPr="009E6F5F" w:rsidRDefault="00176861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3AAA0F1F" w14:textId="77777777" w:rsidR="00176861" w:rsidRPr="009E6F5F" w:rsidRDefault="0017686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4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3AAA0F20" w14:textId="77777777" w:rsidR="00176861" w:rsidRPr="009E6F5F" w:rsidRDefault="0017686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176861" w:rsidRPr="009E6F5F" w14:paraId="3AAA0F24" w14:textId="77777777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AAA0F22" w14:textId="77777777" w:rsidR="00176861" w:rsidRPr="009E6F5F" w:rsidRDefault="00176861">
            <w:pPr>
              <w:rPr>
                <w:color w:val="000000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14:paraId="3AAA0F23" w14:textId="77777777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9E6F5F"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176861" w:rsidRPr="009E6F5F" w14:paraId="3AAA0F28" w14:textId="77777777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AAA0F25" w14:textId="77777777" w:rsidR="00176861" w:rsidRPr="009E6F5F" w:rsidRDefault="00176861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26" w14:textId="77777777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9E6F5F">
              <w:rPr>
                <w:rFonts w:ascii="Arial" w:hAnsi="Arial" w:cs="Arial"/>
                <w:b/>
              </w:rPr>
              <w:t>GECOM EMENS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27" w14:textId="13A087B7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9E6F5F">
              <w:rPr>
                <w:rFonts w:ascii="Arial" w:hAnsi="Arial" w:cs="Arial"/>
                <w:b/>
              </w:rPr>
              <w:t>Versione  2018</w:t>
            </w:r>
            <w:proofErr w:type="gramEnd"/>
            <w:r w:rsidRPr="009E6F5F">
              <w:rPr>
                <w:rFonts w:ascii="Arial" w:hAnsi="Arial" w:cs="Arial"/>
                <w:b/>
              </w:rPr>
              <w:t>.</w:t>
            </w:r>
            <w:r w:rsidR="00486D53" w:rsidRPr="009E6F5F">
              <w:rPr>
                <w:rFonts w:ascii="Arial" w:hAnsi="Arial" w:cs="Arial"/>
                <w:b/>
              </w:rPr>
              <w:t>2</w:t>
            </w:r>
            <w:r w:rsidRPr="009E6F5F">
              <w:rPr>
                <w:rFonts w:ascii="Arial" w:hAnsi="Arial" w:cs="Arial"/>
                <w:b/>
              </w:rPr>
              <w:t>.0</w:t>
            </w:r>
          </w:p>
        </w:tc>
      </w:tr>
      <w:tr w:rsidR="00176861" w:rsidRPr="009E6F5F" w14:paraId="3AAA0F2C" w14:textId="77777777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AAA0F29" w14:textId="77777777" w:rsidR="00176861" w:rsidRPr="009E6F5F" w:rsidRDefault="00176861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2A" w14:textId="77777777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9E6F5F"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2B" w14:textId="08FBE3D1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9E6F5F">
              <w:rPr>
                <w:rFonts w:ascii="Arial" w:hAnsi="Arial" w:cs="Arial"/>
                <w:b/>
              </w:rPr>
              <w:t>Versione  2018</w:t>
            </w:r>
            <w:proofErr w:type="gramEnd"/>
            <w:r w:rsidRPr="009E6F5F">
              <w:rPr>
                <w:rFonts w:ascii="Arial" w:hAnsi="Arial" w:cs="Arial"/>
                <w:b/>
              </w:rPr>
              <w:t>.1.</w:t>
            </w:r>
            <w:r w:rsidR="005D27FF" w:rsidRPr="009E6F5F">
              <w:rPr>
                <w:rFonts w:ascii="Arial" w:hAnsi="Arial" w:cs="Arial"/>
                <w:b/>
              </w:rPr>
              <w:t>2</w:t>
            </w:r>
          </w:p>
        </w:tc>
      </w:tr>
      <w:tr w:rsidR="00176861" w:rsidRPr="009E6F5F" w14:paraId="3AAA0F30" w14:textId="77777777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AAA0F2D" w14:textId="77777777" w:rsidR="00176861" w:rsidRPr="009E6F5F" w:rsidRDefault="00176861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2E" w14:textId="77777777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9E6F5F"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2F" w14:textId="19FB59EB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9E6F5F">
              <w:rPr>
                <w:rFonts w:ascii="Arial" w:hAnsi="Arial" w:cs="Arial"/>
                <w:b/>
              </w:rPr>
              <w:t>Versione  2018</w:t>
            </w:r>
            <w:proofErr w:type="gramEnd"/>
            <w:r w:rsidRPr="009E6F5F">
              <w:rPr>
                <w:rFonts w:ascii="Arial" w:hAnsi="Arial" w:cs="Arial"/>
                <w:b/>
              </w:rPr>
              <w:t>.</w:t>
            </w:r>
            <w:r w:rsidR="00212BBC" w:rsidRPr="009E6F5F">
              <w:rPr>
                <w:rFonts w:ascii="Arial" w:hAnsi="Arial" w:cs="Arial"/>
                <w:b/>
              </w:rPr>
              <w:t>5</w:t>
            </w:r>
            <w:r w:rsidRPr="009E6F5F">
              <w:rPr>
                <w:rFonts w:ascii="Arial" w:hAnsi="Arial" w:cs="Arial"/>
                <w:b/>
              </w:rPr>
              <w:t>.</w:t>
            </w:r>
            <w:r w:rsidR="00294E75" w:rsidRPr="009E6F5F">
              <w:rPr>
                <w:rFonts w:ascii="Arial" w:hAnsi="Arial" w:cs="Arial"/>
                <w:b/>
              </w:rPr>
              <w:t>0</w:t>
            </w:r>
          </w:p>
        </w:tc>
      </w:tr>
      <w:tr w:rsidR="00176861" w:rsidRPr="009E6F5F" w14:paraId="3AAA0F34" w14:textId="77777777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AAA0F31" w14:textId="77777777" w:rsidR="00176861" w:rsidRPr="009E6F5F" w:rsidRDefault="00176861">
            <w:pPr>
              <w:rPr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32" w14:textId="77777777" w:rsidR="00176861" w:rsidRPr="009E6F5F" w:rsidRDefault="0017686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AAA0F33" w14:textId="77777777" w:rsidR="00176861" w:rsidRPr="009E6F5F" w:rsidRDefault="00176861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 w:rsidR="00176861" w:rsidRPr="009E6F5F" w14:paraId="3AAA0F37" w14:textId="77777777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AA0F35" w14:textId="77777777" w:rsidR="00176861" w:rsidRPr="009E6F5F" w:rsidRDefault="00176861">
            <w:pPr>
              <w:pStyle w:val="Titoloindice"/>
              <w:rPr>
                <w:color w:val="000000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AAA0F36" w14:textId="77777777" w:rsidR="00176861" w:rsidRPr="009E6F5F" w:rsidRDefault="00E5788E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6F5F"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 w14:paraId="3AAA0F38" w14:textId="77777777" w:rsidR="00176861" w:rsidRPr="009E6F5F" w:rsidRDefault="00176861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 w:rsidR="00176861" w:rsidRPr="009E6F5F" w14:paraId="3AAA0F3A" w14:textId="77777777"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 w14:paraId="3AAA0F39" w14:textId="77777777" w:rsidR="00176861" w:rsidRPr="009E6F5F" w:rsidRDefault="00E5788E">
            <w:pPr>
              <w:pStyle w:val="WWContenutoRilascio"/>
            </w:pPr>
            <w:r w:rsidRPr="009E6F5F">
              <w:t>Contenuto del rilascio</w:t>
            </w:r>
          </w:p>
        </w:tc>
      </w:tr>
      <w:tr w:rsidR="00176861" w:rsidRPr="009E6F5F" w14:paraId="3AAA0F61" w14:textId="77777777">
        <w:trPr>
          <w:jc w:val="center"/>
        </w:trPr>
        <w:tc>
          <w:tcPr>
            <w:tcW w:w="9629" w:type="dxa"/>
          </w:tcPr>
          <w:p w14:paraId="52EECB5F" w14:textId="7499738E" w:rsidR="00421197" w:rsidRPr="009E6F5F" w:rsidRDefault="00421197" w:rsidP="009D2220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 xml:space="preserve">CONGELA </w:t>
            </w:r>
            <w:r w:rsidR="00B5782A" w:rsidRPr="009E6F5F">
              <w:rPr>
                <w:b/>
                <w:sz w:val="22"/>
                <w:szCs w:val="22"/>
              </w:rPr>
              <w:t>–</w:t>
            </w:r>
            <w:r w:rsidRPr="009E6F5F">
              <w:rPr>
                <w:b/>
                <w:sz w:val="22"/>
                <w:szCs w:val="22"/>
              </w:rPr>
              <w:t xml:space="preserve"> </w:t>
            </w:r>
            <w:r w:rsidR="00B5782A" w:rsidRPr="009E6F5F">
              <w:rPr>
                <w:b/>
                <w:sz w:val="22"/>
                <w:szCs w:val="22"/>
              </w:rPr>
              <w:t>Storicizzazione archivi e programmi PAGHE</w:t>
            </w:r>
          </w:p>
          <w:p w14:paraId="3DF30D4A" w14:textId="44A16680" w:rsidR="00B5782A" w:rsidRPr="009E6F5F" w:rsidRDefault="00C944B9" w:rsidP="00B5782A">
            <w:pPr>
              <w:pStyle w:val="corpoAltF"/>
              <w:ind w:left="454" w:right="170"/>
            </w:pPr>
            <w:r w:rsidRPr="009E6F5F">
              <w:t>Da gennaio 2019 sarà dismessa l’utility SGD “CONGELA”. L’utility consentiva di duplicare archivi e programmi di un applicativo ed accedervi successivamente da una Start duplicata. La funzionalità non viene mantenuta perché non sussistono più motivazioni tecniche che ne richiedano l’utilizzo.</w:t>
            </w:r>
          </w:p>
          <w:p w14:paraId="6A157238" w14:textId="73B4C834" w:rsidR="006B7367" w:rsidRPr="009E6F5F" w:rsidRDefault="006B7367" w:rsidP="009D2220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>CCNL Edilizia – Fondo Nazionale assistenza sanitaria integrativa settore edile</w:t>
            </w:r>
          </w:p>
          <w:p w14:paraId="2B6B56E2" w14:textId="4C02EE04" w:rsidR="0058440B" w:rsidRPr="009E6F5F" w:rsidRDefault="006B7367" w:rsidP="006B7367">
            <w:pPr>
              <w:pStyle w:val="corpoAltF"/>
              <w:ind w:left="454" w:right="170"/>
            </w:pPr>
            <w:r w:rsidRPr="009E6F5F">
              <w:t>In attesa di ulteriori chiarimenti, implementato il programma per gestire il calcolo della contribuzione da versare al Fondo in esame, sia per la quota corrente che arretrata</w:t>
            </w:r>
            <w:r w:rsidR="0058440B" w:rsidRPr="009E6F5F">
              <w:t xml:space="preserve"> (mesi di ottobre e novembre 2018)</w:t>
            </w:r>
            <w:r w:rsidRPr="009E6F5F">
              <w:t>, in funzione delle informazioni ad oggi disponibili.</w:t>
            </w:r>
            <w:r w:rsidR="0058440B" w:rsidRPr="009E6F5F">
              <w:t xml:space="preserve"> Implementato inoltre per calcolare l’arretrato al Fondo nazionale prepensionamenti ed al Fondo incentivo all’occupazione (Accordo di rinnovo del CCNL del settore Edilizia Industria e Cooperative del 18 luglio 2018; Comunicazione CNCE N. 39 del 26/10/2018 e n. 640 del 30/10/2018).</w:t>
            </w:r>
          </w:p>
          <w:p w14:paraId="390E1ADF" w14:textId="26ED7D93" w:rsidR="0010221B" w:rsidRPr="009E6F5F" w:rsidRDefault="0010221B" w:rsidP="009D2220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>R</w:t>
            </w:r>
            <w:r w:rsidR="008905B4" w:rsidRPr="009E6F5F">
              <w:rPr>
                <w:b/>
                <w:sz w:val="22"/>
                <w:szCs w:val="22"/>
              </w:rPr>
              <w:t xml:space="preserve">iduzione contributiva </w:t>
            </w:r>
            <w:r w:rsidR="004520FC" w:rsidRPr="009E6F5F">
              <w:rPr>
                <w:b/>
                <w:sz w:val="22"/>
                <w:szCs w:val="22"/>
              </w:rPr>
              <w:t>per il settore Edilizia</w:t>
            </w:r>
          </w:p>
          <w:p w14:paraId="04FF67BC" w14:textId="7FC931D6" w:rsidR="00CE1E71" w:rsidRPr="009E6F5F" w:rsidRDefault="008C4C15" w:rsidP="00CE1E71">
            <w:pPr>
              <w:pStyle w:val="corpoAltF"/>
              <w:ind w:left="454" w:right="170"/>
            </w:pPr>
            <w:r w:rsidRPr="009E6F5F">
              <w:t xml:space="preserve">In funzione della Circolare INPS n. 115 del 13/12/2018, il programma </w:t>
            </w:r>
            <w:r w:rsidR="00C34344" w:rsidRPr="009E6F5F">
              <w:t>è stato allineato per consentire la gestione</w:t>
            </w:r>
            <w:r w:rsidR="00CE1E71" w:rsidRPr="009E6F5F">
              <w:t xml:space="preserve"> della riduzione contributiva prevista per gli operai a tempo pieno del settore edile dall’art. 29 del D.L. 244/1995 e successive modifiche e integrazioni, nella misura del 11,50%.</w:t>
            </w:r>
          </w:p>
          <w:p w14:paraId="33D0C8E0" w14:textId="4F7008F5" w:rsidR="00426369" w:rsidRPr="009E6F5F" w:rsidRDefault="00426369" w:rsidP="00426369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 xml:space="preserve">UTYFASS - </w:t>
            </w:r>
            <w:bookmarkStart w:id="0" w:name="_Toc533095037"/>
            <w:r w:rsidRPr="009E6F5F">
              <w:rPr>
                <w:b/>
                <w:sz w:val="22"/>
                <w:szCs w:val="22"/>
              </w:rPr>
              <w:t>Variazione deducibilità contributi Enti assistenziali</w:t>
            </w:r>
            <w:bookmarkEnd w:id="0"/>
          </w:p>
          <w:p w14:paraId="6BB71529" w14:textId="3AD6D478" w:rsidR="00426369" w:rsidRDefault="00426369" w:rsidP="00426369">
            <w:pPr>
              <w:pStyle w:val="corpoAltF"/>
              <w:ind w:left="454" w:right="170"/>
            </w:pPr>
            <w:r w:rsidRPr="009E6F5F">
              <w:t xml:space="preserve">Implementato il programma per poter effettuare l’elaborazione contemporaneamente per più enti </w:t>
            </w:r>
            <w:r w:rsidR="00C31456" w:rsidRPr="009E6F5F">
              <w:t>sanitari</w:t>
            </w:r>
            <w:r w:rsidRPr="009E6F5F">
              <w:t xml:space="preserve"> e/o bilaterali </w:t>
            </w:r>
            <w:r w:rsidR="00C31456" w:rsidRPr="009E6F5F">
              <w:t>ed</w:t>
            </w:r>
            <w:r w:rsidRPr="009E6F5F">
              <w:t xml:space="preserve"> anche nel caso in cui l’impostazione attuale del campo “</w:t>
            </w:r>
            <w:r w:rsidRPr="009E6F5F">
              <w:rPr>
                <w:i/>
              </w:rPr>
              <w:t>Contributi deducibili</w:t>
            </w:r>
            <w:r w:rsidRPr="009E6F5F">
              <w:t xml:space="preserve">” di </w:t>
            </w:r>
            <w:r w:rsidRPr="009E6F5F">
              <w:rPr>
                <w:b/>
              </w:rPr>
              <w:t>TB0305</w:t>
            </w:r>
            <w:r w:rsidRPr="009E6F5F">
              <w:t xml:space="preserve"> sia pari a “N”</w:t>
            </w:r>
            <w:r w:rsidR="00C31456" w:rsidRPr="009E6F5F">
              <w:t>.</w:t>
            </w:r>
          </w:p>
          <w:p w14:paraId="53740A0B" w14:textId="7A5A3F44" w:rsidR="00A105A6" w:rsidRDefault="00A105A6" w:rsidP="00623EBB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FLAGT10 </w:t>
            </w:r>
            <w:r w:rsidR="004D4A00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D4A00">
              <w:rPr>
                <w:b/>
                <w:sz w:val="22"/>
                <w:szCs w:val="22"/>
              </w:rPr>
              <w:t>Aggiornamento flag Imposta sostitutiva dl. 208/2015</w:t>
            </w:r>
          </w:p>
          <w:p w14:paraId="4607BA1F" w14:textId="7BDFFE11" w:rsidR="004D4A00" w:rsidRDefault="004D4A00" w:rsidP="004D4A00">
            <w:pPr>
              <w:pStyle w:val="corpoAltF"/>
              <w:ind w:left="454" w:right="170"/>
            </w:pPr>
            <w:r>
              <w:t xml:space="preserve">Modificato il programma con riferimento ai </w:t>
            </w:r>
            <w:r>
              <w:t xml:space="preserve">soggetti beneficiari degli incentivi fiscali previsti </w:t>
            </w:r>
            <w:r w:rsidRPr="004D4A00">
              <w:t>per il rientro di lavoratori in Italia (L.</w:t>
            </w:r>
            <w:r>
              <w:t xml:space="preserve"> 238/2010 e </w:t>
            </w:r>
            <w:proofErr w:type="spellStart"/>
            <w:r>
              <w:t>D.Lgs</w:t>
            </w:r>
            <w:proofErr w:type="spellEnd"/>
            <w:r>
              <w:t xml:space="preserve"> 147/2015), al fine di considerare </w:t>
            </w:r>
            <w:r>
              <w:t>ne</w:t>
            </w:r>
            <w:r>
              <w:t xml:space="preserve">l reddito </w:t>
            </w:r>
            <w:r>
              <w:t>d</w:t>
            </w:r>
            <w:r>
              <w:t>ell’anno precedente</w:t>
            </w:r>
            <w:r>
              <w:t xml:space="preserve"> anche l’importo del reddito esente. Inoltre, </w:t>
            </w:r>
            <w:r w:rsidR="00BA4258">
              <w:t xml:space="preserve">il programma </w:t>
            </w:r>
            <w:r>
              <w:t>è stat</w:t>
            </w:r>
            <w:r w:rsidR="00BA4258">
              <w:t>o</w:t>
            </w:r>
            <w:r>
              <w:t xml:space="preserve"> implementat</w:t>
            </w:r>
            <w:r w:rsidR="00BA4258">
              <w:t>o</w:t>
            </w:r>
            <w:r>
              <w:t xml:space="preserve"> </w:t>
            </w:r>
            <w:r w:rsidR="00BA4258">
              <w:t xml:space="preserve">per consentire la generazione di </w:t>
            </w:r>
            <w:r>
              <w:t>una stampa di verifica dell’elaborazione in oggetto.</w:t>
            </w:r>
          </w:p>
          <w:p w14:paraId="0B46EF07" w14:textId="7B53A87F" w:rsidR="00A105A6" w:rsidRDefault="00A105A6" w:rsidP="00623EBB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DIPE – Oneri deducibili / detraibili</w:t>
            </w:r>
          </w:p>
          <w:p w14:paraId="62ADBCFD" w14:textId="7C6F36CD" w:rsidR="00A105A6" w:rsidRPr="00A105A6" w:rsidRDefault="00A105A6" w:rsidP="00A105A6">
            <w:pPr>
              <w:pStyle w:val="corpoAltF"/>
              <w:ind w:left="454" w:right="170"/>
            </w:pPr>
            <w:r>
              <w:t>A</w:t>
            </w:r>
            <w:r w:rsidR="00BA4258">
              <w:t>i fini delle operazioni di conguaglio 2018, a</w:t>
            </w:r>
            <w:r>
              <w:t>ggiornata la sezione “</w:t>
            </w:r>
            <w:r>
              <w:rPr>
                <w:i/>
              </w:rPr>
              <w:t>Altri dati &gt; Oneri</w:t>
            </w:r>
            <w:r>
              <w:t xml:space="preserve">” di </w:t>
            </w:r>
            <w:r>
              <w:rPr>
                <w:b/>
              </w:rPr>
              <w:t>DIPE</w:t>
            </w:r>
            <w:r>
              <w:t xml:space="preserve"> con riferimento agli oneri deducibili e detraibili previsti per il periodo d’imposta 2018.</w:t>
            </w:r>
          </w:p>
          <w:p w14:paraId="3BE09FDF" w14:textId="5618AA37" w:rsidR="00623EBB" w:rsidRPr="009E6F5F" w:rsidRDefault="00623EBB" w:rsidP="00623EBB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>Sviluppo automatico settore agricoltura</w:t>
            </w:r>
          </w:p>
          <w:p w14:paraId="336213B1" w14:textId="77777777" w:rsidR="00623EBB" w:rsidRPr="009E6F5F" w:rsidRDefault="00623EBB" w:rsidP="00623EBB">
            <w:pPr>
              <w:pStyle w:val="corpoAltF"/>
              <w:ind w:left="454" w:right="170"/>
            </w:pPr>
            <w:r w:rsidRPr="009E6F5F">
              <w:t>Abilitata la gestione della banca ore p</w:t>
            </w:r>
            <w:bookmarkStart w:id="1" w:name="_GoBack"/>
            <w:bookmarkEnd w:id="1"/>
            <w:r w:rsidRPr="009E6F5F">
              <w:t>er gli operai del settore in oggetto.</w:t>
            </w:r>
          </w:p>
          <w:p w14:paraId="17EA3F49" w14:textId="15155010" w:rsidR="00843DBD" w:rsidRPr="009E6F5F" w:rsidRDefault="00843DBD" w:rsidP="00843DBD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lastRenderedPageBreak/>
              <w:t>Controlli automatici del cedolino</w:t>
            </w:r>
          </w:p>
          <w:p w14:paraId="108A8DD1" w14:textId="5054F92D" w:rsidR="00843DBD" w:rsidRPr="009E6F5F" w:rsidRDefault="00843DBD" w:rsidP="00843DBD">
            <w:pPr>
              <w:pStyle w:val="corpoAltF"/>
              <w:ind w:left="454" w:right="170"/>
            </w:pPr>
            <w:r w:rsidRPr="009E6F5F">
              <w:t xml:space="preserve">Implementati nuovi controlli fissi ed implementato il comando </w:t>
            </w:r>
            <w:r w:rsidRPr="009E6F5F">
              <w:rPr>
                <w:b/>
              </w:rPr>
              <w:t>CEDCTR</w:t>
            </w:r>
            <w:r w:rsidRPr="009E6F5F">
              <w:t xml:space="preserve"> per evidenziare la condizione specifica collegata al controllo che ha generato la segnalazione.</w:t>
            </w:r>
          </w:p>
          <w:p w14:paraId="0385DF55" w14:textId="16484037" w:rsidR="00B24AF9" w:rsidRPr="009E6F5F" w:rsidRDefault="00101965" w:rsidP="009D2220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>TB0305 / TB0801</w:t>
            </w:r>
          </w:p>
          <w:p w14:paraId="6CD444EF" w14:textId="286932E0" w:rsidR="00101965" w:rsidRPr="009E6F5F" w:rsidRDefault="00E917CB" w:rsidP="00101965">
            <w:pPr>
              <w:pStyle w:val="corpoAltF"/>
              <w:ind w:left="454" w:right="170"/>
            </w:pPr>
            <w:r w:rsidRPr="009E6F5F">
              <w:t>Creazione e modifica codici enti interni e codici fondi interni.</w:t>
            </w:r>
          </w:p>
          <w:p w14:paraId="216F7A1F" w14:textId="17135C5B" w:rsidR="00623EBB" w:rsidRPr="009E6F5F" w:rsidRDefault="00623EBB" w:rsidP="00623EBB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>TB0901 – Tabella malattia</w:t>
            </w:r>
          </w:p>
          <w:p w14:paraId="7502AF0D" w14:textId="0E195FA9" w:rsidR="00623EBB" w:rsidRPr="009E6F5F" w:rsidRDefault="00623EBB" w:rsidP="00623EBB">
            <w:pPr>
              <w:pStyle w:val="corpoAltF"/>
              <w:ind w:left="454" w:right="170"/>
            </w:pPr>
            <w:r w:rsidRPr="009E6F5F">
              <w:t>Viene fornito il nuovo codic</w:t>
            </w:r>
            <w:r w:rsidR="00373590" w:rsidRPr="009E6F5F">
              <w:t>e</w:t>
            </w:r>
            <w:r w:rsidRPr="009E6F5F">
              <w:t xml:space="preserve"> tabella comporto </w:t>
            </w:r>
            <w:r w:rsidR="00373590" w:rsidRPr="009E6F5F">
              <w:rPr>
                <w:b/>
              </w:rPr>
              <w:t>8442</w:t>
            </w:r>
            <w:r w:rsidRPr="009E6F5F">
              <w:t xml:space="preserve"> - CCNL Studi Professionali (</w:t>
            </w:r>
            <w:r w:rsidRPr="009E6F5F">
              <w:rPr>
                <w:b/>
              </w:rPr>
              <w:t>CONTRA</w:t>
            </w:r>
            <w:r w:rsidRPr="009E6F5F">
              <w:t xml:space="preserve"> codici contratto </w:t>
            </w:r>
            <w:r w:rsidRPr="009E6F5F">
              <w:rPr>
                <w:b/>
              </w:rPr>
              <w:t>8441</w:t>
            </w:r>
            <w:r w:rsidRPr="009E6F5F">
              <w:t xml:space="preserve">, </w:t>
            </w:r>
            <w:r w:rsidRPr="009E6F5F">
              <w:rPr>
                <w:b/>
              </w:rPr>
              <w:t>8442</w:t>
            </w:r>
            <w:r w:rsidRPr="009E6F5F">
              <w:t xml:space="preserve">, </w:t>
            </w:r>
            <w:r w:rsidRPr="009E6F5F">
              <w:rPr>
                <w:b/>
              </w:rPr>
              <w:t>8450</w:t>
            </w:r>
            <w:r w:rsidRPr="009E6F5F">
              <w:t xml:space="preserve">, </w:t>
            </w:r>
            <w:r w:rsidRPr="009E6F5F">
              <w:rPr>
                <w:b/>
              </w:rPr>
              <w:t>8451</w:t>
            </w:r>
            <w:r w:rsidRPr="009E6F5F">
              <w:t xml:space="preserve"> e </w:t>
            </w:r>
            <w:r w:rsidRPr="009E6F5F">
              <w:rPr>
                <w:b/>
              </w:rPr>
              <w:t>8452</w:t>
            </w:r>
            <w:r w:rsidRPr="009E6F5F">
              <w:t>);</w:t>
            </w:r>
          </w:p>
          <w:p w14:paraId="03026A0E" w14:textId="45161DD5" w:rsidR="00623EBB" w:rsidRPr="009E6F5F" w:rsidRDefault="00623EBB" w:rsidP="00623EBB">
            <w:pPr>
              <w:pStyle w:val="corpoAltF"/>
              <w:spacing w:before="60"/>
              <w:ind w:left="454" w:right="170"/>
              <w:rPr>
                <w:i/>
              </w:rPr>
            </w:pPr>
            <w:r w:rsidRPr="009E6F5F">
              <w:rPr>
                <w:b/>
              </w:rPr>
              <w:t>Allegato</w:t>
            </w:r>
            <w:r w:rsidRPr="009E6F5F">
              <w:t>: “</w:t>
            </w:r>
            <w:r w:rsidRPr="009E6F5F">
              <w:rPr>
                <w:i/>
              </w:rPr>
              <w:t>Calcolo_malattia_Codici_tabella_comporto_2018.1.</w:t>
            </w:r>
            <w:r w:rsidR="00BB2355" w:rsidRPr="009E6F5F">
              <w:rPr>
                <w:i/>
              </w:rPr>
              <w:t>8</w:t>
            </w:r>
            <w:r w:rsidRPr="009E6F5F">
              <w:rPr>
                <w:i/>
              </w:rPr>
              <w:t>”.</w:t>
            </w:r>
          </w:p>
          <w:p w14:paraId="30DF7BEB" w14:textId="79243C44" w:rsidR="004D4A00" w:rsidRDefault="004D4A00" w:rsidP="009D2220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TB1102 – Tabella dati presenze per sviluppo automatico</w:t>
            </w:r>
          </w:p>
          <w:p w14:paraId="3F86F134" w14:textId="0A45F145" w:rsidR="004D4A00" w:rsidRPr="009E6F5F" w:rsidRDefault="004D4A00" w:rsidP="004D4A00">
            <w:pPr>
              <w:pStyle w:val="corpoAltF"/>
              <w:ind w:left="454" w:right="170"/>
            </w:pPr>
            <w:r>
              <w:t>I</w:t>
            </w:r>
            <w:r>
              <w:t>nserita la possibilità di determinare le ore di supplementare su base mensile</w:t>
            </w:r>
            <w:r>
              <w:t>.</w:t>
            </w:r>
          </w:p>
          <w:p w14:paraId="04032F35" w14:textId="42C12160" w:rsidR="00F947C4" w:rsidRDefault="00F947C4" w:rsidP="009D2220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VOCI</w:t>
            </w:r>
          </w:p>
          <w:p w14:paraId="67D589CC" w14:textId="5BAC5822" w:rsidR="00F947C4" w:rsidRDefault="00BA4258" w:rsidP="00F947C4">
            <w:pPr>
              <w:pStyle w:val="corpoAltF"/>
              <w:ind w:left="454" w:right="170"/>
            </w:pPr>
            <w:r>
              <w:t>Inserito n</w:t>
            </w:r>
            <w:r w:rsidR="00F947C4">
              <w:t xml:space="preserve">uovo operatore di formula </w:t>
            </w:r>
            <w:r>
              <w:t>utile</w:t>
            </w:r>
            <w:r w:rsidR="00F947C4">
              <w:t xml:space="preserve"> </w:t>
            </w:r>
            <w:r>
              <w:t>per richiamare la quantità di rateo goduta, maturata o residua in un determinato mese precedente.</w:t>
            </w:r>
          </w:p>
          <w:p w14:paraId="2638A1E3" w14:textId="7A2BF92D" w:rsidR="002807BB" w:rsidRPr="009E6F5F" w:rsidRDefault="00D7587C" w:rsidP="009D2220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>PAT INAIL</w:t>
            </w:r>
            <w:r w:rsidR="009A4F47" w:rsidRPr="009E6F5F">
              <w:rPr>
                <w:b/>
                <w:sz w:val="22"/>
                <w:szCs w:val="22"/>
              </w:rPr>
              <w:t xml:space="preserve"> – Funzione Soci</w:t>
            </w:r>
          </w:p>
          <w:p w14:paraId="07FF3F8A" w14:textId="41EDD74B" w:rsidR="007C3C0F" w:rsidRPr="009E6F5F" w:rsidRDefault="0059280C" w:rsidP="00AA0A53">
            <w:pPr>
              <w:pStyle w:val="corpoAltF"/>
              <w:ind w:left="454" w:right="170"/>
            </w:pPr>
            <w:r w:rsidRPr="009E6F5F">
              <w:t>Implementata la funzione “</w:t>
            </w:r>
            <w:r w:rsidRPr="009E6F5F">
              <w:rPr>
                <w:i/>
              </w:rPr>
              <w:t>Soci</w:t>
            </w:r>
            <w:r w:rsidRPr="009E6F5F">
              <w:t xml:space="preserve">”, presente all’interno della PAT INAIL dell’azienda, al fine di consentire la gestione di soci con codice identificativo </w:t>
            </w:r>
            <w:r w:rsidR="0078055B" w:rsidRPr="009E6F5F">
              <w:t xml:space="preserve">fino </w:t>
            </w:r>
            <w:r w:rsidRPr="009E6F5F">
              <w:t>a 4 cifre</w:t>
            </w:r>
            <w:r w:rsidR="0078055B" w:rsidRPr="009E6F5F">
              <w:t>; c</w:t>
            </w:r>
            <w:r w:rsidRPr="009E6F5F">
              <w:t>ontestualmente tale funzione è stata rivista graficamente.</w:t>
            </w:r>
          </w:p>
          <w:p w14:paraId="6B7D0228" w14:textId="4E19A5C5" w:rsidR="002F330C" w:rsidRPr="009E6F5F" w:rsidRDefault="00E7009A" w:rsidP="002F330C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>GEVOCI</w:t>
            </w:r>
            <w:r w:rsidR="00A46D02" w:rsidRPr="009E6F5F">
              <w:rPr>
                <w:b/>
                <w:sz w:val="22"/>
                <w:szCs w:val="22"/>
              </w:rPr>
              <w:t xml:space="preserve"> </w:t>
            </w:r>
            <w:r w:rsidR="002157A7" w:rsidRPr="009E6F5F">
              <w:rPr>
                <w:b/>
                <w:sz w:val="22"/>
                <w:szCs w:val="22"/>
              </w:rPr>
              <w:t>–</w:t>
            </w:r>
            <w:r w:rsidR="00A46D02" w:rsidRPr="009E6F5F">
              <w:rPr>
                <w:b/>
                <w:sz w:val="22"/>
                <w:szCs w:val="22"/>
              </w:rPr>
              <w:t xml:space="preserve"> </w:t>
            </w:r>
            <w:r w:rsidR="002157A7" w:rsidRPr="009E6F5F">
              <w:rPr>
                <w:b/>
                <w:sz w:val="22"/>
                <w:szCs w:val="22"/>
              </w:rPr>
              <w:t xml:space="preserve">Generazione voci per </w:t>
            </w:r>
            <w:proofErr w:type="spellStart"/>
            <w:r w:rsidR="002157A7" w:rsidRPr="009E6F5F">
              <w:rPr>
                <w:b/>
                <w:sz w:val="22"/>
                <w:szCs w:val="22"/>
              </w:rPr>
              <w:t>cedol</w:t>
            </w:r>
            <w:proofErr w:type="spellEnd"/>
            <w:r w:rsidR="00D8402C" w:rsidRPr="009E6F5F">
              <w:rPr>
                <w:b/>
                <w:sz w:val="22"/>
                <w:szCs w:val="22"/>
              </w:rPr>
              <w:t xml:space="preserve"> / Sviluppo manuale</w:t>
            </w:r>
          </w:p>
          <w:p w14:paraId="6795C35D" w14:textId="09AD18FF" w:rsidR="00352632" w:rsidRPr="009E6F5F" w:rsidRDefault="00352632" w:rsidP="00352632">
            <w:pPr>
              <w:pStyle w:val="corpoAltF"/>
              <w:ind w:left="454" w:right="170"/>
            </w:pPr>
            <w:r w:rsidRPr="009E6F5F">
              <w:t>Implementato il comando al fine di consentire l’inserimento delle apposite voci di calcolo utili alla ripartizione dei costi del mese su più centri di costo o repart</w:t>
            </w:r>
            <w:r w:rsidR="00083F46" w:rsidRPr="009E6F5F">
              <w:t>o</w:t>
            </w:r>
            <w:r w:rsidR="00687765" w:rsidRPr="009E6F5F">
              <w:t>.</w:t>
            </w:r>
          </w:p>
          <w:p w14:paraId="3E90058F" w14:textId="11DB6DFF" w:rsidR="009424D7" w:rsidRPr="009E6F5F" w:rsidRDefault="00381658" w:rsidP="009424D7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>STCERCA</w:t>
            </w:r>
            <w:r w:rsidR="00A46D02" w:rsidRPr="009E6F5F">
              <w:rPr>
                <w:b/>
                <w:sz w:val="22"/>
                <w:szCs w:val="22"/>
              </w:rPr>
              <w:t xml:space="preserve"> – Stampa situazione elaborazioni</w:t>
            </w:r>
          </w:p>
          <w:p w14:paraId="1E027885" w14:textId="77777777" w:rsidR="005C5DFC" w:rsidRPr="009E6F5F" w:rsidRDefault="005C5DFC" w:rsidP="00DE6CFD">
            <w:pPr>
              <w:pStyle w:val="corpoAltF"/>
              <w:ind w:left="454" w:right="170"/>
            </w:pPr>
            <w:r w:rsidRPr="009E6F5F">
              <w:t>Entrambe le scelte del comando in oggetto sono state implementate al fine di evidenziare in stampa:</w:t>
            </w:r>
          </w:p>
          <w:p w14:paraId="5FD645A1" w14:textId="06B27184" w:rsidR="005C5DFC" w:rsidRPr="009E6F5F" w:rsidRDefault="005C5DFC" w:rsidP="009E523D">
            <w:pPr>
              <w:pStyle w:val="corpoAltF"/>
              <w:numPr>
                <w:ilvl w:val="0"/>
                <w:numId w:val="38"/>
              </w:numPr>
              <w:spacing w:before="20"/>
              <w:ind w:left="704" w:right="170" w:hanging="284"/>
            </w:pPr>
            <w:r w:rsidRPr="009E6F5F">
              <w:t>il numero dei cedolini del mese in elaborazione per i quali è stato generato, o meno, il flusso relativo al bonifico degli stipendi. A tal fine sono state inserite in stampa le colonne “</w:t>
            </w:r>
            <w:r w:rsidRPr="009E6F5F">
              <w:rPr>
                <w:i/>
              </w:rPr>
              <w:t>Bonificati</w:t>
            </w:r>
            <w:r w:rsidRPr="009E6F5F">
              <w:t>” e “</w:t>
            </w:r>
            <w:r w:rsidRPr="009E6F5F">
              <w:rPr>
                <w:i/>
              </w:rPr>
              <w:t>Da bonificare</w:t>
            </w:r>
            <w:r w:rsidRPr="009E6F5F">
              <w:t>”;</w:t>
            </w:r>
          </w:p>
          <w:p w14:paraId="3A3A1DFC" w14:textId="7538FD25" w:rsidR="005C5DFC" w:rsidRPr="009E6F5F" w:rsidRDefault="005C5DFC" w:rsidP="009E523D">
            <w:pPr>
              <w:pStyle w:val="corpoAltF"/>
              <w:numPr>
                <w:ilvl w:val="0"/>
                <w:numId w:val="38"/>
              </w:numPr>
              <w:spacing w:before="20"/>
              <w:ind w:left="704" w:right="170" w:hanging="284"/>
            </w:pPr>
            <w:r w:rsidRPr="009E6F5F">
              <w:t>se la delega F24 contenente i tributi PAGHE a debito del mese in elaborazione risulta chiusa. A tal fine è stata inserita in stampa la colonna “</w:t>
            </w:r>
            <w:r w:rsidRPr="009E6F5F">
              <w:rPr>
                <w:i/>
              </w:rPr>
              <w:t>Deleghe chiuse</w:t>
            </w:r>
            <w:r w:rsidRPr="009E6F5F">
              <w:t>”;</w:t>
            </w:r>
          </w:p>
          <w:p w14:paraId="629D26FC" w14:textId="52B8A0DD" w:rsidR="005C5DFC" w:rsidRPr="009E6F5F" w:rsidRDefault="005C5DFC" w:rsidP="009E523D">
            <w:pPr>
              <w:pStyle w:val="corpoAltF"/>
              <w:numPr>
                <w:ilvl w:val="0"/>
                <w:numId w:val="38"/>
              </w:numPr>
              <w:spacing w:before="20"/>
              <w:ind w:left="704" w:right="170" w:hanging="284"/>
            </w:pPr>
            <w:r w:rsidRPr="009E6F5F">
              <w:t>il numero dei dipendenti licenziati nei mesi precedenti, a quello impostato al campo “</w:t>
            </w:r>
            <w:r w:rsidRPr="009E6F5F">
              <w:rPr>
                <w:i/>
              </w:rPr>
              <w:t>Mensilità</w:t>
            </w:r>
            <w:r w:rsidRPr="009E6F5F">
              <w:t>”, per i quali occorre erogare il solo TFR. A tal fine è stata inserita in stampa la colonna “</w:t>
            </w:r>
            <w:r w:rsidRPr="009E6F5F">
              <w:rPr>
                <w:i/>
              </w:rPr>
              <w:t>Lic.MP con solo TFR da erogare</w:t>
            </w:r>
            <w:r w:rsidRPr="009E6F5F">
              <w:t>”.</w:t>
            </w:r>
          </w:p>
          <w:p w14:paraId="4E641823" w14:textId="2E9B1FF2" w:rsidR="000C1AFE" w:rsidRPr="009E6F5F" w:rsidRDefault="00900FBB" w:rsidP="000C1AFE">
            <w:pPr>
              <w:pStyle w:val="corpoAltF"/>
              <w:numPr>
                <w:ilvl w:val="0"/>
                <w:numId w:val="2"/>
              </w:numPr>
              <w:tabs>
                <w:tab w:val="clear" w:pos="644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>DMA – Stampa dettaglio contribuzione</w:t>
            </w:r>
          </w:p>
          <w:p w14:paraId="190851ED" w14:textId="60743F71" w:rsidR="00867D2B" w:rsidRPr="009E6F5F" w:rsidRDefault="00867D2B" w:rsidP="00867D2B">
            <w:pPr>
              <w:pStyle w:val="corpoAltF"/>
              <w:ind w:left="454" w:right="170"/>
            </w:pPr>
            <w:r w:rsidRPr="009E6F5F">
              <w:t>Implementata la scelta “</w:t>
            </w:r>
            <w:r w:rsidRPr="009E6F5F">
              <w:rPr>
                <w:i/>
              </w:rPr>
              <w:t>Stampa dettaglio contribuzione</w:t>
            </w:r>
            <w:r w:rsidRPr="009E6F5F">
              <w:t>” la quale consente di esporre la contribuzione mensile dovuta dai dipendenti iscritti alla “Gestione ex INPDAP” suddivisa per specifica cassa, gestione assicurativa e codice tributo F24 di riferimento.</w:t>
            </w:r>
          </w:p>
          <w:p w14:paraId="2C269627" w14:textId="3E6C1F64" w:rsidR="00BA4258" w:rsidRDefault="00BA4258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IMPPRO</w:t>
            </w:r>
          </w:p>
          <w:p w14:paraId="7B860FB5" w14:textId="30DB4EF8" w:rsidR="00BA4258" w:rsidRPr="009E6F5F" w:rsidRDefault="00BA4258" w:rsidP="00BA4258">
            <w:pPr>
              <w:pStyle w:val="corpoAltF"/>
              <w:ind w:left="454" w:right="170"/>
            </w:pPr>
            <w:r>
              <w:t xml:space="preserve">Implementata possibilità di </w:t>
            </w:r>
            <w:r>
              <w:t>importazione di ulteriori pagine dei progressivi dipendente</w:t>
            </w:r>
          </w:p>
          <w:p w14:paraId="3AAA0F5E" w14:textId="2EBD3853" w:rsidR="00176861" w:rsidRPr="009E6F5F" w:rsidRDefault="00E5788E">
            <w:pPr>
              <w:pStyle w:val="corpoAltF"/>
              <w:numPr>
                <w:ilvl w:val="0"/>
                <w:numId w:val="2"/>
              </w:numPr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>Anomalie risolte</w:t>
            </w:r>
          </w:p>
          <w:p w14:paraId="3AAA0F5F" w14:textId="77777777" w:rsidR="00176861" w:rsidRPr="009E6F5F" w:rsidRDefault="00E5788E">
            <w:pPr>
              <w:pStyle w:val="corpoAltF"/>
              <w:ind w:left="454" w:right="170"/>
            </w:pPr>
            <w:r w:rsidRPr="009E6F5F">
              <w:t>Correzione anomalie varie.</w:t>
            </w:r>
          </w:p>
          <w:p w14:paraId="3AAA0F60" w14:textId="77777777" w:rsidR="00176861" w:rsidRPr="009E6F5F" w:rsidRDefault="00176861">
            <w:pPr>
              <w:pStyle w:val="corpoAltF"/>
              <w:ind w:left="454" w:right="170"/>
            </w:pPr>
          </w:p>
        </w:tc>
      </w:tr>
    </w:tbl>
    <w:p w14:paraId="6995BE35" w14:textId="77777777" w:rsidR="00FB1837" w:rsidRPr="009E6F5F" w:rsidRDefault="00FB1837" w:rsidP="00F602E7">
      <w:pPr>
        <w:pStyle w:val="CorpoAltF0"/>
      </w:pPr>
    </w:p>
    <w:p w14:paraId="4E90FABD" w14:textId="77777777" w:rsidR="00B33C54" w:rsidRPr="009E6F5F" w:rsidRDefault="00B33C54">
      <w:pPr>
        <w:pStyle w:val="CorpoAltF0"/>
        <w:jc w:val="left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 w:rsidR="00176861" w:rsidRPr="009E6F5F" w14:paraId="3AAA0F64" w14:textId="77777777"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 w14:paraId="3AAA0F63" w14:textId="77777777" w:rsidR="00176861" w:rsidRPr="009E6F5F" w:rsidRDefault="00E5788E">
            <w:pPr>
              <w:pStyle w:val="WWContenutoRilascio"/>
              <w:rPr>
                <w:rFonts w:cs="Arial"/>
              </w:rPr>
            </w:pPr>
            <w:bookmarkStart w:id="2" w:name="_Toc33011301"/>
            <w:r w:rsidRPr="009E6F5F">
              <w:rPr>
                <w:rFonts w:cs="Arial"/>
              </w:rPr>
              <w:t>Avvertenze</w:t>
            </w:r>
          </w:p>
        </w:tc>
      </w:tr>
      <w:tr w:rsidR="00176861" w:rsidRPr="009E6F5F" w14:paraId="3AAA0F68" w14:textId="77777777">
        <w:trPr>
          <w:jc w:val="center"/>
        </w:trPr>
        <w:tc>
          <w:tcPr>
            <w:tcW w:w="9629" w:type="dxa"/>
          </w:tcPr>
          <w:p w14:paraId="3AAA0F65" w14:textId="77777777" w:rsidR="00176861" w:rsidRPr="009E6F5F" w:rsidRDefault="00176861">
            <w:pPr>
              <w:pStyle w:val="corpoAltF"/>
              <w:ind w:left="134" w:right="170"/>
            </w:pPr>
          </w:p>
          <w:p w14:paraId="3AAA0F66" w14:textId="77777777" w:rsidR="00176861" w:rsidRPr="009E6F5F" w:rsidRDefault="00E5788E">
            <w:pPr>
              <w:pStyle w:val="corpoAltF"/>
              <w:numPr>
                <w:ilvl w:val="0"/>
                <w:numId w:val="6"/>
              </w:numPr>
              <w:tabs>
                <w:tab w:val="clear" w:pos="720"/>
              </w:tabs>
              <w:ind w:left="454" w:right="170" w:hanging="284"/>
              <w:rPr>
                <w:b/>
                <w:sz w:val="22"/>
                <w:szCs w:val="22"/>
              </w:rPr>
            </w:pPr>
            <w:r w:rsidRPr="009E6F5F">
              <w:rPr>
                <w:b/>
                <w:sz w:val="22"/>
                <w:szCs w:val="22"/>
              </w:rPr>
              <w:t>Con l’installazione della presente versione il programma effettua automaticamente la conversione degli archivi.</w:t>
            </w:r>
          </w:p>
          <w:p w14:paraId="3AAA0F67" w14:textId="77777777" w:rsidR="00176861" w:rsidRPr="009E6F5F" w:rsidRDefault="00176861">
            <w:pPr>
              <w:pStyle w:val="corpoAltF"/>
              <w:spacing w:before="120"/>
              <w:ind w:left="454" w:right="170"/>
            </w:pPr>
          </w:p>
        </w:tc>
      </w:tr>
    </w:tbl>
    <w:p w14:paraId="518DDB5B" w14:textId="77777777" w:rsidR="00BA4258" w:rsidRDefault="00BA425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12A50B0D" w14:textId="77777777" w:rsidR="00573991" w:rsidRPr="009E6F5F" w:rsidRDefault="00573991" w:rsidP="00573991">
      <w:pPr>
        <w:rPr>
          <w:rFonts w:ascii="Arial" w:hAnsi="Arial"/>
          <w:sz w:val="20"/>
          <w:szCs w:val="20"/>
        </w:rPr>
      </w:pPr>
    </w:p>
    <w:p w14:paraId="4ED1C2EB" w14:textId="77777777" w:rsidR="00573991" w:rsidRPr="009E6F5F" w:rsidRDefault="00573991" w:rsidP="00573991">
      <w:pPr>
        <w:pStyle w:val="CorpoAltF0"/>
        <w:jc w:val="left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 w:rsidR="00573991" w:rsidRPr="009E6F5F" w14:paraId="1B108763" w14:textId="77777777" w:rsidTr="000C47C4"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 w14:paraId="602F8BBC" w14:textId="77777777" w:rsidR="00573991" w:rsidRPr="009E6F5F" w:rsidRDefault="00573991" w:rsidP="000C47C4">
            <w:pPr>
              <w:pStyle w:val="WWContenutoRilascio"/>
              <w:rPr>
                <w:rFonts w:cs="Arial"/>
              </w:rPr>
            </w:pPr>
            <w:r w:rsidRPr="009E6F5F">
              <w:rPr>
                <w:rFonts w:cs="Arial"/>
              </w:rPr>
              <w:t>Modulo CONTRA</w:t>
            </w:r>
          </w:p>
        </w:tc>
      </w:tr>
      <w:tr w:rsidR="00573991" w:rsidRPr="009E6F5F" w14:paraId="00BA81EE" w14:textId="77777777" w:rsidTr="000C47C4">
        <w:trPr>
          <w:jc w:val="center"/>
        </w:trPr>
        <w:tc>
          <w:tcPr>
            <w:tcW w:w="9629" w:type="dxa"/>
          </w:tcPr>
          <w:p w14:paraId="64269D81" w14:textId="77777777" w:rsidR="00573991" w:rsidRPr="009E6F5F" w:rsidRDefault="00573991" w:rsidP="000C47C4">
            <w:pPr>
              <w:pStyle w:val="corpoAltF"/>
              <w:ind w:left="134" w:right="170"/>
            </w:pPr>
          </w:p>
          <w:p w14:paraId="38755513" w14:textId="36E1F43B" w:rsidR="00573991" w:rsidRPr="009E6F5F" w:rsidRDefault="00573991" w:rsidP="000C47C4">
            <w:pPr>
              <w:pStyle w:val="corpoAltF"/>
              <w:numPr>
                <w:ilvl w:val="0"/>
                <w:numId w:val="6"/>
              </w:numPr>
              <w:tabs>
                <w:tab w:val="clear" w:pos="720"/>
              </w:tabs>
              <w:ind w:left="454" w:right="170" w:hanging="284"/>
            </w:pPr>
            <w:r w:rsidRPr="009E6F5F">
              <w:t>La presente versione contiene la fornitura delle tabelle del modulo CONTRA del mese di Dicembre 2018.</w:t>
            </w:r>
          </w:p>
          <w:p w14:paraId="084D935F" w14:textId="77777777" w:rsidR="00573991" w:rsidRPr="009E6F5F" w:rsidRDefault="00573991" w:rsidP="000C47C4">
            <w:pPr>
              <w:pStyle w:val="corpoAltF"/>
              <w:ind w:left="454" w:right="170"/>
            </w:pPr>
            <w:r w:rsidRPr="009E6F5F">
              <w:t xml:space="preserve">Si precisa che il relativo aggiornamento verrà eseguito automaticamente in fase di installazione, se impostato in </w:t>
            </w:r>
            <w:r w:rsidRPr="009E6F5F">
              <w:rPr>
                <w:b/>
              </w:rPr>
              <w:t>CONTRA</w:t>
            </w:r>
            <w:r w:rsidRPr="009E6F5F">
              <w:t xml:space="preserve"> &gt; “</w:t>
            </w:r>
            <w:r w:rsidRPr="009E6F5F">
              <w:rPr>
                <w:i/>
              </w:rPr>
              <w:t>Aggiornamento automatico</w:t>
            </w:r>
            <w:r w:rsidRPr="009E6F5F">
              <w:t>”, diversamente sarà cura dell’utente effettuare l’aggiornamento mediante la scelta “</w:t>
            </w:r>
            <w:r w:rsidRPr="009E6F5F">
              <w:rPr>
                <w:i/>
              </w:rPr>
              <w:t>Aggiornamento contratti</w:t>
            </w:r>
            <w:r w:rsidRPr="009E6F5F">
              <w:t xml:space="preserve">” del comando </w:t>
            </w:r>
            <w:r w:rsidRPr="009E6F5F">
              <w:rPr>
                <w:b/>
              </w:rPr>
              <w:t>CONTRA</w:t>
            </w:r>
            <w:r w:rsidRPr="009E6F5F">
              <w:t>.</w:t>
            </w:r>
          </w:p>
          <w:p w14:paraId="6A32C199" w14:textId="77777777" w:rsidR="00573991" w:rsidRPr="009E6F5F" w:rsidRDefault="00573991" w:rsidP="000C47C4">
            <w:pPr>
              <w:pStyle w:val="corpoAltF"/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454" w:right="170" w:hanging="284"/>
            </w:pPr>
            <w:r w:rsidRPr="009E6F5F">
              <w:rPr>
                <w:b/>
              </w:rPr>
              <w:t>Tabella Indici Istat</w:t>
            </w:r>
          </w:p>
          <w:p w14:paraId="3839FD4C" w14:textId="5EA668D0" w:rsidR="00573991" w:rsidRPr="009E6F5F" w:rsidRDefault="00573991" w:rsidP="000C47C4">
            <w:pPr>
              <w:pStyle w:val="corpoAltF"/>
              <w:spacing w:before="60"/>
              <w:ind w:left="454" w:right="170"/>
            </w:pPr>
            <w:r w:rsidRPr="009E6F5F">
              <w:t>Con Comunicato del 1</w:t>
            </w:r>
            <w:r w:rsidR="00080420" w:rsidRPr="009E6F5F">
              <w:t>4</w:t>
            </w:r>
            <w:r w:rsidRPr="009E6F5F">
              <w:t xml:space="preserve"> </w:t>
            </w:r>
            <w:r w:rsidR="00816FC6" w:rsidRPr="009E6F5F">
              <w:t>Dicembre</w:t>
            </w:r>
            <w:r w:rsidRPr="009E6F5F">
              <w:t xml:space="preserve"> 2018 l’ISTAT ha fornito l’indice definitivo dei prezzi al consumo per gli operai e gli impiegati valido per il mese di </w:t>
            </w:r>
            <w:r w:rsidR="00816FC6" w:rsidRPr="009E6F5F">
              <w:t>Novembre</w:t>
            </w:r>
            <w:r w:rsidRPr="009E6F5F">
              <w:t xml:space="preserve"> 2018, determinato nella misura di 102,</w:t>
            </w:r>
            <w:r w:rsidR="00816FC6" w:rsidRPr="009E6F5F">
              <w:t>2</w:t>
            </w:r>
            <w:r w:rsidRPr="009E6F5F">
              <w:t>.</w:t>
            </w:r>
          </w:p>
          <w:p w14:paraId="23B729F9" w14:textId="67EC4CD8" w:rsidR="00573991" w:rsidRPr="009E6F5F" w:rsidRDefault="00573991" w:rsidP="000C47C4">
            <w:pPr>
              <w:pStyle w:val="corpoAltF"/>
              <w:ind w:left="454" w:right="170"/>
            </w:pPr>
            <w:r w:rsidRPr="009E6F5F">
              <w:t>Tale valore è stato collegato al campo “</w:t>
            </w:r>
            <w:r w:rsidRPr="009E6F5F">
              <w:rPr>
                <w:i/>
              </w:rPr>
              <w:t xml:space="preserve">Indice </w:t>
            </w:r>
            <w:r w:rsidR="00816FC6" w:rsidRPr="009E6F5F">
              <w:rPr>
                <w:i/>
              </w:rPr>
              <w:t>Novembre</w:t>
            </w:r>
            <w:r w:rsidRPr="009E6F5F">
              <w:t>” ed è stato provvisoriamente indicato anche al campo “</w:t>
            </w:r>
            <w:r w:rsidRPr="009E6F5F">
              <w:rPr>
                <w:i/>
              </w:rPr>
              <w:t xml:space="preserve">Indice </w:t>
            </w:r>
            <w:r w:rsidR="00816FC6" w:rsidRPr="009E6F5F">
              <w:rPr>
                <w:i/>
              </w:rPr>
              <w:t>Dicembre</w:t>
            </w:r>
            <w:r w:rsidRPr="009E6F5F">
              <w:t>”.</w:t>
            </w:r>
          </w:p>
          <w:p w14:paraId="44D1F55F" w14:textId="77777777" w:rsidR="00573991" w:rsidRPr="009E6F5F" w:rsidRDefault="00573991" w:rsidP="000C47C4">
            <w:pPr>
              <w:pStyle w:val="corpoAltF"/>
              <w:ind w:right="170"/>
              <w:rPr>
                <w:b/>
              </w:rPr>
            </w:pPr>
          </w:p>
          <w:p w14:paraId="45BF1507" w14:textId="3758AEA4" w:rsidR="00573991" w:rsidRPr="009E6F5F" w:rsidRDefault="00573991" w:rsidP="000C47C4">
            <w:pPr>
              <w:pStyle w:val="corpoAltF"/>
              <w:ind w:right="170"/>
            </w:pPr>
            <w:r w:rsidRPr="009E6F5F">
              <w:rPr>
                <w:b/>
              </w:rPr>
              <w:t>Allegato:</w:t>
            </w:r>
            <w:r w:rsidRPr="009E6F5F">
              <w:t xml:space="preserve"> “CONTRA_2018010</w:t>
            </w:r>
            <w:r w:rsidR="00FC7791" w:rsidRPr="009E6F5F">
              <w:t>8</w:t>
            </w:r>
            <w:r w:rsidRPr="009E6F5F">
              <w:t xml:space="preserve">” </w:t>
            </w:r>
          </w:p>
          <w:p w14:paraId="4E968D60" w14:textId="77777777" w:rsidR="00573991" w:rsidRPr="009E6F5F" w:rsidRDefault="00573991" w:rsidP="000C47C4">
            <w:pPr>
              <w:pStyle w:val="CorpoAltF0"/>
              <w:spacing w:before="60"/>
            </w:pPr>
          </w:p>
        </w:tc>
      </w:tr>
    </w:tbl>
    <w:p w14:paraId="0E174A13" w14:textId="77777777" w:rsidR="00573991" w:rsidRPr="009E6F5F" w:rsidRDefault="00573991" w:rsidP="00573991">
      <w:pPr>
        <w:pStyle w:val="CorpoAltF0"/>
        <w:jc w:val="left"/>
      </w:pPr>
    </w:p>
    <w:p w14:paraId="2E8180BD" w14:textId="77777777" w:rsidR="00573991" w:rsidRPr="009E6F5F" w:rsidRDefault="00573991" w:rsidP="00573991">
      <w:pPr>
        <w:pStyle w:val="CorpoAltF0"/>
        <w:jc w:val="left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 w:rsidR="00573991" w:rsidRPr="009E6F5F" w14:paraId="326D6765" w14:textId="77777777" w:rsidTr="000C47C4">
        <w:trPr>
          <w:trHeight w:val="221"/>
          <w:jc w:val="center"/>
        </w:trPr>
        <w:tc>
          <w:tcPr>
            <w:tcW w:w="9629" w:type="dxa"/>
            <w:shd w:val="clear" w:color="auto" w:fill="CCCCCC"/>
            <w:vAlign w:val="center"/>
          </w:tcPr>
          <w:p w14:paraId="39349CBA" w14:textId="77777777" w:rsidR="00573991" w:rsidRPr="009E6F5F" w:rsidRDefault="00573991" w:rsidP="000C47C4">
            <w:pPr>
              <w:pStyle w:val="WWContenutoRilascio"/>
              <w:rPr>
                <w:rFonts w:cs="Arial"/>
              </w:rPr>
            </w:pPr>
            <w:r w:rsidRPr="009E6F5F">
              <w:rPr>
                <w:rFonts w:cs="Arial"/>
              </w:rPr>
              <w:t>Aliquote Addizionali Comunali</w:t>
            </w:r>
          </w:p>
        </w:tc>
      </w:tr>
      <w:tr w:rsidR="00573991" w:rsidRPr="009E6F5F" w14:paraId="6FE70249" w14:textId="77777777" w:rsidTr="000C47C4">
        <w:trPr>
          <w:jc w:val="center"/>
        </w:trPr>
        <w:tc>
          <w:tcPr>
            <w:tcW w:w="9629" w:type="dxa"/>
          </w:tcPr>
          <w:p w14:paraId="2A246B5A" w14:textId="77777777" w:rsidR="00573991" w:rsidRPr="009E6F5F" w:rsidRDefault="00573991" w:rsidP="000C47C4">
            <w:pPr>
              <w:pStyle w:val="corpoAltF"/>
              <w:ind w:left="134" w:right="170"/>
            </w:pPr>
          </w:p>
          <w:p w14:paraId="5237377B" w14:textId="696623FE" w:rsidR="00573991" w:rsidRPr="009E6F5F" w:rsidRDefault="00573991" w:rsidP="000C47C4">
            <w:pPr>
              <w:pStyle w:val="corpoAltF"/>
              <w:ind w:left="134" w:right="170"/>
            </w:pPr>
            <w:r w:rsidRPr="009E6F5F">
              <w:t xml:space="preserve">Viene fornito il file delle aliquote e delle esenzioni relative alle addizionali comunali per l’anno 2018, elaborato da Teamsystem sulla base del file ministeriale aggiornato alla data del </w:t>
            </w:r>
            <w:r w:rsidR="0067698F" w:rsidRPr="009E6F5F">
              <w:t>1</w:t>
            </w:r>
            <w:r w:rsidR="000A2153" w:rsidRPr="009E6F5F">
              <w:t>8</w:t>
            </w:r>
            <w:r w:rsidRPr="009E6F5F">
              <w:t>/1</w:t>
            </w:r>
            <w:r w:rsidR="0067698F" w:rsidRPr="009E6F5F">
              <w:t>2</w:t>
            </w:r>
            <w:r w:rsidRPr="009E6F5F">
              <w:t xml:space="preserve">/2018, utile all’aggiornamento della relativa tabella </w:t>
            </w:r>
            <w:r w:rsidRPr="009E6F5F">
              <w:rPr>
                <w:b/>
              </w:rPr>
              <w:t>TB0406</w:t>
            </w:r>
            <w:r w:rsidRPr="009E6F5F">
              <w:t>.</w:t>
            </w:r>
          </w:p>
          <w:p w14:paraId="2B585715" w14:textId="77777777" w:rsidR="00573991" w:rsidRPr="009E6F5F" w:rsidRDefault="00573991" w:rsidP="000C47C4">
            <w:pPr>
              <w:pStyle w:val="corpoAltF"/>
              <w:spacing w:before="60"/>
              <w:ind w:left="136" w:right="170"/>
            </w:pPr>
            <w:r w:rsidRPr="009E6F5F">
              <w:t>Per gli utenti in possesso della licenza CONTRA e nel caso di impostazione dell’aggiornamento automatico delle addizionali comunali (</w:t>
            </w:r>
            <w:r w:rsidRPr="009E6F5F">
              <w:rPr>
                <w:b/>
              </w:rPr>
              <w:t>CONTRA</w:t>
            </w:r>
            <w:r w:rsidRPr="009E6F5F">
              <w:t xml:space="preserve"> &gt; “</w:t>
            </w:r>
            <w:r w:rsidRPr="009E6F5F">
              <w:rPr>
                <w:i/>
              </w:rPr>
              <w:t>Aggiornamento automatico</w:t>
            </w:r>
            <w:r w:rsidRPr="009E6F5F">
              <w:t>” campo “</w:t>
            </w:r>
            <w:r w:rsidRPr="009E6F5F">
              <w:rPr>
                <w:i/>
              </w:rPr>
              <w:t>Addizionali</w:t>
            </w:r>
            <w:r w:rsidRPr="009E6F5F">
              <w:t>”), l’aggiornamento verrà eseguito in fase di installazione della presente versione PAGHE.</w:t>
            </w:r>
          </w:p>
          <w:p w14:paraId="77117B98" w14:textId="77777777" w:rsidR="00573991" w:rsidRPr="009E6F5F" w:rsidRDefault="00573991" w:rsidP="000C47C4">
            <w:pPr>
              <w:pStyle w:val="corpoAltF"/>
              <w:spacing w:before="60"/>
              <w:ind w:left="136" w:right="170"/>
            </w:pPr>
            <w:r w:rsidRPr="009E6F5F">
              <w:t xml:space="preserve">Diversamente sarà cura dell’utente effettuare l’aggiornamento della suddetta tabella mediante l’esecuzione del comando </w:t>
            </w:r>
            <w:r w:rsidRPr="009E6F5F">
              <w:rPr>
                <w:b/>
              </w:rPr>
              <w:t>AGGADD</w:t>
            </w:r>
            <w:r w:rsidRPr="009E6F5F">
              <w:t>.</w:t>
            </w:r>
          </w:p>
          <w:p w14:paraId="74BF748C" w14:textId="77777777" w:rsidR="00573991" w:rsidRPr="009E6F5F" w:rsidRDefault="00573991" w:rsidP="000C47C4">
            <w:pPr>
              <w:pStyle w:val="corpoAltF"/>
              <w:spacing w:before="60"/>
              <w:ind w:left="136" w:right="170"/>
            </w:pPr>
          </w:p>
        </w:tc>
      </w:tr>
    </w:tbl>
    <w:p w14:paraId="0C4FAC39" w14:textId="77777777" w:rsidR="00573991" w:rsidRPr="009E6F5F" w:rsidRDefault="00573991" w:rsidP="00573991">
      <w:pPr>
        <w:pStyle w:val="CorpoAltF0"/>
        <w:jc w:val="left"/>
      </w:pPr>
    </w:p>
    <w:p w14:paraId="3AAA0F69" w14:textId="75FEF8D3" w:rsidR="00F7140A" w:rsidRPr="009E6F5F" w:rsidRDefault="00F7140A">
      <w:pPr>
        <w:pStyle w:val="CorpoAltF0"/>
        <w:jc w:val="left"/>
      </w:pPr>
    </w:p>
    <w:p w14:paraId="3AAA0F81" w14:textId="77777777" w:rsidR="00176861" w:rsidRPr="009E6F5F" w:rsidRDefault="00E5788E">
      <w:pPr>
        <w:pStyle w:val="Ignora"/>
      </w:pPr>
      <w:r w:rsidRPr="009E6F5F">
        <w:br w:type="page"/>
      </w:r>
    </w:p>
    <w:p w14:paraId="3AAA0F82" w14:textId="77777777" w:rsidR="00176861" w:rsidRPr="009E6F5F" w:rsidRDefault="00176861"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29"/>
      </w:tblGrid>
      <w:tr w:rsidR="00176861" w:rsidRPr="009E6F5F" w14:paraId="3AAA0F84" w14:textId="77777777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14:paraId="3AAA0F83" w14:textId="77777777" w:rsidR="00176861" w:rsidRPr="009E6F5F" w:rsidRDefault="00E5788E">
            <w:pPr>
              <w:pStyle w:val="WWContenutoRilascio"/>
              <w:rPr>
                <w:rFonts w:cs="Arial"/>
              </w:rPr>
            </w:pPr>
            <w:r w:rsidRPr="009E6F5F">
              <w:rPr>
                <w:rFonts w:cs="Arial"/>
              </w:rPr>
              <w:t>Note di installazione</w:t>
            </w:r>
          </w:p>
        </w:tc>
      </w:tr>
    </w:tbl>
    <w:p w14:paraId="3AAA0F85" w14:textId="77777777" w:rsidR="00176861" w:rsidRPr="009E6F5F" w:rsidRDefault="00176861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176861" w:rsidRPr="009E6F5F" w14:paraId="3AAA0F88" w14:textId="77777777">
        <w:trPr>
          <w:jc w:val="center"/>
        </w:trPr>
        <w:tc>
          <w:tcPr>
            <w:tcW w:w="4825" w:type="dxa"/>
            <w:shd w:val="clear" w:color="auto" w:fill="BFBFBF"/>
          </w:tcPr>
          <w:p w14:paraId="3AAA0F86" w14:textId="77777777" w:rsidR="00176861" w:rsidRPr="009E6F5F" w:rsidRDefault="00E5788E">
            <w:pPr>
              <w:pStyle w:val="CorpoAltF0"/>
              <w:jc w:val="center"/>
              <w:rPr>
                <w:sz w:val="18"/>
                <w:szCs w:val="18"/>
              </w:rPr>
            </w:pPr>
            <w:r w:rsidRPr="009E6F5F"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14:paraId="3AAA0F87" w14:textId="77777777" w:rsidR="00176861" w:rsidRPr="009E6F5F" w:rsidRDefault="00E5788E">
            <w:pPr>
              <w:pStyle w:val="CorpoAltF0"/>
              <w:jc w:val="center"/>
              <w:rPr>
                <w:sz w:val="18"/>
                <w:szCs w:val="18"/>
              </w:rPr>
            </w:pPr>
            <w:r w:rsidRPr="009E6F5F">
              <w:rPr>
                <w:sz w:val="18"/>
                <w:szCs w:val="18"/>
              </w:rPr>
              <w:t>Ambiente LINUX</w:t>
            </w:r>
          </w:p>
        </w:tc>
      </w:tr>
      <w:tr w:rsidR="00176861" w:rsidRPr="009E6F5F" w14:paraId="3AAA0F94" w14:textId="77777777">
        <w:trPr>
          <w:jc w:val="center"/>
        </w:trPr>
        <w:tc>
          <w:tcPr>
            <w:tcW w:w="4825" w:type="dxa"/>
          </w:tcPr>
          <w:p w14:paraId="3AAA0F89" w14:textId="77777777" w:rsidR="00176861" w:rsidRPr="009E6F5F" w:rsidRDefault="00E5788E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F5F"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 w14:paraId="3AAA0F8A" w14:textId="77777777" w:rsidR="00176861" w:rsidRPr="009E6F5F" w:rsidRDefault="00E5788E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9E6F5F"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 w:rsidRPr="009E6F5F"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 w:rsidRPr="009E6F5F">
              <w:rPr>
                <w:rFonts w:ascii="Arial" w:hAnsi="Arial" w:cs="Arial"/>
                <w:sz w:val="16"/>
                <w:szCs w:val="16"/>
              </w:rPr>
              <w:t>”:</w:t>
            </w:r>
          </w:p>
          <w:p w14:paraId="3AAA0F8B" w14:textId="77777777" w:rsidR="00176861" w:rsidRPr="009E6F5F" w:rsidRDefault="00E578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F5F"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14:paraId="3AAA0F8C" w14:textId="77777777" w:rsidR="00176861" w:rsidRPr="009E6F5F" w:rsidRDefault="00E5788E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9E6F5F"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 w:rsidRPr="009E6F5F"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 w:rsidRPr="009E6F5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AAA0F8D" w14:textId="77777777" w:rsidR="00176861" w:rsidRPr="009E6F5F" w:rsidRDefault="00E578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F5F"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 w14:paraId="3AAA0F8E" w14:textId="77777777" w:rsidR="00176861" w:rsidRPr="009E6F5F" w:rsidRDefault="00176861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14:paraId="3AAA0F8F" w14:textId="77777777" w:rsidR="00176861" w:rsidRPr="009E6F5F" w:rsidRDefault="00E5788E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F5F"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 w14:paraId="3AAA0F90" w14:textId="77777777" w:rsidR="00176861" w:rsidRPr="009E6F5F" w:rsidRDefault="00E5788E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F5F"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14:paraId="3AAA0F91" w14:textId="77777777" w:rsidR="00176861" w:rsidRPr="009E6F5F" w:rsidRDefault="00E578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F5F"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14:paraId="3AAA0F92" w14:textId="77777777" w:rsidR="00176861" w:rsidRPr="009E6F5F" w:rsidRDefault="00E578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6F5F"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 w:rsidRPr="009E6F5F"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 w:rsidRPr="009E6F5F"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 w14:paraId="3AAA0F93" w14:textId="77777777" w:rsidR="00176861" w:rsidRPr="009E6F5F" w:rsidRDefault="00176861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14:paraId="3AAA0F95" w14:textId="77777777" w:rsidR="00176861" w:rsidRPr="009E6F5F" w:rsidRDefault="00176861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176861" w:rsidRPr="009E6F5F" w14:paraId="3AAA0F97" w14:textId="77777777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14:paraId="3AAA0F96" w14:textId="77777777" w:rsidR="00176861" w:rsidRPr="009E6F5F" w:rsidRDefault="00E5788E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9E6F5F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 w:rsidR="00176861" w:rsidRPr="009E6F5F" w14:paraId="3AAA0F9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AAA0F98" w14:textId="77777777" w:rsidR="00176861" w:rsidRPr="009E6F5F" w:rsidRDefault="00E5788E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9E6F5F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AAA0F99" w14:textId="77777777" w:rsidR="00176861" w:rsidRPr="009E6F5F" w:rsidRDefault="00E5788E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9E6F5F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176861" w:rsidRPr="009E6F5F" w14:paraId="3AAA0FA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AAA0F9B" w14:textId="77777777" w:rsidR="00176861" w:rsidRPr="009E6F5F" w:rsidRDefault="00E5788E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9E6F5F"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 w:rsidRPr="009E6F5F"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AAA0F9C" w14:textId="77777777" w:rsidR="00176861" w:rsidRPr="009E6F5F" w:rsidRDefault="00E5788E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 w:rsidRPr="009E6F5F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14:paraId="3AAA0F9D" w14:textId="77777777" w:rsidR="00176861" w:rsidRPr="009E6F5F" w:rsidRDefault="00E5788E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 w:rsidRPr="009E6F5F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14:paraId="3AAA0F9E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 w14:paraId="3AAA0F9F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14:paraId="3AAA0FA0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14:paraId="3AAA0FA1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14:paraId="3AAA0FA2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14:paraId="3AAA0FA3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14:paraId="3AAA0FA4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176861" w:rsidRPr="009E6F5F" w14:paraId="3AAA0FAD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AAA0FA6" w14:textId="77777777" w:rsidR="00176861" w:rsidRPr="009E6F5F" w:rsidRDefault="00E5788E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9E6F5F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AAA0FA7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14:paraId="3AAA0FA8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 w14:paraId="3AAA0FA9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14:paraId="3AAA0FAA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14:paraId="3AAA0FAB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proofErr w:type="spellStart"/>
            <w:r w:rsidRPr="009E6F5F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proofErr w:type="spellEnd"/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14:paraId="3AAA0FAC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9E6F5F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9E6F5F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 w:rsidRPr="009E6F5F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14:paraId="3AAA0FAE" w14:textId="77777777" w:rsidR="00176861" w:rsidRPr="009E6F5F" w:rsidRDefault="00176861">
      <w:pPr>
        <w:pStyle w:val="Ignora"/>
        <w:rPr>
          <w:sz w:val="10"/>
          <w:szCs w:val="10"/>
          <w:lang w:val="en-GB"/>
        </w:rPr>
      </w:pPr>
    </w:p>
    <w:p w14:paraId="3AAA0FAF" w14:textId="77777777" w:rsidR="00176861" w:rsidRPr="009E6F5F" w:rsidRDefault="00E5788E">
      <w:pPr>
        <w:numPr>
          <w:ilvl w:val="0"/>
          <w:numId w:val="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9E6F5F"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 w14:paraId="3AAA0FB0" w14:textId="77777777" w:rsidR="00176861" w:rsidRPr="009E6F5F" w:rsidRDefault="00E5788E">
      <w:pPr>
        <w:numPr>
          <w:ilvl w:val="0"/>
          <w:numId w:val="8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9E6F5F"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 w14:paraId="3AAA0FB1" w14:textId="77777777" w:rsidR="00176861" w:rsidRPr="009E6F5F" w:rsidRDefault="00176861">
      <w:pPr>
        <w:pStyle w:val="CorpoAltF0"/>
        <w:rPr>
          <w:sz w:val="10"/>
          <w:szCs w:val="10"/>
        </w:rPr>
      </w:pPr>
    </w:p>
    <w:p w14:paraId="3AAA0FB2" w14:textId="77777777" w:rsidR="00176861" w:rsidRPr="009E6F5F" w:rsidRDefault="00176861"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176861" w:rsidRPr="009E6F5F" w14:paraId="3AAA0FB4" w14:textId="77777777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14:paraId="3AAA0FB3" w14:textId="77777777" w:rsidR="00176861" w:rsidRPr="009E6F5F" w:rsidRDefault="00E5788E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9E6F5F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176861" w:rsidRPr="009E6F5F" w14:paraId="3AAA0FB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AAA0FB5" w14:textId="77777777" w:rsidR="00176861" w:rsidRPr="009E6F5F" w:rsidRDefault="00E5788E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9E6F5F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AAA0FB6" w14:textId="77777777" w:rsidR="00176861" w:rsidRPr="009E6F5F" w:rsidRDefault="00E5788E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9E6F5F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176861" w:rsidRPr="009E6F5F" w14:paraId="3AAA0FC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AAA0FB8" w14:textId="77777777" w:rsidR="00176861" w:rsidRPr="009E6F5F" w:rsidRDefault="00E5788E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9E6F5F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AAA0FB9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 w:rsidRPr="009E6F5F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 w:rsidRPr="009E6F5F"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14:paraId="3AAA0FBA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 w:rsidRPr="009E6F5F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 w:rsidRPr="009E6F5F"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14:paraId="3AAA0FBB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 w:rsidRPr="009E6F5F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 w:rsidRPr="009E6F5F"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14:paraId="3AAA0FBC" w14:textId="77777777" w:rsidR="00176861" w:rsidRPr="009E6F5F" w:rsidRDefault="00176861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14:paraId="3AAA0FBD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</w:rPr>
            </w:pPr>
            <w:r w:rsidRPr="009E6F5F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 w:rsidRPr="009E6F5F"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14:paraId="3AAA0FBE" w14:textId="77777777" w:rsidR="00176861" w:rsidRPr="009E6F5F" w:rsidRDefault="00176861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14:paraId="3AAA0FBF" w14:textId="77777777" w:rsidR="00176861" w:rsidRPr="009E6F5F" w:rsidRDefault="00E5788E">
            <w:pPr>
              <w:rPr>
                <w:rFonts w:ascii="LFT Etica Lt" w:hAnsi="LFT Etica Lt" w:cs="Arial"/>
                <w:sz w:val="12"/>
                <w:szCs w:val="16"/>
              </w:rPr>
            </w:pPr>
            <w:proofErr w:type="spellStart"/>
            <w:r w:rsidRPr="009E6F5F"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proofErr w:type="spellEnd"/>
            <w:r w:rsidRPr="009E6F5F"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 w14:paraId="3AAA0FC0" w14:textId="77777777" w:rsidR="00176861" w:rsidRPr="009E6F5F" w:rsidRDefault="00E5788E">
            <w:pPr>
              <w:rPr>
                <w:rFonts w:ascii="LFT Etica Lt" w:hAnsi="LFT Etica Lt" w:cs="Arial"/>
                <w:sz w:val="18"/>
                <w:szCs w:val="16"/>
              </w:rPr>
            </w:pPr>
            <w:r w:rsidRPr="009E6F5F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 w:rsidRPr="009E6F5F"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 w14:paraId="3AAA0FC2" w14:textId="77777777" w:rsidR="00176861" w:rsidRPr="009E6F5F" w:rsidRDefault="00176861">
      <w:pPr>
        <w:pStyle w:val="Ignora"/>
        <w:rPr>
          <w:sz w:val="10"/>
          <w:szCs w:val="10"/>
        </w:rPr>
      </w:pPr>
    </w:p>
    <w:p w14:paraId="3AAA0FC3" w14:textId="77777777" w:rsidR="00176861" w:rsidRPr="009E6F5F" w:rsidRDefault="00E5788E">
      <w:pPr>
        <w:jc w:val="both"/>
        <w:rPr>
          <w:rFonts w:ascii="LFT Etica Lt" w:hAnsi="LFT Etica Lt"/>
          <w:sz w:val="18"/>
          <w:szCs w:val="18"/>
        </w:rPr>
      </w:pPr>
      <w:r w:rsidRPr="009E6F5F">
        <w:rPr>
          <w:rFonts w:ascii="LFT Etica Lt" w:hAnsi="LFT Etica Lt"/>
          <w:sz w:val="18"/>
          <w:szCs w:val="18"/>
        </w:rPr>
        <w:t xml:space="preserve">In alternativa a </w:t>
      </w:r>
      <w:proofErr w:type="spellStart"/>
      <w:r w:rsidRPr="009E6F5F">
        <w:rPr>
          <w:rFonts w:ascii="LFT Etica Lt" w:hAnsi="LFT Etica Lt"/>
          <w:sz w:val="18"/>
          <w:szCs w:val="18"/>
        </w:rPr>
        <w:t>TeamLinux</w:t>
      </w:r>
      <w:proofErr w:type="spellEnd"/>
      <w:r w:rsidRPr="009E6F5F">
        <w:rPr>
          <w:rFonts w:ascii="LFT Etica Lt" w:hAnsi="LFT Etica Lt"/>
          <w:sz w:val="18"/>
          <w:szCs w:val="18"/>
        </w:rPr>
        <w:t xml:space="preserve"> si suggerisce l’utilizzo dei seguenti sistemi operativi:</w:t>
      </w:r>
    </w:p>
    <w:p w14:paraId="3AAA0FC4" w14:textId="77777777" w:rsidR="00176861" w:rsidRPr="009E6F5F" w:rsidRDefault="00E5788E">
      <w:pPr>
        <w:pStyle w:val="CorpoAltF0"/>
        <w:numPr>
          <w:ilvl w:val="0"/>
          <w:numId w:val="11"/>
        </w:numPr>
        <w:ind w:left="426" w:hanging="284"/>
        <w:rPr>
          <w:b/>
          <w:spacing w:val="10"/>
          <w:sz w:val="16"/>
          <w:szCs w:val="16"/>
        </w:rPr>
      </w:pPr>
      <w:proofErr w:type="spellStart"/>
      <w:r w:rsidRPr="009E6F5F">
        <w:rPr>
          <w:b/>
          <w:spacing w:val="10"/>
          <w:sz w:val="16"/>
          <w:szCs w:val="16"/>
        </w:rPr>
        <w:t>Ubuntu</w:t>
      </w:r>
      <w:proofErr w:type="spellEnd"/>
      <w:r w:rsidRPr="009E6F5F">
        <w:rPr>
          <w:b/>
          <w:spacing w:val="10"/>
          <w:sz w:val="16"/>
          <w:szCs w:val="16"/>
        </w:rPr>
        <w:t xml:space="preserve"> 16.04 LTS 64 bit</w:t>
      </w:r>
    </w:p>
    <w:p w14:paraId="3AAA0FC5" w14:textId="77777777" w:rsidR="00176861" w:rsidRPr="009E6F5F" w:rsidRDefault="00E5788E">
      <w:pPr>
        <w:pStyle w:val="CorpoAltF0"/>
        <w:numPr>
          <w:ilvl w:val="0"/>
          <w:numId w:val="11"/>
        </w:numPr>
        <w:ind w:left="426" w:hanging="284"/>
        <w:rPr>
          <w:b/>
          <w:spacing w:val="10"/>
          <w:sz w:val="16"/>
          <w:szCs w:val="16"/>
        </w:rPr>
      </w:pPr>
      <w:proofErr w:type="spellStart"/>
      <w:r w:rsidRPr="009E6F5F">
        <w:rPr>
          <w:b/>
          <w:spacing w:val="10"/>
          <w:sz w:val="16"/>
          <w:szCs w:val="16"/>
        </w:rPr>
        <w:t>CentOS</w:t>
      </w:r>
      <w:proofErr w:type="spellEnd"/>
      <w:r w:rsidRPr="009E6F5F">
        <w:rPr>
          <w:b/>
          <w:spacing w:val="10"/>
          <w:sz w:val="16"/>
          <w:szCs w:val="16"/>
        </w:rPr>
        <w:t xml:space="preserve"> 7.3 64 bit</w:t>
      </w:r>
    </w:p>
    <w:p w14:paraId="3AAA0FC6" w14:textId="77777777" w:rsidR="00176861" w:rsidRPr="009E6F5F" w:rsidRDefault="00176861">
      <w:pPr>
        <w:pStyle w:val="Ignora"/>
        <w:rPr>
          <w:sz w:val="10"/>
          <w:szCs w:val="10"/>
        </w:rPr>
      </w:pPr>
    </w:p>
    <w:p w14:paraId="3AAA0FC7" w14:textId="77777777" w:rsidR="00176861" w:rsidRPr="009E6F5F" w:rsidRDefault="00E5788E">
      <w:pPr>
        <w:jc w:val="both"/>
        <w:rPr>
          <w:rFonts w:ascii="LFT Etica Lt" w:hAnsi="LFT Etica Lt" w:cs="Arial"/>
          <w:i/>
          <w:sz w:val="18"/>
          <w:szCs w:val="18"/>
        </w:rPr>
      </w:pPr>
      <w:r w:rsidRPr="009E6F5F"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14:paraId="3AAA0FC8" w14:textId="77777777" w:rsidR="00176861" w:rsidRPr="009E6F5F" w:rsidRDefault="00E5788E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9E6F5F">
        <w:rPr>
          <w:rFonts w:ascii="LFT Etica Lt" w:hAnsi="LFT Etica Lt" w:cs="Arial"/>
          <w:sz w:val="18"/>
          <w:szCs w:val="18"/>
        </w:rPr>
        <w:t>POLYEDRO ultima versione rilasciata</w:t>
      </w:r>
    </w:p>
    <w:p w14:paraId="3AAA0FC9" w14:textId="77777777" w:rsidR="00176861" w:rsidRPr="009E6F5F" w:rsidRDefault="00176861">
      <w:pPr>
        <w:pStyle w:val="Ignora"/>
        <w:rPr>
          <w:sz w:val="10"/>
          <w:szCs w:val="10"/>
        </w:rPr>
      </w:pPr>
    </w:p>
    <w:p w14:paraId="3AAA0FCA" w14:textId="77777777" w:rsidR="00176861" w:rsidRPr="009E6F5F" w:rsidRDefault="00E5788E">
      <w:pPr>
        <w:jc w:val="both"/>
        <w:rPr>
          <w:rFonts w:ascii="LFT Etica Lt" w:hAnsi="LFT Etica Lt" w:cs="Arial"/>
          <w:sz w:val="18"/>
          <w:szCs w:val="18"/>
        </w:rPr>
      </w:pPr>
      <w:r w:rsidRPr="009E6F5F"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 w:rsidRPr="009E6F5F">
        <w:rPr>
          <w:rFonts w:ascii="LFT Etica Lt" w:hAnsi="LFT Etica Lt" w:cs="Arial"/>
          <w:b/>
          <w:sz w:val="18"/>
          <w:szCs w:val="18"/>
        </w:rPr>
        <w:t>Gecom</w:t>
      </w:r>
      <w:proofErr w:type="spellEnd"/>
      <w:r w:rsidRPr="009E6F5F"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 w:rsidRPr="009E6F5F"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14:paraId="3AAA0FCB" w14:textId="77777777" w:rsidR="00176861" w:rsidRPr="009E6F5F" w:rsidRDefault="00E5788E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 w:rsidRPr="009E6F5F">
        <w:rPr>
          <w:rFonts w:ascii="LFT Etica Lt" w:hAnsi="LFT Etica Lt" w:cs="Arial"/>
          <w:sz w:val="18"/>
          <w:szCs w:val="18"/>
        </w:rPr>
        <w:t>TeamPortal</w:t>
      </w:r>
      <w:proofErr w:type="spellEnd"/>
      <w:r w:rsidRPr="009E6F5F">
        <w:rPr>
          <w:rFonts w:ascii="LFT Etica Lt" w:hAnsi="LFT Etica Lt" w:cs="Arial"/>
          <w:sz w:val="18"/>
          <w:szCs w:val="18"/>
        </w:rPr>
        <w:t xml:space="preserve"> ultima versione rilasciata</w:t>
      </w:r>
    </w:p>
    <w:p w14:paraId="3AAA0FCC" w14:textId="77777777" w:rsidR="00176861" w:rsidRPr="009E6F5F" w:rsidRDefault="00E5788E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9E6F5F">
        <w:rPr>
          <w:rFonts w:ascii="LFT Etica Lt" w:hAnsi="LFT Etica Lt" w:cs="Arial"/>
          <w:sz w:val="18"/>
          <w:szCs w:val="18"/>
        </w:rPr>
        <w:t>Moduli software di base per Ambienti Integrazione:</w:t>
      </w:r>
    </w:p>
    <w:p w14:paraId="3AAA0FCD" w14:textId="77777777" w:rsidR="00176861" w:rsidRPr="009E6F5F" w:rsidRDefault="00E5788E">
      <w:pPr>
        <w:pStyle w:val="CorpoAltF0"/>
        <w:numPr>
          <w:ilvl w:val="0"/>
          <w:numId w:val="12"/>
        </w:numPr>
        <w:ind w:left="851" w:hanging="284"/>
        <w:rPr>
          <w:spacing w:val="12"/>
          <w:sz w:val="16"/>
          <w:szCs w:val="16"/>
        </w:rPr>
      </w:pPr>
      <w:proofErr w:type="spellStart"/>
      <w:r w:rsidRPr="009E6F5F">
        <w:rPr>
          <w:spacing w:val="12"/>
          <w:sz w:val="16"/>
          <w:szCs w:val="16"/>
        </w:rPr>
        <w:t>Sysint</w:t>
      </w:r>
      <w:proofErr w:type="spellEnd"/>
      <w:r w:rsidRPr="009E6F5F">
        <w:rPr>
          <w:spacing w:val="12"/>
          <w:sz w:val="16"/>
          <w:szCs w:val="16"/>
        </w:rPr>
        <w:t xml:space="preserve">/W 20140100 </w:t>
      </w:r>
    </w:p>
    <w:p w14:paraId="3AAA0FCE" w14:textId="77777777" w:rsidR="00176861" w:rsidRPr="009E6F5F" w:rsidRDefault="00E5788E">
      <w:pPr>
        <w:pStyle w:val="CorpoAltF0"/>
        <w:numPr>
          <w:ilvl w:val="0"/>
          <w:numId w:val="12"/>
        </w:numPr>
        <w:ind w:left="851" w:hanging="284"/>
        <w:rPr>
          <w:spacing w:val="12"/>
          <w:sz w:val="16"/>
          <w:szCs w:val="16"/>
        </w:rPr>
      </w:pPr>
      <w:proofErr w:type="spellStart"/>
      <w:r w:rsidRPr="009E6F5F">
        <w:rPr>
          <w:spacing w:val="12"/>
          <w:sz w:val="16"/>
          <w:szCs w:val="16"/>
        </w:rPr>
        <w:t>SysIntGateway</w:t>
      </w:r>
      <w:proofErr w:type="spellEnd"/>
      <w:r w:rsidRPr="009E6F5F">
        <w:rPr>
          <w:spacing w:val="12"/>
          <w:sz w:val="16"/>
          <w:szCs w:val="16"/>
        </w:rPr>
        <w:t xml:space="preserve"> ultima versione rilasciata</w:t>
      </w:r>
    </w:p>
    <w:p w14:paraId="3AAA0FCF" w14:textId="77777777" w:rsidR="00176861" w:rsidRPr="009E6F5F" w:rsidRDefault="00E5788E">
      <w:pPr>
        <w:pStyle w:val="CorpoAltF0"/>
        <w:numPr>
          <w:ilvl w:val="0"/>
          <w:numId w:val="12"/>
        </w:numPr>
        <w:ind w:left="851" w:hanging="284"/>
        <w:rPr>
          <w:spacing w:val="12"/>
          <w:sz w:val="16"/>
          <w:szCs w:val="16"/>
        </w:rPr>
      </w:pPr>
      <w:r w:rsidRPr="009E6F5F">
        <w:rPr>
          <w:spacing w:val="12"/>
          <w:sz w:val="16"/>
          <w:szCs w:val="16"/>
        </w:rPr>
        <w:t>Runtime Cobol 812-20160100</w:t>
      </w:r>
    </w:p>
    <w:p w14:paraId="3AAA0FD0" w14:textId="77777777" w:rsidR="00176861" w:rsidRPr="009E6F5F" w:rsidRDefault="00176861">
      <w:pPr>
        <w:pStyle w:val="Ignora"/>
        <w:rPr>
          <w:sz w:val="10"/>
          <w:szCs w:val="10"/>
        </w:rPr>
      </w:pPr>
    </w:p>
    <w:p w14:paraId="3AAA0FD1" w14:textId="77777777" w:rsidR="00176861" w:rsidRPr="009E6F5F" w:rsidRDefault="00E5788E">
      <w:pPr>
        <w:jc w:val="both"/>
        <w:rPr>
          <w:rFonts w:ascii="LFT Etica Lt" w:hAnsi="LFT Etica Lt" w:cs="Arial"/>
          <w:b/>
          <w:sz w:val="18"/>
          <w:szCs w:val="18"/>
        </w:rPr>
      </w:pPr>
      <w:r w:rsidRPr="009E6F5F">
        <w:rPr>
          <w:rFonts w:ascii="LFT Etica Lt" w:hAnsi="LFT Etica Lt" w:cs="Arial"/>
          <w:b/>
          <w:sz w:val="18"/>
          <w:szCs w:val="18"/>
        </w:rPr>
        <w:t xml:space="preserve">Dismissione modulo </w:t>
      </w:r>
      <w:proofErr w:type="spellStart"/>
      <w:r w:rsidRPr="009E6F5F">
        <w:rPr>
          <w:rFonts w:ascii="LFT Etica Lt" w:hAnsi="LFT Etica Lt" w:cs="Arial"/>
          <w:b/>
          <w:sz w:val="18"/>
          <w:szCs w:val="18"/>
        </w:rPr>
        <w:t>AcuXDBC</w:t>
      </w:r>
      <w:proofErr w:type="spellEnd"/>
      <w:r w:rsidRPr="009E6F5F">
        <w:rPr>
          <w:rFonts w:ascii="LFT Etica Lt" w:hAnsi="LFT Etica Lt" w:cs="Arial"/>
          <w:b/>
          <w:sz w:val="18"/>
          <w:szCs w:val="18"/>
        </w:rPr>
        <w:t xml:space="preserve"> </w:t>
      </w:r>
    </w:p>
    <w:p w14:paraId="3AAA0FD2" w14:textId="77777777" w:rsidR="00176861" w:rsidRDefault="00E5788E">
      <w:pPr>
        <w:jc w:val="both"/>
        <w:rPr>
          <w:rFonts w:ascii="LFT Etica Lt" w:hAnsi="LFT Etica Lt" w:cs="Arial"/>
          <w:sz w:val="18"/>
          <w:szCs w:val="18"/>
        </w:rPr>
      </w:pPr>
      <w:r w:rsidRPr="009E6F5F"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 w:rsidRPr="009E6F5F">
        <w:rPr>
          <w:rFonts w:ascii="LFT Etica Lt" w:hAnsi="LFT Etica Lt" w:cs="Arial"/>
          <w:sz w:val="18"/>
          <w:szCs w:val="18"/>
        </w:rPr>
        <w:t>treeRTG</w:t>
      </w:r>
      <w:proofErr w:type="spellEnd"/>
      <w:r w:rsidRPr="009E6F5F">
        <w:rPr>
          <w:rFonts w:ascii="LFT Etica Lt" w:hAnsi="LFT Etica Lt" w:cs="Arial"/>
          <w:sz w:val="18"/>
          <w:szCs w:val="18"/>
        </w:rPr>
        <w:t>.</w:t>
      </w:r>
      <w:bookmarkEnd w:id="2"/>
    </w:p>
    <w:sectPr w:rsidR="00176861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B1A74" w14:textId="77777777" w:rsidR="0076404A" w:rsidRDefault="0076404A">
      <w:r>
        <w:separator/>
      </w:r>
    </w:p>
  </w:endnote>
  <w:endnote w:type="continuationSeparator" w:id="0">
    <w:p w14:paraId="2CC19073" w14:textId="77777777" w:rsidR="0076404A" w:rsidRDefault="0076404A">
      <w:r>
        <w:continuationSeparator/>
      </w:r>
    </w:p>
  </w:endnote>
  <w:endnote w:type="continuationNotice" w:id="1">
    <w:p w14:paraId="64DF4E12" w14:textId="77777777" w:rsidR="0076404A" w:rsidRDefault="00764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A0FE4" w14:textId="77777777" w:rsidR="00176861" w:rsidRDefault="00E5788E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3AAA0FED" wp14:editId="3AAA0FEE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176861" w14:paraId="3AAA0FE9" w14:textId="77777777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14:paraId="3AAA0FE5" w14:textId="77777777" w:rsidR="00176861" w:rsidRDefault="00176861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14:paraId="3AAA0FE6" w14:textId="77777777" w:rsidR="00176861" w:rsidRDefault="00E5788E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14:paraId="3AAA0FE7" w14:textId="38EEC25F" w:rsidR="00176861" w:rsidRDefault="00E5788E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2018.1.</w:t>
          </w:r>
          <w:r w:rsidR="00AA0A53">
            <w:rPr>
              <w:rFonts w:ascii="Arial" w:hAnsi="Arial" w:cs="Arial"/>
              <w:i/>
              <w:sz w:val="20"/>
              <w:szCs w:val="20"/>
            </w:rPr>
            <w:t>8</w:t>
          </w:r>
        </w:p>
      </w:tc>
      <w:tc>
        <w:tcPr>
          <w:tcW w:w="1701" w:type="dxa"/>
        </w:tcPr>
        <w:p w14:paraId="3AAA0FE8" w14:textId="77777777" w:rsidR="00176861" w:rsidRDefault="00E5788E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14:paraId="3AAA0FEA" w14:textId="77777777" w:rsidR="00176861" w:rsidRDefault="00176861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38F9" w14:textId="77777777" w:rsidR="0076404A" w:rsidRDefault="0076404A">
      <w:r>
        <w:separator/>
      </w:r>
    </w:p>
  </w:footnote>
  <w:footnote w:type="continuationSeparator" w:id="0">
    <w:p w14:paraId="41634F18" w14:textId="77777777" w:rsidR="0076404A" w:rsidRDefault="0076404A">
      <w:r>
        <w:continuationSeparator/>
      </w:r>
    </w:p>
  </w:footnote>
  <w:footnote w:type="continuationNotice" w:id="1">
    <w:p w14:paraId="7CB51533" w14:textId="77777777" w:rsidR="0076404A" w:rsidRDefault="007640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176861" w14:paraId="3AAA0FDE" w14:textId="77777777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AAA0FDB" w14:textId="77777777" w:rsidR="00176861" w:rsidRDefault="00E5788E">
          <w:pPr>
            <w:pStyle w:val="Intestazione"/>
            <w:spacing w:before="20" w:after="20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 wp14:anchorId="3AAA0FEB" wp14:editId="3AAA0FEC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AAA0FDC" w14:textId="77777777" w:rsidR="00176861" w:rsidRDefault="00E5788E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AAA0FDD" w14:textId="77777777" w:rsidR="00176861" w:rsidRDefault="00176861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176861" w14:paraId="3AAA0FE2" w14:textId="77777777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AAA0FDF" w14:textId="77777777" w:rsidR="00176861" w:rsidRDefault="00176861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14:paraId="3AAA0FE0" w14:textId="77777777" w:rsidR="00176861" w:rsidRDefault="00E5788E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14:paraId="3AAA0FE1" w14:textId="77777777" w:rsidR="00176861" w:rsidRDefault="00176861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14:paraId="3AAA0FE3" w14:textId="77777777" w:rsidR="00176861" w:rsidRDefault="00176861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C11"/>
    <w:multiLevelType w:val="hybridMultilevel"/>
    <w:tmpl w:val="386AC6E4"/>
    <w:lvl w:ilvl="0" w:tplc="105AB2E8">
      <w:numFmt w:val="bullet"/>
      <w:lvlText w:val="-"/>
      <w:lvlJc w:val="left"/>
      <w:pPr>
        <w:ind w:left="1174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4E73796"/>
    <w:multiLevelType w:val="hybridMultilevel"/>
    <w:tmpl w:val="8DA8E256"/>
    <w:lvl w:ilvl="0" w:tplc="FE12A236">
      <w:start w:val="30"/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3CC3CC9"/>
    <w:multiLevelType w:val="hybridMultilevel"/>
    <w:tmpl w:val="38826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44BAF"/>
    <w:multiLevelType w:val="hybridMultilevel"/>
    <w:tmpl w:val="1CB23C58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161D5"/>
    <w:multiLevelType w:val="hybridMultilevel"/>
    <w:tmpl w:val="D264FCFA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0785CFB"/>
    <w:multiLevelType w:val="hybridMultilevel"/>
    <w:tmpl w:val="72767CBE"/>
    <w:lvl w:ilvl="0" w:tplc="0410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2512814"/>
    <w:multiLevelType w:val="hybridMultilevel"/>
    <w:tmpl w:val="4CA82460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5846856"/>
    <w:multiLevelType w:val="hybridMultilevel"/>
    <w:tmpl w:val="796CC80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3B0CEE"/>
    <w:multiLevelType w:val="hybridMultilevel"/>
    <w:tmpl w:val="97729E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F565B"/>
    <w:multiLevelType w:val="hybridMultilevel"/>
    <w:tmpl w:val="62A240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F39BF"/>
    <w:multiLevelType w:val="hybridMultilevel"/>
    <w:tmpl w:val="982C40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C27DA"/>
    <w:multiLevelType w:val="hybridMultilevel"/>
    <w:tmpl w:val="12E8B6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41485"/>
    <w:multiLevelType w:val="hybridMultilevel"/>
    <w:tmpl w:val="3D4E64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D059A4"/>
    <w:multiLevelType w:val="hybridMultilevel"/>
    <w:tmpl w:val="57DC1EC8"/>
    <w:lvl w:ilvl="0" w:tplc="0410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577620CE"/>
    <w:multiLevelType w:val="hybridMultilevel"/>
    <w:tmpl w:val="4B4633BC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585F74AB"/>
    <w:multiLevelType w:val="hybridMultilevel"/>
    <w:tmpl w:val="135641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567EC"/>
    <w:multiLevelType w:val="hybridMultilevel"/>
    <w:tmpl w:val="E72C20D2"/>
    <w:lvl w:ilvl="0" w:tplc="0410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 w15:restartNumberingAfterBreak="0">
    <w:nsid w:val="600D2F8F"/>
    <w:multiLevelType w:val="hybridMultilevel"/>
    <w:tmpl w:val="26E8F488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33E17FF"/>
    <w:multiLevelType w:val="hybridMultilevel"/>
    <w:tmpl w:val="89E6D4E0"/>
    <w:lvl w:ilvl="0" w:tplc="0F4C1226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63E92BD5"/>
    <w:multiLevelType w:val="hybridMultilevel"/>
    <w:tmpl w:val="1C402316"/>
    <w:lvl w:ilvl="0" w:tplc="0410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6" w15:restartNumberingAfterBreak="0">
    <w:nsid w:val="655E1787"/>
    <w:multiLevelType w:val="hybridMultilevel"/>
    <w:tmpl w:val="BB762F60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C1354"/>
    <w:multiLevelType w:val="hybridMultilevel"/>
    <w:tmpl w:val="63E0F0AA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6A545A2F"/>
    <w:multiLevelType w:val="hybridMultilevel"/>
    <w:tmpl w:val="F194738C"/>
    <w:lvl w:ilvl="0" w:tplc="6F58E6EA">
      <w:numFmt w:val="bullet"/>
      <w:lvlText w:val="-"/>
      <w:lvlJc w:val="left"/>
      <w:pPr>
        <w:ind w:left="720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9006C"/>
    <w:multiLevelType w:val="hybridMultilevel"/>
    <w:tmpl w:val="B8FE97C4"/>
    <w:lvl w:ilvl="0" w:tplc="43A2FFD0">
      <w:start w:val="1"/>
      <w:numFmt w:val="bullet"/>
      <w:lvlText w:val="-"/>
      <w:lvlJc w:val="left"/>
      <w:pPr>
        <w:ind w:left="814" w:hanging="360"/>
      </w:pPr>
      <w:rPr>
        <w:rFonts w:ascii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1" w15:restartNumberingAfterBreak="0">
    <w:nsid w:val="71F80E9F"/>
    <w:multiLevelType w:val="hybridMultilevel"/>
    <w:tmpl w:val="C1C64546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76574989"/>
    <w:multiLevelType w:val="hybridMultilevel"/>
    <w:tmpl w:val="4AF4FFB4"/>
    <w:lvl w:ilvl="0" w:tplc="0410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3" w15:restartNumberingAfterBreak="0">
    <w:nsid w:val="774D20D7"/>
    <w:multiLevelType w:val="hybridMultilevel"/>
    <w:tmpl w:val="0B4CC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56863"/>
    <w:multiLevelType w:val="hybridMultilevel"/>
    <w:tmpl w:val="B7C243C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AFA1B9B"/>
    <w:multiLevelType w:val="hybridMultilevel"/>
    <w:tmpl w:val="7478A420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8"/>
  </w:num>
  <w:num w:numId="5">
    <w:abstractNumId w:val="27"/>
  </w:num>
  <w:num w:numId="6">
    <w:abstractNumId w:val="15"/>
  </w:num>
  <w:num w:numId="7">
    <w:abstractNumId w:val="19"/>
  </w:num>
  <w:num w:numId="8">
    <w:abstractNumId w:val="16"/>
  </w:num>
  <w:num w:numId="9">
    <w:abstractNumId w:val="4"/>
  </w:num>
  <w:num w:numId="10">
    <w:abstractNumId w:val="30"/>
  </w:num>
  <w:num w:numId="11">
    <w:abstractNumId w:val="33"/>
  </w:num>
  <w:num w:numId="12">
    <w:abstractNumId w:val="29"/>
  </w:num>
  <w:num w:numId="13">
    <w:abstractNumId w:val="5"/>
  </w:num>
  <w:num w:numId="14">
    <w:abstractNumId w:val="34"/>
  </w:num>
  <w:num w:numId="15">
    <w:abstractNumId w:val="32"/>
  </w:num>
  <w:num w:numId="16">
    <w:abstractNumId w:val="20"/>
  </w:num>
  <w:num w:numId="17">
    <w:abstractNumId w:val="13"/>
  </w:num>
  <w:num w:numId="18">
    <w:abstractNumId w:val="17"/>
  </w:num>
  <w:num w:numId="19">
    <w:abstractNumId w:val="0"/>
  </w:num>
  <w:num w:numId="20">
    <w:abstractNumId w:val="23"/>
  </w:num>
  <w:num w:numId="21">
    <w:abstractNumId w:val="21"/>
  </w:num>
  <w:num w:numId="22">
    <w:abstractNumId w:val="12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1"/>
  </w:num>
  <w:num w:numId="26">
    <w:abstractNumId w:val="7"/>
  </w:num>
  <w:num w:numId="27">
    <w:abstractNumId w:val="25"/>
  </w:num>
  <w:num w:numId="28">
    <w:abstractNumId w:val="11"/>
  </w:num>
  <w:num w:numId="29">
    <w:abstractNumId w:val="35"/>
  </w:num>
  <w:num w:numId="30">
    <w:abstractNumId w:val="10"/>
  </w:num>
  <w:num w:numId="31">
    <w:abstractNumId w:val="31"/>
  </w:num>
  <w:num w:numId="32">
    <w:abstractNumId w:val="28"/>
  </w:num>
  <w:num w:numId="33">
    <w:abstractNumId w:val="24"/>
  </w:num>
  <w:num w:numId="34">
    <w:abstractNumId w:val="3"/>
  </w:num>
  <w:num w:numId="35">
    <w:abstractNumId w:val="2"/>
  </w:num>
  <w:num w:numId="36">
    <w:abstractNumId w:val="26"/>
  </w:num>
  <w:num w:numId="37">
    <w:abstractNumId w:val="14"/>
  </w:num>
  <w:num w:numId="3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6145" fill="f" fillcolor="white" strokecolor="red">
      <v:fill color="white" on="f"/>
      <v:stroke color="red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61"/>
    <w:rsid w:val="00001FC1"/>
    <w:rsid w:val="000041C6"/>
    <w:rsid w:val="0000522E"/>
    <w:rsid w:val="00014771"/>
    <w:rsid w:val="00014EA7"/>
    <w:rsid w:val="00015260"/>
    <w:rsid w:val="000157A3"/>
    <w:rsid w:val="00021A3D"/>
    <w:rsid w:val="00042011"/>
    <w:rsid w:val="000429E4"/>
    <w:rsid w:val="00057022"/>
    <w:rsid w:val="00060CC2"/>
    <w:rsid w:val="0006143D"/>
    <w:rsid w:val="0007212B"/>
    <w:rsid w:val="000734F5"/>
    <w:rsid w:val="00075668"/>
    <w:rsid w:val="000774C5"/>
    <w:rsid w:val="00080420"/>
    <w:rsid w:val="00083F46"/>
    <w:rsid w:val="000A2153"/>
    <w:rsid w:val="000A3AC2"/>
    <w:rsid w:val="000B56A3"/>
    <w:rsid w:val="000C083C"/>
    <w:rsid w:val="000C109D"/>
    <w:rsid w:val="000C1697"/>
    <w:rsid w:val="000C1AFE"/>
    <w:rsid w:val="000C6A69"/>
    <w:rsid w:val="000C79C9"/>
    <w:rsid w:val="000C7FCB"/>
    <w:rsid w:val="000D1D35"/>
    <w:rsid w:val="000E119D"/>
    <w:rsid w:val="000E22BF"/>
    <w:rsid w:val="000E3D48"/>
    <w:rsid w:val="000F5CEB"/>
    <w:rsid w:val="00101965"/>
    <w:rsid w:val="0010221B"/>
    <w:rsid w:val="001035D5"/>
    <w:rsid w:val="001063F2"/>
    <w:rsid w:val="001072A4"/>
    <w:rsid w:val="00120A11"/>
    <w:rsid w:val="00120F03"/>
    <w:rsid w:val="00121D7A"/>
    <w:rsid w:val="0013008E"/>
    <w:rsid w:val="001341E4"/>
    <w:rsid w:val="001359EE"/>
    <w:rsid w:val="00140FEE"/>
    <w:rsid w:val="00162B44"/>
    <w:rsid w:val="00164EA6"/>
    <w:rsid w:val="00165336"/>
    <w:rsid w:val="00166B3A"/>
    <w:rsid w:val="00170814"/>
    <w:rsid w:val="001721D4"/>
    <w:rsid w:val="001762B3"/>
    <w:rsid w:val="00176861"/>
    <w:rsid w:val="00176C7F"/>
    <w:rsid w:val="00187247"/>
    <w:rsid w:val="001906BC"/>
    <w:rsid w:val="001A0254"/>
    <w:rsid w:val="001A2BE6"/>
    <w:rsid w:val="001A4B82"/>
    <w:rsid w:val="001B5F7F"/>
    <w:rsid w:val="001B785E"/>
    <w:rsid w:val="001C4FCF"/>
    <w:rsid w:val="001D18B2"/>
    <w:rsid w:val="001D51A0"/>
    <w:rsid w:val="001D52CC"/>
    <w:rsid w:val="001D52D2"/>
    <w:rsid w:val="001D57D4"/>
    <w:rsid w:val="001E28C5"/>
    <w:rsid w:val="001E33B3"/>
    <w:rsid w:val="001F055D"/>
    <w:rsid w:val="001F5BCB"/>
    <w:rsid w:val="00202B4C"/>
    <w:rsid w:val="00212BBC"/>
    <w:rsid w:val="0021303E"/>
    <w:rsid w:val="002157A7"/>
    <w:rsid w:val="002246E3"/>
    <w:rsid w:val="002301AE"/>
    <w:rsid w:val="0023119D"/>
    <w:rsid w:val="002334EE"/>
    <w:rsid w:val="00236345"/>
    <w:rsid w:val="00237681"/>
    <w:rsid w:val="002406C0"/>
    <w:rsid w:val="002465A1"/>
    <w:rsid w:val="002604B1"/>
    <w:rsid w:val="002615F8"/>
    <w:rsid w:val="00261853"/>
    <w:rsid w:val="002656E2"/>
    <w:rsid w:val="00265CC0"/>
    <w:rsid w:val="00266960"/>
    <w:rsid w:val="00266EA3"/>
    <w:rsid w:val="00270A29"/>
    <w:rsid w:val="0027387F"/>
    <w:rsid w:val="00273EFF"/>
    <w:rsid w:val="002753E5"/>
    <w:rsid w:val="00275487"/>
    <w:rsid w:val="002774E9"/>
    <w:rsid w:val="002807BB"/>
    <w:rsid w:val="00292ED4"/>
    <w:rsid w:val="00294E75"/>
    <w:rsid w:val="00295166"/>
    <w:rsid w:val="002A0AE8"/>
    <w:rsid w:val="002A65C9"/>
    <w:rsid w:val="002B3847"/>
    <w:rsid w:val="002C2167"/>
    <w:rsid w:val="002C6C44"/>
    <w:rsid w:val="002E3CAF"/>
    <w:rsid w:val="002F2C40"/>
    <w:rsid w:val="002F330C"/>
    <w:rsid w:val="002F6569"/>
    <w:rsid w:val="00302D26"/>
    <w:rsid w:val="0031145F"/>
    <w:rsid w:val="00316658"/>
    <w:rsid w:val="003223B3"/>
    <w:rsid w:val="00323DEF"/>
    <w:rsid w:val="0032631E"/>
    <w:rsid w:val="003307FA"/>
    <w:rsid w:val="003317CB"/>
    <w:rsid w:val="00334E78"/>
    <w:rsid w:val="00351AC0"/>
    <w:rsid w:val="00352632"/>
    <w:rsid w:val="003541FE"/>
    <w:rsid w:val="003554BD"/>
    <w:rsid w:val="00356034"/>
    <w:rsid w:val="00357FB7"/>
    <w:rsid w:val="00370E6D"/>
    <w:rsid w:val="00373590"/>
    <w:rsid w:val="0037545A"/>
    <w:rsid w:val="003767D3"/>
    <w:rsid w:val="003802AB"/>
    <w:rsid w:val="00380A90"/>
    <w:rsid w:val="00381658"/>
    <w:rsid w:val="003853F8"/>
    <w:rsid w:val="00387F40"/>
    <w:rsid w:val="003A1E68"/>
    <w:rsid w:val="003A2AE6"/>
    <w:rsid w:val="003B09DE"/>
    <w:rsid w:val="003D0404"/>
    <w:rsid w:val="003E03D5"/>
    <w:rsid w:val="003E0AF1"/>
    <w:rsid w:val="003E3403"/>
    <w:rsid w:val="003E4373"/>
    <w:rsid w:val="003E47E6"/>
    <w:rsid w:val="00410D24"/>
    <w:rsid w:val="00410F7D"/>
    <w:rsid w:val="00411FFF"/>
    <w:rsid w:val="004127CF"/>
    <w:rsid w:val="004137FA"/>
    <w:rsid w:val="004138AD"/>
    <w:rsid w:val="004168D9"/>
    <w:rsid w:val="00421197"/>
    <w:rsid w:val="00424A54"/>
    <w:rsid w:val="00426369"/>
    <w:rsid w:val="00433B5E"/>
    <w:rsid w:val="004465D9"/>
    <w:rsid w:val="00446893"/>
    <w:rsid w:val="004468DA"/>
    <w:rsid w:val="004520FC"/>
    <w:rsid w:val="004536E8"/>
    <w:rsid w:val="00462DDA"/>
    <w:rsid w:val="00470AB8"/>
    <w:rsid w:val="004779D7"/>
    <w:rsid w:val="00480467"/>
    <w:rsid w:val="00482682"/>
    <w:rsid w:val="00486D53"/>
    <w:rsid w:val="0048713D"/>
    <w:rsid w:val="00491405"/>
    <w:rsid w:val="00494D42"/>
    <w:rsid w:val="004A3DF3"/>
    <w:rsid w:val="004B2C57"/>
    <w:rsid w:val="004B2CD1"/>
    <w:rsid w:val="004C216B"/>
    <w:rsid w:val="004C5751"/>
    <w:rsid w:val="004C7B10"/>
    <w:rsid w:val="004D4A00"/>
    <w:rsid w:val="004E43EB"/>
    <w:rsid w:val="004E6944"/>
    <w:rsid w:val="004E73A3"/>
    <w:rsid w:val="004F0463"/>
    <w:rsid w:val="004F6345"/>
    <w:rsid w:val="00505343"/>
    <w:rsid w:val="00511F2E"/>
    <w:rsid w:val="00512DEA"/>
    <w:rsid w:val="00525379"/>
    <w:rsid w:val="005340CF"/>
    <w:rsid w:val="00536DED"/>
    <w:rsid w:val="00546D70"/>
    <w:rsid w:val="00556D96"/>
    <w:rsid w:val="005676F5"/>
    <w:rsid w:val="00567DF9"/>
    <w:rsid w:val="00573991"/>
    <w:rsid w:val="00575DD0"/>
    <w:rsid w:val="00577CC2"/>
    <w:rsid w:val="0058440B"/>
    <w:rsid w:val="00586319"/>
    <w:rsid w:val="0059280C"/>
    <w:rsid w:val="00593FFD"/>
    <w:rsid w:val="00595A41"/>
    <w:rsid w:val="005B29DD"/>
    <w:rsid w:val="005B4AA4"/>
    <w:rsid w:val="005C5DFC"/>
    <w:rsid w:val="005C6F0C"/>
    <w:rsid w:val="005D03FF"/>
    <w:rsid w:val="005D2599"/>
    <w:rsid w:val="005D27FF"/>
    <w:rsid w:val="005D47FA"/>
    <w:rsid w:val="005E04CA"/>
    <w:rsid w:val="005E643B"/>
    <w:rsid w:val="005F54F1"/>
    <w:rsid w:val="00613C71"/>
    <w:rsid w:val="00615EE7"/>
    <w:rsid w:val="00620719"/>
    <w:rsid w:val="00621D54"/>
    <w:rsid w:val="00623EBB"/>
    <w:rsid w:val="00625417"/>
    <w:rsid w:val="0062547F"/>
    <w:rsid w:val="00625975"/>
    <w:rsid w:val="00646ABF"/>
    <w:rsid w:val="00647332"/>
    <w:rsid w:val="006563C3"/>
    <w:rsid w:val="0065654D"/>
    <w:rsid w:val="0067698F"/>
    <w:rsid w:val="00680B9F"/>
    <w:rsid w:val="0068230D"/>
    <w:rsid w:val="00687765"/>
    <w:rsid w:val="00691FE5"/>
    <w:rsid w:val="00692BEF"/>
    <w:rsid w:val="006A05BE"/>
    <w:rsid w:val="006A4EB2"/>
    <w:rsid w:val="006A68EC"/>
    <w:rsid w:val="006B6AAA"/>
    <w:rsid w:val="006B7367"/>
    <w:rsid w:val="006B7DC9"/>
    <w:rsid w:val="006C2414"/>
    <w:rsid w:val="006C3C37"/>
    <w:rsid w:val="006C4F85"/>
    <w:rsid w:val="006C6C2C"/>
    <w:rsid w:val="006D342F"/>
    <w:rsid w:val="006D4314"/>
    <w:rsid w:val="006D7223"/>
    <w:rsid w:val="006E4E2E"/>
    <w:rsid w:val="006E7DBE"/>
    <w:rsid w:val="00700648"/>
    <w:rsid w:val="00701C3A"/>
    <w:rsid w:val="00702EAD"/>
    <w:rsid w:val="00706542"/>
    <w:rsid w:val="00706BB0"/>
    <w:rsid w:val="00706EF2"/>
    <w:rsid w:val="0071523F"/>
    <w:rsid w:val="00715542"/>
    <w:rsid w:val="007174CA"/>
    <w:rsid w:val="00722A5E"/>
    <w:rsid w:val="007322C7"/>
    <w:rsid w:val="0073564E"/>
    <w:rsid w:val="00746A96"/>
    <w:rsid w:val="00746D26"/>
    <w:rsid w:val="007507BB"/>
    <w:rsid w:val="0075165F"/>
    <w:rsid w:val="00757642"/>
    <w:rsid w:val="00763B46"/>
    <w:rsid w:val="0076404A"/>
    <w:rsid w:val="007718F1"/>
    <w:rsid w:val="00771EDF"/>
    <w:rsid w:val="007722C4"/>
    <w:rsid w:val="00776467"/>
    <w:rsid w:val="0078055B"/>
    <w:rsid w:val="007808AA"/>
    <w:rsid w:val="00796757"/>
    <w:rsid w:val="00796C11"/>
    <w:rsid w:val="007A04FD"/>
    <w:rsid w:val="007A13CD"/>
    <w:rsid w:val="007C3C0F"/>
    <w:rsid w:val="007C4B12"/>
    <w:rsid w:val="007E04E3"/>
    <w:rsid w:val="007E1C11"/>
    <w:rsid w:val="007F221E"/>
    <w:rsid w:val="007F2612"/>
    <w:rsid w:val="007F4B4C"/>
    <w:rsid w:val="007F7A8F"/>
    <w:rsid w:val="00802733"/>
    <w:rsid w:val="00813FE0"/>
    <w:rsid w:val="00815514"/>
    <w:rsid w:val="00816FC6"/>
    <w:rsid w:val="00821597"/>
    <w:rsid w:val="00834862"/>
    <w:rsid w:val="0084249B"/>
    <w:rsid w:val="00843DBD"/>
    <w:rsid w:val="00855ADC"/>
    <w:rsid w:val="00862BC3"/>
    <w:rsid w:val="00867D2B"/>
    <w:rsid w:val="00876136"/>
    <w:rsid w:val="008905B4"/>
    <w:rsid w:val="0089638F"/>
    <w:rsid w:val="008A6453"/>
    <w:rsid w:val="008B7B50"/>
    <w:rsid w:val="008C2CF4"/>
    <w:rsid w:val="008C4C15"/>
    <w:rsid w:val="008E3234"/>
    <w:rsid w:val="008E3F97"/>
    <w:rsid w:val="008F48A7"/>
    <w:rsid w:val="008F56E1"/>
    <w:rsid w:val="00900FBB"/>
    <w:rsid w:val="009016F1"/>
    <w:rsid w:val="00914294"/>
    <w:rsid w:val="009144BA"/>
    <w:rsid w:val="00927B5C"/>
    <w:rsid w:val="00935AB7"/>
    <w:rsid w:val="009424D7"/>
    <w:rsid w:val="00946F0E"/>
    <w:rsid w:val="009478A4"/>
    <w:rsid w:val="00960D4D"/>
    <w:rsid w:val="00961FD2"/>
    <w:rsid w:val="00964222"/>
    <w:rsid w:val="009643E2"/>
    <w:rsid w:val="00966921"/>
    <w:rsid w:val="00970400"/>
    <w:rsid w:val="0097318D"/>
    <w:rsid w:val="00974B37"/>
    <w:rsid w:val="009756D4"/>
    <w:rsid w:val="00980A37"/>
    <w:rsid w:val="00983868"/>
    <w:rsid w:val="009839E4"/>
    <w:rsid w:val="0098615E"/>
    <w:rsid w:val="0099012A"/>
    <w:rsid w:val="00990A90"/>
    <w:rsid w:val="009A12DE"/>
    <w:rsid w:val="009A2349"/>
    <w:rsid w:val="009A2375"/>
    <w:rsid w:val="009A4F47"/>
    <w:rsid w:val="009A5B11"/>
    <w:rsid w:val="009B242F"/>
    <w:rsid w:val="009B4607"/>
    <w:rsid w:val="009B7BB0"/>
    <w:rsid w:val="009C1BC3"/>
    <w:rsid w:val="009D1349"/>
    <w:rsid w:val="009D2220"/>
    <w:rsid w:val="009D53C3"/>
    <w:rsid w:val="009E1028"/>
    <w:rsid w:val="009E39B3"/>
    <w:rsid w:val="009E3F9E"/>
    <w:rsid w:val="009E523D"/>
    <w:rsid w:val="009E6F5F"/>
    <w:rsid w:val="009F3AE9"/>
    <w:rsid w:val="009F59F5"/>
    <w:rsid w:val="00A105A6"/>
    <w:rsid w:val="00A10703"/>
    <w:rsid w:val="00A13E2F"/>
    <w:rsid w:val="00A14FD3"/>
    <w:rsid w:val="00A17BDF"/>
    <w:rsid w:val="00A17C7D"/>
    <w:rsid w:val="00A2310D"/>
    <w:rsid w:val="00A23786"/>
    <w:rsid w:val="00A360AF"/>
    <w:rsid w:val="00A46D02"/>
    <w:rsid w:val="00A50573"/>
    <w:rsid w:val="00A543D0"/>
    <w:rsid w:val="00A551F0"/>
    <w:rsid w:val="00A56184"/>
    <w:rsid w:val="00A57C4E"/>
    <w:rsid w:val="00A60716"/>
    <w:rsid w:val="00A66F38"/>
    <w:rsid w:val="00A74AB7"/>
    <w:rsid w:val="00A75A95"/>
    <w:rsid w:val="00A76820"/>
    <w:rsid w:val="00A83806"/>
    <w:rsid w:val="00A85CFB"/>
    <w:rsid w:val="00A90B30"/>
    <w:rsid w:val="00A920F6"/>
    <w:rsid w:val="00A949BE"/>
    <w:rsid w:val="00AA0A53"/>
    <w:rsid w:val="00AB24CB"/>
    <w:rsid w:val="00AB677E"/>
    <w:rsid w:val="00AC546E"/>
    <w:rsid w:val="00AC5BBC"/>
    <w:rsid w:val="00AD1FF3"/>
    <w:rsid w:val="00AD2479"/>
    <w:rsid w:val="00AD2810"/>
    <w:rsid w:val="00AD7C22"/>
    <w:rsid w:val="00AE3F72"/>
    <w:rsid w:val="00AF77FD"/>
    <w:rsid w:val="00B00C4F"/>
    <w:rsid w:val="00B01DC4"/>
    <w:rsid w:val="00B069DA"/>
    <w:rsid w:val="00B070BA"/>
    <w:rsid w:val="00B1231B"/>
    <w:rsid w:val="00B12C5E"/>
    <w:rsid w:val="00B14748"/>
    <w:rsid w:val="00B17212"/>
    <w:rsid w:val="00B24AF9"/>
    <w:rsid w:val="00B33C54"/>
    <w:rsid w:val="00B4118B"/>
    <w:rsid w:val="00B42E71"/>
    <w:rsid w:val="00B43FEA"/>
    <w:rsid w:val="00B51882"/>
    <w:rsid w:val="00B54708"/>
    <w:rsid w:val="00B5782A"/>
    <w:rsid w:val="00B6620D"/>
    <w:rsid w:val="00B70D06"/>
    <w:rsid w:val="00B70F22"/>
    <w:rsid w:val="00B724B9"/>
    <w:rsid w:val="00B75290"/>
    <w:rsid w:val="00B7613F"/>
    <w:rsid w:val="00B944B9"/>
    <w:rsid w:val="00BA4258"/>
    <w:rsid w:val="00BA522B"/>
    <w:rsid w:val="00BA56EE"/>
    <w:rsid w:val="00BA5C40"/>
    <w:rsid w:val="00BB2355"/>
    <w:rsid w:val="00BB78FC"/>
    <w:rsid w:val="00BC5413"/>
    <w:rsid w:val="00BC5C65"/>
    <w:rsid w:val="00BD0185"/>
    <w:rsid w:val="00BD5975"/>
    <w:rsid w:val="00BE63E9"/>
    <w:rsid w:val="00BF0B4F"/>
    <w:rsid w:val="00BF375C"/>
    <w:rsid w:val="00BF5492"/>
    <w:rsid w:val="00BF576E"/>
    <w:rsid w:val="00BF6B17"/>
    <w:rsid w:val="00BF7946"/>
    <w:rsid w:val="00C0226F"/>
    <w:rsid w:val="00C04F96"/>
    <w:rsid w:val="00C112B5"/>
    <w:rsid w:val="00C133A9"/>
    <w:rsid w:val="00C17139"/>
    <w:rsid w:val="00C2116C"/>
    <w:rsid w:val="00C31456"/>
    <w:rsid w:val="00C34344"/>
    <w:rsid w:val="00C36FE9"/>
    <w:rsid w:val="00C37BB8"/>
    <w:rsid w:val="00C40470"/>
    <w:rsid w:val="00C44D92"/>
    <w:rsid w:val="00C563E0"/>
    <w:rsid w:val="00C570AE"/>
    <w:rsid w:val="00C57678"/>
    <w:rsid w:val="00C62C59"/>
    <w:rsid w:val="00C633DD"/>
    <w:rsid w:val="00C67A03"/>
    <w:rsid w:val="00C67FAC"/>
    <w:rsid w:val="00C802CE"/>
    <w:rsid w:val="00C812FC"/>
    <w:rsid w:val="00C82C59"/>
    <w:rsid w:val="00C862AC"/>
    <w:rsid w:val="00C87009"/>
    <w:rsid w:val="00C87B0B"/>
    <w:rsid w:val="00C90D9C"/>
    <w:rsid w:val="00C944B9"/>
    <w:rsid w:val="00CA6762"/>
    <w:rsid w:val="00CA7A21"/>
    <w:rsid w:val="00CB1647"/>
    <w:rsid w:val="00CB25C1"/>
    <w:rsid w:val="00CB7F41"/>
    <w:rsid w:val="00CC06FF"/>
    <w:rsid w:val="00CC1C7F"/>
    <w:rsid w:val="00CC30F3"/>
    <w:rsid w:val="00CC33C7"/>
    <w:rsid w:val="00CD04D9"/>
    <w:rsid w:val="00CE1E71"/>
    <w:rsid w:val="00CE2BE3"/>
    <w:rsid w:val="00CE3F34"/>
    <w:rsid w:val="00D003EB"/>
    <w:rsid w:val="00D04AB0"/>
    <w:rsid w:val="00D05916"/>
    <w:rsid w:val="00D06B77"/>
    <w:rsid w:val="00D13A2E"/>
    <w:rsid w:val="00D20578"/>
    <w:rsid w:val="00D20A07"/>
    <w:rsid w:val="00D3330F"/>
    <w:rsid w:val="00D336BE"/>
    <w:rsid w:val="00D3429E"/>
    <w:rsid w:val="00D425EF"/>
    <w:rsid w:val="00D577F1"/>
    <w:rsid w:val="00D6203F"/>
    <w:rsid w:val="00D73A67"/>
    <w:rsid w:val="00D74264"/>
    <w:rsid w:val="00D74EA7"/>
    <w:rsid w:val="00D7552B"/>
    <w:rsid w:val="00D7587C"/>
    <w:rsid w:val="00D81728"/>
    <w:rsid w:val="00D82A18"/>
    <w:rsid w:val="00D8402C"/>
    <w:rsid w:val="00D86B27"/>
    <w:rsid w:val="00D9456E"/>
    <w:rsid w:val="00DA3618"/>
    <w:rsid w:val="00DA782E"/>
    <w:rsid w:val="00DB5386"/>
    <w:rsid w:val="00DC301C"/>
    <w:rsid w:val="00DC4DD6"/>
    <w:rsid w:val="00DC6F54"/>
    <w:rsid w:val="00DD0F09"/>
    <w:rsid w:val="00DD608B"/>
    <w:rsid w:val="00DE0B33"/>
    <w:rsid w:val="00DE3ED4"/>
    <w:rsid w:val="00DE4F48"/>
    <w:rsid w:val="00DE52D0"/>
    <w:rsid w:val="00DE6CFD"/>
    <w:rsid w:val="00DF022E"/>
    <w:rsid w:val="00DF0FA3"/>
    <w:rsid w:val="00DF46EC"/>
    <w:rsid w:val="00E017CB"/>
    <w:rsid w:val="00E02144"/>
    <w:rsid w:val="00E1029E"/>
    <w:rsid w:val="00E12843"/>
    <w:rsid w:val="00E169A1"/>
    <w:rsid w:val="00E24D06"/>
    <w:rsid w:val="00E358D9"/>
    <w:rsid w:val="00E37DB3"/>
    <w:rsid w:val="00E4111D"/>
    <w:rsid w:val="00E53CEA"/>
    <w:rsid w:val="00E5788E"/>
    <w:rsid w:val="00E61938"/>
    <w:rsid w:val="00E65EC0"/>
    <w:rsid w:val="00E7009A"/>
    <w:rsid w:val="00E70AA3"/>
    <w:rsid w:val="00E751F9"/>
    <w:rsid w:val="00E76671"/>
    <w:rsid w:val="00E86637"/>
    <w:rsid w:val="00E86691"/>
    <w:rsid w:val="00E917CB"/>
    <w:rsid w:val="00E96324"/>
    <w:rsid w:val="00E97876"/>
    <w:rsid w:val="00EA1120"/>
    <w:rsid w:val="00EA45EE"/>
    <w:rsid w:val="00EA5F77"/>
    <w:rsid w:val="00EB2796"/>
    <w:rsid w:val="00EC3830"/>
    <w:rsid w:val="00EC5E54"/>
    <w:rsid w:val="00ED3E98"/>
    <w:rsid w:val="00ED4A07"/>
    <w:rsid w:val="00EE64E6"/>
    <w:rsid w:val="00EF2416"/>
    <w:rsid w:val="00EF4378"/>
    <w:rsid w:val="00EF6BD7"/>
    <w:rsid w:val="00F02BB0"/>
    <w:rsid w:val="00F05345"/>
    <w:rsid w:val="00F12689"/>
    <w:rsid w:val="00F16D88"/>
    <w:rsid w:val="00F21980"/>
    <w:rsid w:val="00F25A78"/>
    <w:rsid w:val="00F25E30"/>
    <w:rsid w:val="00F31ED5"/>
    <w:rsid w:val="00F4363B"/>
    <w:rsid w:val="00F46931"/>
    <w:rsid w:val="00F52749"/>
    <w:rsid w:val="00F602E7"/>
    <w:rsid w:val="00F6391C"/>
    <w:rsid w:val="00F66395"/>
    <w:rsid w:val="00F70E3A"/>
    <w:rsid w:val="00F7140A"/>
    <w:rsid w:val="00F76606"/>
    <w:rsid w:val="00F76E7E"/>
    <w:rsid w:val="00F85DAC"/>
    <w:rsid w:val="00F87377"/>
    <w:rsid w:val="00F93FDE"/>
    <w:rsid w:val="00F947C4"/>
    <w:rsid w:val="00F975AD"/>
    <w:rsid w:val="00F97ECA"/>
    <w:rsid w:val="00FA5483"/>
    <w:rsid w:val="00FA797C"/>
    <w:rsid w:val="00FB13DC"/>
    <w:rsid w:val="00FB1837"/>
    <w:rsid w:val="00FB5B79"/>
    <w:rsid w:val="00FB6CB4"/>
    <w:rsid w:val="00FC0C86"/>
    <w:rsid w:val="00FC7791"/>
    <w:rsid w:val="00FC7C85"/>
    <w:rsid w:val="00FD55CD"/>
    <w:rsid w:val="00FD5D85"/>
    <w:rsid w:val="00FD5E9B"/>
    <w:rsid w:val="00FE0528"/>
    <w:rsid w:val="00FE2D71"/>
    <w:rsid w:val="00FE5640"/>
    <w:rsid w:val="00FF1E91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3AAA0F01"/>
  <w15:docId w15:val="{C767BF0E-8EF9-4B31-8A11-02D29B8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pPr>
      <w:ind w:left="720"/>
      <w:contextualSpacing/>
    </w:pPr>
  </w:style>
  <w:style w:type="paragraph" w:customStyle="1" w:styleId="Ignora">
    <w:name w:val="Ignora"/>
    <w:basedOn w:val="CorpoAltF0"/>
    <w:qFormat/>
  </w:style>
  <w:style w:type="character" w:customStyle="1" w:styleId="collegamentoipertestuale0">
    <w:name w:val="collegamento_ipertestuale"/>
    <w:basedOn w:val="Carpredefinitoparagrafo"/>
    <w:rsid w:val="000C1697"/>
  </w:style>
  <w:style w:type="character" w:customStyle="1" w:styleId="searchresulthighlight1">
    <w:name w:val="search_result_highlight1"/>
    <w:basedOn w:val="Carpredefinitoparagrafo"/>
    <w:rsid w:val="000C1697"/>
    <w:rPr>
      <w:shd w:val="clear" w:color="auto" w:fill="FFFF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300">
              <w:marLeft w:val="94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1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3935">
              <w:marLeft w:val="94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704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oricoli\Documents\Modelli%20di%20Office%20personalizzati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CD9A-8A3C-4485-AACE-EED0F7F7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1550</TotalTime>
  <Pages>4</Pages>
  <Words>1328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Luca Moricoli</cp:lastModifiedBy>
  <cp:revision>1163</cp:revision>
  <cp:lastPrinted>2018-11-19T11:02:00Z</cp:lastPrinted>
  <dcterms:created xsi:type="dcterms:W3CDTF">2018-05-09T15:33:00Z</dcterms:created>
  <dcterms:modified xsi:type="dcterms:W3CDTF">2018-12-20T18:32:00Z</dcterms:modified>
</cp:coreProperties>
</file>