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9D98" w14:textId="77777777" w:rsidR="00C61759" w:rsidRDefault="00C61759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C61759" w14:paraId="3F17CDE4" w14:textId="77777777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E4A9A8C" w14:textId="77777777" w:rsidR="00C61759" w:rsidRDefault="00A96579">
            <w:pPr>
              <w:pStyle w:val="WWRelease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RELEASE </w:t>
            </w:r>
            <w:proofErr w:type="spellStart"/>
            <w:r>
              <w:rPr>
                <w:lang w:val="en-US"/>
              </w:rPr>
              <w:t>Versione</w:t>
            </w:r>
            <w:proofErr w:type="spellEnd"/>
            <w:r>
              <w:rPr>
                <w:lang w:val="en-US"/>
              </w:rPr>
              <w:t xml:space="preserve"> 2019.2.1</w:t>
            </w:r>
          </w:p>
        </w:tc>
      </w:tr>
    </w:tbl>
    <w:p w14:paraId="0F42865D" w14:textId="77777777" w:rsidR="00C61759" w:rsidRDefault="00C61759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 w:rsidR="00C61759" w14:paraId="75C43175" w14:textId="77777777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06294BCC" w14:textId="77777777" w:rsidR="00C61759" w:rsidRDefault="00A96579">
            <w:pPr>
              <w:pStyle w:val="WWTipoDocumento"/>
            </w:pPr>
            <w:r>
              <w:t>CONTENUTO DEL RILASCIO</w:t>
            </w:r>
          </w:p>
          <w:p w14:paraId="794D7273" w14:textId="77777777" w:rsidR="00C61759" w:rsidRDefault="00A96579"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0243AF" wp14:editId="1DEB42DA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B2C9F76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9EE4B1B" w14:textId="77777777" w:rsidR="00C61759" w:rsidRDefault="00A96579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EMENS</w:t>
            </w:r>
          </w:p>
        </w:tc>
      </w:tr>
      <w:tr w:rsidR="00C61759" w14:paraId="03AB6138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02AA4FDE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AC69C96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0721564" w14:textId="77777777" w:rsidR="00C61759" w:rsidRDefault="00A96579"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 w:rsidR="00C61759" w14:paraId="090C66B1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60BD442F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7EDAAAC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B95C07" w14:textId="77777777" w:rsidR="00C61759" w:rsidRDefault="00A96579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2019.2.1 (Update)</w:t>
            </w:r>
          </w:p>
        </w:tc>
      </w:tr>
      <w:tr w:rsidR="00C61759" w14:paraId="2A0CFBB5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BCC483A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6FBAE31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0564E77" w14:textId="77777777" w:rsidR="00C61759" w:rsidRDefault="00A96579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23.09.2019</w:t>
            </w:r>
          </w:p>
        </w:tc>
      </w:tr>
      <w:tr w:rsidR="00C61759" w14:paraId="50B68745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4F210560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0D81DAD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DF73B9B" w14:textId="77777777" w:rsidR="00C61759" w:rsidRDefault="00A96579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 w:rsidR="00C61759" w14:paraId="6867F004" w14:textId="77777777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0570335E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C6F53B2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5EAB67F" w14:textId="77777777" w:rsidR="00C61759" w:rsidRDefault="00A96579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Guida </w:t>
            </w:r>
            <w:r>
              <w:rPr>
                <w:rFonts w:cs="Arial"/>
                <w:b/>
              </w:rPr>
              <w:t>utente</w:t>
            </w:r>
          </w:p>
        </w:tc>
      </w:tr>
      <w:tr w:rsidR="00C61759" w14:paraId="1DA6AE35" w14:textId="77777777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6FA709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467FF74" w14:textId="77777777" w:rsidR="00C61759" w:rsidRDefault="00C6175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BFD04C" w14:textId="77777777" w:rsidR="00C61759" w:rsidRDefault="00C6175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C61759" w14:paraId="156B724C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1E75DC61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14:paraId="2A9446C3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C61759" w14:paraId="21FCD7E8" w14:textId="77777777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560C7DB6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83FA07C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BFC8810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2019.2.4</w:t>
            </w:r>
          </w:p>
        </w:tc>
      </w:tr>
      <w:tr w:rsidR="00C61759" w14:paraId="275D389E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7BF3B020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EB8BB74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FFC267C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2019.0.4</w:t>
            </w:r>
          </w:p>
        </w:tc>
      </w:tr>
      <w:tr w:rsidR="00C61759" w14:paraId="230264FE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51C982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AC5E56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9ABE87B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2019.5.0</w:t>
            </w:r>
          </w:p>
        </w:tc>
      </w:tr>
      <w:tr w:rsidR="00C61759" w14:paraId="16496CB6" w14:textId="77777777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2DE9217E" w14:textId="77777777" w:rsidR="00C61759" w:rsidRDefault="00C6175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3B6A19C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062B868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Versione  2019.1.5</w:t>
            </w:r>
          </w:p>
        </w:tc>
      </w:tr>
      <w:tr w:rsidR="00C61759" w14:paraId="3EB8C1DB" w14:textId="77777777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DC5092" w14:textId="77777777" w:rsidR="00C61759" w:rsidRDefault="00C61759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0BAB56" w14:textId="77777777" w:rsidR="00C61759" w:rsidRDefault="00A96579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 il dettaglio dei requisiti e delle versioni minime inerenti software di base e </w:t>
            </w:r>
            <w:r>
              <w:rPr>
                <w:rFonts w:ascii="Arial" w:hAnsi="Arial" w:cs="Arial"/>
                <w:b/>
                <w:sz w:val="16"/>
                <w:szCs w:val="16"/>
              </w:rPr>
              <w:t>sistemi operativi consultare la tabella in coda al presente documento</w:t>
            </w:r>
          </w:p>
        </w:tc>
      </w:tr>
    </w:tbl>
    <w:p w14:paraId="50F1D090" w14:textId="77777777" w:rsidR="00C61759" w:rsidRDefault="00C61759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C61759" w14:paraId="5AB3490A" w14:textId="77777777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14:paraId="67DB14A1" w14:textId="77777777" w:rsidR="00C61759" w:rsidRDefault="00A96579">
            <w:pPr>
              <w:pStyle w:val="WWContenutoRilascio"/>
            </w:pPr>
            <w:r>
              <w:t>Contenuto del rilascio</w:t>
            </w:r>
          </w:p>
        </w:tc>
      </w:tr>
      <w:tr w:rsidR="00C61759" w14:paraId="6349FDDC" w14:textId="77777777">
        <w:trPr>
          <w:jc w:val="center"/>
        </w:trPr>
        <w:tc>
          <w:tcPr>
            <w:tcW w:w="9671" w:type="dxa"/>
          </w:tcPr>
          <w:p w14:paraId="2B05FBB2" w14:textId="77777777" w:rsidR="00C61759" w:rsidRDefault="00A96579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Incremento contributo addizionale NASPI</w:t>
            </w:r>
          </w:p>
          <w:p w14:paraId="1F95A732" w14:textId="77777777" w:rsidR="00C61759" w:rsidRDefault="00A96579">
            <w:pPr>
              <w:pStyle w:val="corpoAltF"/>
              <w:ind w:left="454" w:right="170"/>
            </w:pPr>
            <w:r>
              <w:t xml:space="preserve">Allineato il programma alla versione PAGHE 2019.2.4, ai fini del trasferimento nell’elemento </w:t>
            </w:r>
            <w:r>
              <w:t>&lt;AltreADebito&gt; della denuncia individuale UniEmens degli eventuali importi di maggiorazione del contributo addizionale NASpI, con le modalità previste dalla Circ. INPS n. 121 del 6.9.2019.</w:t>
            </w:r>
          </w:p>
          <w:p w14:paraId="4B3BE03C" w14:textId="77777777" w:rsidR="00C61759" w:rsidRDefault="00A96579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EMEFSBA – Gestione arretrati FSBA</w:t>
            </w:r>
          </w:p>
          <w:p w14:paraId="53164B0B" w14:textId="77777777" w:rsidR="00C61759" w:rsidRDefault="00A96579">
            <w:pPr>
              <w:pStyle w:val="corpoAltF"/>
              <w:ind w:left="454" w:right="170"/>
            </w:pPr>
            <w:r>
              <w:t>Implementato il programma per age</w:t>
            </w:r>
            <w:r>
              <w:t>volare l’utente nell’elaborazione delle eventuali denunce di variazione delle mensilità pregresse il mese di maggio 2019 al fine di riportare le informazioni relative agli eventi di Assegno ordinario e solidarietà FSBA liquidati in tali mesi.</w:t>
            </w:r>
          </w:p>
          <w:p w14:paraId="1949B865" w14:textId="77777777" w:rsidR="00C61759" w:rsidRDefault="00A96579">
            <w:pPr>
              <w:pStyle w:val="corpoAltF"/>
              <w:spacing w:before="60"/>
              <w:ind w:left="454" w:right="170"/>
            </w:pPr>
            <w:r>
              <w:t xml:space="preserve">A tal fine è </w:t>
            </w:r>
            <w:r>
              <w:t xml:space="preserve">stato predisposto il nuovo comando </w:t>
            </w:r>
            <w:r>
              <w:rPr>
                <w:b/>
                <w:bCs/>
              </w:rPr>
              <w:t>EMEFSBA</w:t>
            </w:r>
            <w:r>
              <w:t xml:space="preserve"> “</w:t>
            </w:r>
            <w:r>
              <w:rPr>
                <w:i/>
                <w:iCs/>
              </w:rPr>
              <w:t>Generazione arretrati FSBA</w:t>
            </w:r>
            <w:r>
              <w:t xml:space="preserve">” che consente di effettuare la variazione delle denunce </w:t>
            </w:r>
            <w:proofErr w:type="spellStart"/>
            <w:r>
              <w:t>UniEMens</w:t>
            </w:r>
            <w:proofErr w:type="spellEnd"/>
            <w:r>
              <w:t xml:space="preserve"> con le informazioni relative agli eventi FSBA e generare il flusso telematico sostitutivo relativo alle denunce interess</w:t>
            </w:r>
            <w:r>
              <w:t>ate.</w:t>
            </w:r>
          </w:p>
          <w:p w14:paraId="3C33B489" w14:textId="77777777" w:rsidR="00C61759" w:rsidRDefault="00A96579">
            <w:pPr>
              <w:pStyle w:val="corpoAltF"/>
              <w:spacing w:before="60"/>
              <w:ind w:left="454" w:right="170"/>
            </w:pPr>
            <w:r>
              <w:t xml:space="preserve">Tale comando deve essere effettuato dopo aver eseguito il comando </w:t>
            </w:r>
            <w:r>
              <w:rPr>
                <w:b/>
                <w:bCs/>
              </w:rPr>
              <w:t>UTYFSBA</w:t>
            </w:r>
            <w:r>
              <w:t xml:space="preserve"> dalla procedura </w:t>
            </w:r>
            <w:r>
              <w:rPr>
                <w:b/>
                <w:bCs/>
              </w:rPr>
              <w:t>PAGHE</w:t>
            </w:r>
            <w:r>
              <w:t xml:space="preserve"> (vers. PAGHE 2019.2.1).</w:t>
            </w:r>
          </w:p>
          <w:p w14:paraId="26A1CE4D" w14:textId="77777777" w:rsidR="00C61759" w:rsidRDefault="00A96579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Anomalie risolte</w:t>
            </w:r>
          </w:p>
          <w:p w14:paraId="28743458" w14:textId="77777777" w:rsidR="00C61759" w:rsidRDefault="00A96579">
            <w:pPr>
              <w:pStyle w:val="corpoAltF"/>
              <w:ind w:left="454" w:right="170"/>
            </w:pPr>
            <w:r>
              <w:t>È stata corretta la seguente anomalia riguardante il prelievo dati.</w:t>
            </w:r>
          </w:p>
          <w:p w14:paraId="0D08DBAE" w14:textId="77777777" w:rsidR="00C61759" w:rsidRDefault="00A96579">
            <w:pPr>
              <w:pStyle w:val="corpoAltF"/>
              <w:numPr>
                <w:ilvl w:val="0"/>
                <w:numId w:val="36"/>
              </w:numPr>
              <w:ind w:right="170"/>
            </w:pPr>
            <w:r>
              <w:t xml:space="preserve">Nel caso di dipendente licenziato in mesi </w:t>
            </w:r>
            <w:r>
              <w:t>precedenti per il quale nel mese è stato elaborato il cedolino per effettuare il recupero dell’importo di arretrato dell’incentivo Sud 2019, il programma non generava la denuncia individuale.</w:t>
            </w:r>
          </w:p>
          <w:p w14:paraId="27E04F2B" w14:textId="77777777" w:rsidR="00C61759" w:rsidRDefault="00C61759">
            <w:pPr>
              <w:pStyle w:val="corpoAltF"/>
              <w:ind w:left="454" w:right="170"/>
            </w:pPr>
          </w:p>
        </w:tc>
      </w:tr>
    </w:tbl>
    <w:p w14:paraId="289CC793" w14:textId="77777777" w:rsidR="00C61759" w:rsidRDefault="00C61759">
      <w:pPr>
        <w:pStyle w:val="CorpoAltF0"/>
      </w:pPr>
      <w:bookmarkStart w:id="0" w:name="_Toc33011301"/>
    </w:p>
    <w:p w14:paraId="21A12666" w14:textId="31D70D57" w:rsidR="00C61759" w:rsidRDefault="00C61759">
      <w:pPr>
        <w:pStyle w:val="CorpoAltF0"/>
      </w:pPr>
    </w:p>
    <w:p w14:paraId="2227A3A4" w14:textId="77777777" w:rsidR="00A96579" w:rsidRDefault="00A96579">
      <w:pPr>
        <w:pStyle w:val="CorpoAltF0"/>
      </w:pPr>
      <w:bookmarkStart w:id="1" w:name="_GoBack"/>
      <w:bookmarkEnd w:id="1"/>
    </w:p>
    <w:p w14:paraId="3E4AE248" w14:textId="77777777" w:rsidR="00C61759" w:rsidRDefault="00A96579">
      <w:pPr>
        <w:pStyle w:val="CorpoAltF0"/>
      </w:pPr>
      <w:r>
        <w:br w:type="page"/>
      </w:r>
    </w:p>
    <w:bookmarkEnd w:id="0"/>
    <w:p w14:paraId="59D7CC15" w14:textId="77777777" w:rsidR="00C61759" w:rsidRDefault="00C61759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 w:rsidR="00C61759" w14:paraId="5F74C088" w14:textId="77777777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14:paraId="46BD18FF" w14:textId="77777777" w:rsidR="00C61759" w:rsidRDefault="00A96579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 w14:paraId="1D0B0FB4" w14:textId="77777777" w:rsidR="00C61759" w:rsidRDefault="00C61759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C61759" w14:paraId="08FBE331" w14:textId="77777777">
        <w:trPr>
          <w:jc w:val="center"/>
        </w:trPr>
        <w:tc>
          <w:tcPr>
            <w:tcW w:w="4825" w:type="dxa"/>
            <w:shd w:val="clear" w:color="auto" w:fill="BFBFBF"/>
          </w:tcPr>
          <w:p w14:paraId="4C662E41" w14:textId="77777777" w:rsidR="00C61759" w:rsidRDefault="00A96579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14:paraId="0709407E" w14:textId="77777777" w:rsidR="00C61759" w:rsidRDefault="00A96579"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Ambiente </w:t>
            </w:r>
            <w:r>
              <w:rPr>
                <w:sz w:val="18"/>
                <w:szCs w:val="18"/>
              </w:rPr>
              <w:t>LINUX</w:t>
            </w:r>
          </w:p>
        </w:tc>
      </w:tr>
      <w:tr w:rsidR="00C61759" w14:paraId="2339D90E" w14:textId="77777777">
        <w:trPr>
          <w:jc w:val="center"/>
        </w:trPr>
        <w:tc>
          <w:tcPr>
            <w:tcW w:w="4825" w:type="dxa"/>
          </w:tcPr>
          <w:p w14:paraId="424771DE" w14:textId="77777777" w:rsidR="00C61759" w:rsidRDefault="00A96579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14:paraId="49E82BC9" w14:textId="77777777" w:rsidR="00C61759" w:rsidRDefault="00A96579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 w14:paraId="6AE4AB90" w14:textId="77777777" w:rsidR="00C61759" w:rsidRDefault="00A9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14:paraId="6196A294" w14:textId="77777777" w:rsidR="00C61759" w:rsidRDefault="00A96579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AE7FDED" w14:textId="77777777" w:rsidR="00C61759" w:rsidRDefault="00A9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Inserire il CD-ROM nel drive del server e confermare l’avvio </w:t>
            </w:r>
            <w:r>
              <w:rPr>
                <w:rFonts w:ascii="Arial" w:hAnsi="Arial" w:cs="Arial"/>
                <w:sz w:val="16"/>
                <w:szCs w:val="16"/>
              </w:rPr>
              <w:t>dell’installazione</w:t>
            </w:r>
          </w:p>
          <w:p w14:paraId="61055818" w14:textId="77777777" w:rsidR="00C61759" w:rsidRDefault="00C61759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14:paraId="2511793F" w14:textId="77777777" w:rsidR="00C61759" w:rsidRDefault="00A96579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14:paraId="2A652846" w14:textId="77777777" w:rsidR="00C61759" w:rsidRDefault="00A96579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14:paraId="05C6DCBA" w14:textId="77777777" w:rsidR="00C61759" w:rsidRDefault="00A9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14:paraId="390E7023" w14:textId="77777777" w:rsidR="00C61759" w:rsidRDefault="00A9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EXE: S</w:t>
            </w:r>
            <w:r>
              <w:rPr>
                <w:rFonts w:ascii="Arial" w:hAnsi="Arial" w:cs="Arial"/>
                <w:sz w:val="16"/>
                <w:szCs w:val="16"/>
              </w:rPr>
              <w:t xml:space="preserve">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14:paraId="79F0BAC4" w14:textId="77777777" w:rsidR="00C61759" w:rsidRDefault="00C61759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14:paraId="7D48BEA1" w14:textId="77777777" w:rsidR="00C61759" w:rsidRDefault="00C61759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C61759" w14:paraId="504B34AA" w14:textId="7777777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6AC630CE" w14:textId="77777777" w:rsidR="00C61759" w:rsidRDefault="00A96579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C61759" w14:paraId="3FFBB97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03031E6" w14:textId="77777777" w:rsidR="00C61759" w:rsidRDefault="00A96579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3F74416" w14:textId="77777777" w:rsidR="00C61759" w:rsidRDefault="00A96579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C61759" w14:paraId="50A3951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706C9EC" w14:textId="77777777" w:rsidR="00C61759" w:rsidRDefault="00A96579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A7D2559" w14:textId="77777777" w:rsidR="00C61759" w:rsidRDefault="00A96579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4E0E8D2A" w14:textId="77777777" w:rsidR="00C61759" w:rsidRDefault="00A96579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14:paraId="1F4A6930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14:paraId="04B2239E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14:paraId="410D1B52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14:paraId="2EDDF819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14:paraId="1483B2B9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14:paraId="1B6C1C4E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14:paraId="1D869F8D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C61759" w14:paraId="30BA32F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E9AE43A" w14:textId="77777777" w:rsidR="00C61759" w:rsidRDefault="00A96579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732553F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14:paraId="30FD1300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14:paraId="77CEBAEB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14:paraId="50E5B3FE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14:paraId="17370366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14:paraId="348A17A7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14:paraId="72420AA4" w14:textId="77777777" w:rsidR="00C61759" w:rsidRDefault="00C61759">
      <w:pPr>
        <w:pStyle w:val="Ignora"/>
        <w:rPr>
          <w:sz w:val="10"/>
          <w:szCs w:val="10"/>
          <w:lang w:val="en-GB"/>
        </w:rPr>
      </w:pPr>
    </w:p>
    <w:p w14:paraId="6A9F1868" w14:textId="77777777" w:rsidR="00C61759" w:rsidRDefault="00A96579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14:paraId="74783E19" w14:textId="77777777" w:rsidR="00C61759" w:rsidRDefault="00A96579">
      <w:pPr>
        <w:numPr>
          <w:ilvl w:val="0"/>
          <w:numId w:val="2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14:paraId="43F329A3" w14:textId="77777777" w:rsidR="00C61759" w:rsidRDefault="00C61759">
      <w:pPr>
        <w:pStyle w:val="CorpoAltF0"/>
        <w:rPr>
          <w:sz w:val="10"/>
          <w:szCs w:val="10"/>
        </w:rPr>
      </w:pPr>
    </w:p>
    <w:p w14:paraId="62912310" w14:textId="77777777" w:rsidR="00C61759" w:rsidRDefault="00C61759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C61759" w14:paraId="5AC6D6FC" w14:textId="77777777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14:paraId="74FAF646" w14:textId="77777777" w:rsidR="00C61759" w:rsidRDefault="00A96579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C61759" w14:paraId="37F7131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9326F9F" w14:textId="77777777" w:rsidR="00C61759" w:rsidRDefault="00A96579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EF0D3B8" w14:textId="77777777" w:rsidR="00C61759" w:rsidRDefault="00A96579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C61759" w14:paraId="67F6B29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CA3F348" w14:textId="77777777" w:rsidR="00C61759" w:rsidRDefault="00A96579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8B8E526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14:paraId="483BD465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14:paraId="3A500E9E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14:paraId="2C4D9AC4" w14:textId="77777777" w:rsidR="00C61759" w:rsidRDefault="00C61759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3837231A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14:paraId="364A6461" w14:textId="77777777" w:rsidR="00C61759" w:rsidRDefault="00C61759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14:paraId="5EF99F19" w14:textId="77777777" w:rsidR="00C61759" w:rsidRDefault="00A96579"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14:paraId="29597553" w14:textId="77777777" w:rsidR="00C61759" w:rsidRDefault="00A96579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14:paraId="7E2D2E1A" w14:textId="77777777" w:rsidR="00C61759" w:rsidRDefault="00C61759">
      <w:pPr>
        <w:pStyle w:val="Ignora"/>
        <w:rPr>
          <w:sz w:val="10"/>
          <w:szCs w:val="10"/>
        </w:rPr>
      </w:pPr>
    </w:p>
    <w:p w14:paraId="264E9BF3" w14:textId="77777777" w:rsidR="00C61759" w:rsidRDefault="00A96579"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>
        <w:rPr>
          <w:rFonts w:ascii="LFT Etica Lt" w:hAnsi="LFT Etica Lt"/>
          <w:sz w:val="18"/>
          <w:szCs w:val="18"/>
        </w:rPr>
        <w:t>TeamLinux</w:t>
      </w:r>
      <w:proofErr w:type="spellEnd"/>
      <w:r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 w14:paraId="30C18089" w14:textId="77777777" w:rsidR="00C61759" w:rsidRDefault="00A96579">
      <w:pPr>
        <w:pStyle w:val="Paragrafoelenco"/>
        <w:numPr>
          <w:ilvl w:val="0"/>
          <w:numId w:val="2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Ubuntu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16.04 LTS 64 bit</w:t>
      </w:r>
    </w:p>
    <w:p w14:paraId="0A6CD7A6" w14:textId="77777777" w:rsidR="00C61759" w:rsidRDefault="00A96579">
      <w:pPr>
        <w:pStyle w:val="Paragrafoelenco"/>
        <w:numPr>
          <w:ilvl w:val="0"/>
          <w:numId w:val="2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 w14:paraId="0C99A08C" w14:textId="77777777" w:rsidR="00C61759" w:rsidRDefault="00C61759">
      <w:pPr>
        <w:pStyle w:val="Ignora"/>
        <w:rPr>
          <w:sz w:val="10"/>
          <w:szCs w:val="10"/>
        </w:rPr>
      </w:pPr>
    </w:p>
    <w:p w14:paraId="7CB0D8E6" w14:textId="77777777" w:rsidR="00C61759" w:rsidRDefault="00A96579"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14:paraId="277DD8AE" w14:textId="77777777" w:rsidR="00C61759" w:rsidRDefault="00A96579"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 w14:paraId="21EE5F0F" w14:textId="77777777" w:rsidR="00C61759" w:rsidRDefault="00C61759">
      <w:pPr>
        <w:pStyle w:val="Ignora"/>
        <w:rPr>
          <w:sz w:val="10"/>
          <w:szCs w:val="10"/>
        </w:rPr>
      </w:pPr>
    </w:p>
    <w:p w14:paraId="50C17FBD" w14:textId="77777777" w:rsidR="00C61759" w:rsidRDefault="00A96579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14:paraId="2A4E65D4" w14:textId="77777777" w:rsidR="00C61759" w:rsidRDefault="00A96579"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TeamPortal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 w14:paraId="1CA54CA3" w14:textId="77777777" w:rsidR="00C61759" w:rsidRDefault="00A96579"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14:paraId="0C79BBCB" w14:textId="77777777" w:rsidR="00C61759" w:rsidRDefault="00A96579"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Sysint</w:t>
      </w:r>
      <w:proofErr w:type="spellEnd"/>
      <w:r>
        <w:rPr>
          <w:rFonts w:ascii="LFT Etica Lt" w:hAnsi="LFT Etica Lt" w:cs="Arial"/>
          <w:sz w:val="18"/>
          <w:szCs w:val="18"/>
        </w:rPr>
        <w:t xml:space="preserve">/W 20140100 </w:t>
      </w:r>
    </w:p>
    <w:p w14:paraId="35262587" w14:textId="77777777" w:rsidR="00C61759" w:rsidRDefault="00A96579"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>
        <w:rPr>
          <w:rFonts w:ascii="LFT Etica Lt" w:hAnsi="LFT Etica Lt" w:cs="Arial"/>
          <w:sz w:val="18"/>
          <w:szCs w:val="18"/>
        </w:rPr>
        <w:t>SysIntGateway</w:t>
      </w:r>
      <w:proofErr w:type="spellEnd"/>
      <w:r>
        <w:rPr>
          <w:rFonts w:ascii="LFT Etica Lt" w:hAnsi="LFT Etica Lt" w:cs="Arial"/>
          <w:sz w:val="18"/>
          <w:szCs w:val="18"/>
        </w:rPr>
        <w:t xml:space="preserve"> ultima versione rilasciata</w:t>
      </w:r>
    </w:p>
    <w:p w14:paraId="137A6A29" w14:textId="77777777" w:rsidR="00C61759" w:rsidRDefault="00A96579"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 w14:paraId="5A47709F" w14:textId="77777777" w:rsidR="00C61759" w:rsidRDefault="00C61759">
      <w:pPr>
        <w:pStyle w:val="Ignora"/>
        <w:rPr>
          <w:sz w:val="10"/>
          <w:szCs w:val="10"/>
        </w:rPr>
      </w:pPr>
    </w:p>
    <w:p w14:paraId="01B879C7" w14:textId="77777777" w:rsidR="00C61759" w:rsidRDefault="00A96579"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>Dismissione</w:t>
      </w:r>
      <w:r>
        <w:rPr>
          <w:rFonts w:ascii="LFT Etica Lt" w:hAnsi="LFT Etica Lt" w:cs="Arial"/>
          <w:b/>
          <w:sz w:val="18"/>
          <w:szCs w:val="18"/>
        </w:rPr>
        <w:t xml:space="preserve"> modulo </w:t>
      </w:r>
      <w:proofErr w:type="spellStart"/>
      <w:r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</w:t>
      </w:r>
    </w:p>
    <w:p w14:paraId="1D247DFE" w14:textId="77777777" w:rsidR="00C61759" w:rsidRDefault="00A96579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</w:p>
    <w:sectPr w:rsidR="00C61759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55289" w14:textId="77777777" w:rsidR="00C61759" w:rsidRDefault="00A96579">
      <w:r>
        <w:separator/>
      </w:r>
    </w:p>
  </w:endnote>
  <w:endnote w:type="continuationSeparator" w:id="0">
    <w:p w14:paraId="52C1F6B4" w14:textId="77777777" w:rsidR="00C61759" w:rsidRDefault="00A9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1339" w14:textId="77777777" w:rsidR="00C61759" w:rsidRDefault="00A96579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41CA51A2" wp14:editId="09AA947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C61759" w14:paraId="1D2C9E81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11BE646D" w14:textId="77777777" w:rsidR="00C61759" w:rsidRDefault="00C61759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14:paraId="501F6098" w14:textId="77777777" w:rsidR="00C61759" w:rsidRDefault="00A96579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5EC98D7F" w14:textId="77777777" w:rsidR="00C61759" w:rsidRDefault="00A96579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2019.2.1</w:t>
          </w:r>
        </w:p>
      </w:tc>
      <w:tc>
        <w:tcPr>
          <w:tcW w:w="1701" w:type="dxa"/>
        </w:tcPr>
        <w:p w14:paraId="754618A6" w14:textId="77777777" w:rsidR="00C61759" w:rsidRDefault="00A96579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14:paraId="53C97AA0" w14:textId="77777777" w:rsidR="00C61759" w:rsidRDefault="00C61759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7A76" w14:textId="77777777" w:rsidR="00C61759" w:rsidRDefault="00A96579">
      <w:r>
        <w:separator/>
      </w:r>
    </w:p>
  </w:footnote>
  <w:footnote w:type="continuationSeparator" w:id="0">
    <w:p w14:paraId="36E1B49C" w14:textId="77777777" w:rsidR="00C61759" w:rsidRDefault="00A9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C61759" w14:paraId="203D7E15" w14:textId="77777777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7F87F6B" w14:textId="77777777" w:rsidR="00C61759" w:rsidRDefault="00A96579">
          <w:pPr>
            <w:pStyle w:val="Intestazione"/>
            <w:spacing w:before="6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79E8BCA0" wp14:editId="70993D1C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33CFB39" w14:textId="77777777" w:rsidR="00C61759" w:rsidRDefault="00A96579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57E7AE5" w14:textId="77777777" w:rsidR="00C61759" w:rsidRDefault="00C61759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C61759" w14:paraId="71A44143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721AABC4" w14:textId="77777777" w:rsidR="00C61759" w:rsidRDefault="00C61759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14:paraId="043C6AA1" w14:textId="77777777" w:rsidR="00C61759" w:rsidRDefault="00A96579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 xml:space="preserve">Il presente documento costituisce un’integrazione al manuale utente del </w:t>
          </w:r>
          <w:r>
            <w:rPr>
              <w:rFonts w:ascii="Arial" w:hAnsi="Arial" w:cs="Arial"/>
              <w:color w:val="000080"/>
              <w:sz w:val="16"/>
            </w:rPr>
            <w:t>prodotto ed evidenzia le variazioni apportate con la release.</w:t>
          </w:r>
        </w:p>
        <w:p w14:paraId="1CD34FAC" w14:textId="77777777" w:rsidR="00C61759" w:rsidRDefault="00C61759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4568A7FE" w14:textId="77777777" w:rsidR="00C61759" w:rsidRDefault="00C61759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A09"/>
    <w:multiLevelType w:val="hybridMultilevel"/>
    <w:tmpl w:val="14405C3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244F7A"/>
    <w:multiLevelType w:val="hybridMultilevel"/>
    <w:tmpl w:val="E09C3C24"/>
    <w:lvl w:ilvl="0" w:tplc="BBE83586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44103"/>
    <w:multiLevelType w:val="hybridMultilevel"/>
    <w:tmpl w:val="EC703ED6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A1332"/>
    <w:multiLevelType w:val="hybridMultilevel"/>
    <w:tmpl w:val="3112CC5A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6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29B5"/>
    <w:multiLevelType w:val="hybridMultilevel"/>
    <w:tmpl w:val="44B8D3CE"/>
    <w:lvl w:ilvl="0" w:tplc="1990318C">
      <w:start w:val="5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6A19"/>
    <w:multiLevelType w:val="hybridMultilevel"/>
    <w:tmpl w:val="B8B21002"/>
    <w:lvl w:ilvl="0" w:tplc="9612950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8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2"/>
  </w:num>
  <w:num w:numId="5">
    <w:abstractNumId w:val="8"/>
  </w:num>
  <w:num w:numId="6">
    <w:abstractNumId w:val="24"/>
  </w:num>
  <w:num w:numId="7">
    <w:abstractNumId w:val="11"/>
  </w:num>
  <w:num w:numId="8">
    <w:abstractNumId w:val="15"/>
  </w:num>
  <w:num w:numId="9">
    <w:abstractNumId w:val="23"/>
  </w:num>
  <w:num w:numId="10">
    <w:abstractNumId w:val="9"/>
  </w:num>
  <w:num w:numId="11">
    <w:abstractNumId w:val="16"/>
  </w:num>
  <w:num w:numId="12">
    <w:abstractNumId w:val="13"/>
  </w:num>
  <w:num w:numId="13">
    <w:abstractNumId w:val="33"/>
  </w:num>
  <w:num w:numId="14">
    <w:abstractNumId w:val="2"/>
  </w:num>
  <w:num w:numId="15">
    <w:abstractNumId w:val="30"/>
  </w:num>
  <w:num w:numId="16">
    <w:abstractNumId w:val="31"/>
  </w:num>
  <w:num w:numId="17">
    <w:abstractNumId w:val="21"/>
  </w:num>
  <w:num w:numId="18">
    <w:abstractNumId w:val="35"/>
  </w:num>
  <w:num w:numId="19">
    <w:abstractNumId w:val="17"/>
  </w:num>
  <w:num w:numId="20">
    <w:abstractNumId w:val="26"/>
  </w:num>
  <w:num w:numId="21">
    <w:abstractNumId w:val="20"/>
  </w:num>
  <w:num w:numId="22">
    <w:abstractNumId w:val="34"/>
  </w:num>
  <w:num w:numId="23">
    <w:abstractNumId w:val="6"/>
  </w:num>
  <w:num w:numId="24">
    <w:abstractNumId w:val="12"/>
  </w:num>
  <w:num w:numId="25">
    <w:abstractNumId w:val="28"/>
  </w:num>
  <w:num w:numId="26">
    <w:abstractNumId w:val="7"/>
  </w:num>
  <w:num w:numId="27">
    <w:abstractNumId w:val="25"/>
  </w:num>
  <w:num w:numId="28">
    <w:abstractNumId w:val="19"/>
  </w:num>
  <w:num w:numId="29">
    <w:abstractNumId w:val="29"/>
  </w:num>
  <w:num w:numId="30">
    <w:abstractNumId w:val="27"/>
  </w:num>
  <w:num w:numId="31">
    <w:abstractNumId w:val="5"/>
  </w:num>
  <w:num w:numId="32">
    <w:abstractNumId w:val="22"/>
  </w:num>
  <w:num w:numId="33">
    <w:abstractNumId w:val="14"/>
  </w:num>
  <w:num w:numId="34">
    <w:abstractNumId w:val="0"/>
  </w:num>
  <w:num w:numId="35">
    <w:abstractNumId w:val="10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4337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59"/>
    <w:rsid w:val="00A96579"/>
    <w:rsid w:val="00C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4829B402"/>
  <w15:docId w15:val="{9636F28F-C164-4001-B02B-6E20E0E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rv02-dcbo\Winny\Paghe\Documentale\MODELLI%20NOTE\EMENS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85AE-F0C8-48C8-A997-02D61258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EMENS_AAAAxxYY_CR</Template>
  <TotalTime>177</TotalTime>
  <Pages>2</Pages>
  <Words>596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63</cp:revision>
  <cp:lastPrinted>2019-09-23T16:44:00Z</cp:lastPrinted>
  <dcterms:created xsi:type="dcterms:W3CDTF">2019-07-16T21:50:00Z</dcterms:created>
  <dcterms:modified xsi:type="dcterms:W3CDTF">2019-09-23T16:44:00Z</dcterms:modified>
</cp:coreProperties>
</file>