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RELEASE </w:t>
            </w:r>
            <w:proofErr w:type="spellStart"/>
            <w:r>
              <w:rPr>
                <w:lang w:val="en-US"/>
              </w:rPr>
              <w:t>Versione</w:t>
            </w:r>
            <w:proofErr w:type="spellEnd"/>
            <w:r>
              <w:rPr>
                <w:lang w:val="en-US"/>
              </w:rPr>
              <w:t xml:space="preserve"> 2019.3.0</w:t>
            </w:r>
          </w:p>
        </w:tc>
      </w:tr>
    </w:tbl>
    <w:p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EMENS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2019.3.0 (Versione completa)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20.11.2019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2019</w:t>
            </w:r>
            <w:proofErr w:type="gramEnd"/>
            <w:r>
              <w:rPr>
                <w:rFonts w:ascii="Arial" w:hAnsi="Arial" w:cs="Arial"/>
                <w:b/>
              </w:rPr>
              <w:t>.3.0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2019</w:t>
            </w:r>
            <w:proofErr w:type="gramEnd"/>
            <w:r>
              <w:rPr>
                <w:rFonts w:ascii="Arial" w:hAnsi="Arial" w:cs="Arial"/>
                <w:b/>
              </w:rPr>
              <w:t>.0.5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2019</w:t>
            </w:r>
            <w:proofErr w:type="gramEnd"/>
            <w:r>
              <w:rPr>
                <w:rFonts w:ascii="Arial" w:hAnsi="Arial" w:cs="Arial"/>
                <w:b/>
              </w:rPr>
              <w:t>.5.1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2019</w:t>
            </w:r>
            <w:proofErr w:type="gramEnd"/>
            <w:r>
              <w:rPr>
                <w:rFonts w:ascii="Arial" w:hAnsi="Arial" w:cs="Arial"/>
                <w:b/>
              </w:rPr>
              <w:t>.1.7</w:t>
            </w: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Denuncia UNIEMENS / </w:t>
            </w:r>
            <w:proofErr w:type="spellStart"/>
            <w:r>
              <w:rPr>
                <w:b/>
                <w:sz w:val="22"/>
                <w:szCs w:val="22"/>
              </w:rPr>
              <w:t>PosAgri</w:t>
            </w:r>
            <w:proofErr w:type="spellEnd"/>
          </w:p>
          <w:p>
            <w:pPr>
              <w:pStyle w:val="corpoAltF"/>
              <w:ind w:left="454" w:right="170"/>
            </w:pPr>
            <w:r>
              <w:t>La procedura EMENS è stata implementata per gestire le novità introdotte dalla Circolare n. 65/2019, e quindi consentire l’elaborazione delle denunce che decorrono dal mese di competenza gennaio 2020 con il sistema UNIEMENS.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Maggiorazione contributo addizionale </w:t>
            </w:r>
            <w:proofErr w:type="spellStart"/>
            <w:r>
              <w:rPr>
                <w:b/>
                <w:sz w:val="22"/>
                <w:szCs w:val="22"/>
              </w:rPr>
              <w:t>NASpI</w:t>
            </w:r>
            <w:proofErr w:type="spellEnd"/>
          </w:p>
          <w:p>
            <w:pPr>
              <w:pStyle w:val="corpoAltF"/>
              <w:ind w:left="454" w:right="170"/>
            </w:pPr>
            <w:r>
              <w:t>Modificata la modalità di esposizione della maggiorazione in oggetto in caso di rinnovo superiore al nono (messaggio INPS n. 4098 del 08.11.2019).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 Studio – Contesto PAGHE</w:t>
            </w:r>
          </w:p>
          <w:p>
            <w:pPr>
              <w:pStyle w:val="corpoAltF"/>
              <w:ind w:left="454" w:right="170"/>
            </w:pPr>
            <w:r>
              <w:t>Tra le funzioni rapide del contesto PAGHE è stato inserito il nuovo pulsante “</w:t>
            </w:r>
            <w:r>
              <w:rPr>
                <w:i/>
                <w:iCs/>
              </w:rPr>
              <w:t>Note ultimi rilasci</w:t>
            </w:r>
            <w:r>
              <w:t xml:space="preserve">”, che consente di accedere alle note operative delle ultime versioni pubblicate per gli applicativi </w:t>
            </w:r>
            <w:r>
              <w:rPr>
                <w:b/>
                <w:bCs/>
              </w:rPr>
              <w:t>EMENS</w:t>
            </w:r>
            <w:r>
              <w:t xml:space="preserve"> e </w:t>
            </w:r>
            <w:r>
              <w:rPr>
                <w:b/>
                <w:bCs/>
              </w:rPr>
              <w:t>PAGHE</w:t>
            </w:r>
            <w:r>
              <w:t>.</w:t>
            </w:r>
          </w:p>
          <w:p>
            <w:pPr>
              <w:pStyle w:val="corpoAltF"/>
              <w:ind w:left="454" w:right="170"/>
              <w:rPr>
                <w:b/>
              </w:rPr>
            </w:pPr>
            <w:r>
              <w:rPr>
                <w:b/>
              </w:rPr>
              <w:t>PREREQUISITI</w:t>
            </w:r>
          </w:p>
          <w:p>
            <w:pPr>
              <w:pStyle w:val="corpoAltF"/>
              <w:numPr>
                <w:ilvl w:val="0"/>
                <w:numId w:val="38"/>
              </w:numPr>
              <w:ind w:left="707" w:right="170" w:hanging="284"/>
            </w:pPr>
            <w:r>
              <w:rPr>
                <w:b/>
                <w:bCs/>
              </w:rPr>
              <w:t>TS Experience 20190400</w:t>
            </w:r>
          </w:p>
          <w:p>
            <w:pPr>
              <w:pStyle w:val="corpoAltF"/>
              <w:numPr>
                <w:ilvl w:val="0"/>
                <w:numId w:val="38"/>
              </w:numPr>
              <w:ind w:left="707" w:right="170" w:hanging="284"/>
            </w:pPr>
            <w:r>
              <w:rPr>
                <w:b/>
                <w:bCs/>
              </w:rPr>
              <w:t>Versione EMENS 2019.3.0</w:t>
            </w:r>
          </w:p>
          <w:p>
            <w:pPr>
              <w:pStyle w:val="corpoAltF"/>
              <w:ind w:left="454" w:right="170"/>
            </w:pPr>
          </w:p>
          <w:p>
            <w:pPr>
              <w:pStyle w:val="corpoAltF"/>
              <w:ind w:left="454" w:right="170"/>
            </w:pPr>
          </w:p>
        </w:tc>
      </w:tr>
    </w:tbl>
    <w:p>
      <w:pPr>
        <w:pStyle w:val="CorpoAltF0"/>
      </w:pPr>
      <w:bookmarkStart w:id="0" w:name="_Toc33011301"/>
      <w:r>
        <w:br w:type="page"/>
      </w:r>
    </w:p>
    <w:bookmarkEnd w:id="0"/>
    <w:p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>
      <w:pPr>
        <w:pStyle w:val="Ignora"/>
        <w:rPr>
          <w:sz w:val="10"/>
          <w:szCs w:val="10"/>
          <w:lang w:val="en-GB"/>
        </w:rPr>
      </w:pPr>
    </w:p>
    <w:p>
      <w:pPr>
        <w:numPr>
          <w:ilvl w:val="0"/>
          <w:numId w:val="1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2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 xml:space="preserve">In alternativa a </w:t>
      </w:r>
      <w:proofErr w:type="spellStart"/>
      <w:r>
        <w:rPr>
          <w:rFonts w:ascii="LFT Etica Lt" w:hAnsi="LFT Etica Lt"/>
          <w:sz w:val="18"/>
          <w:szCs w:val="18"/>
        </w:rPr>
        <w:t>TeamLinux</w:t>
      </w:r>
      <w:proofErr w:type="spellEnd"/>
      <w:r>
        <w:rPr>
          <w:rFonts w:ascii="LFT Etica Lt" w:hAnsi="LFT Etica Lt"/>
          <w:sz w:val="18"/>
          <w:szCs w:val="18"/>
        </w:rPr>
        <w:t xml:space="preserve"> si suggerisce l’utilizzo dei seguenti sistemi operativi:</w:t>
      </w:r>
    </w:p>
    <w:p>
      <w:pPr>
        <w:pStyle w:val="Paragrafoelenco"/>
        <w:numPr>
          <w:ilvl w:val="0"/>
          <w:numId w:val="2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Ubuntu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16.04 LTS 64 bit</w:t>
      </w:r>
    </w:p>
    <w:p>
      <w:pPr>
        <w:pStyle w:val="Paragrafoelenco"/>
        <w:numPr>
          <w:ilvl w:val="0"/>
          <w:numId w:val="2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CentOS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7.3 64 bit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>
      <w:pPr>
        <w:numPr>
          <w:ilvl w:val="0"/>
          <w:numId w:val="2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POLYEDRO ultima versione rilasciata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>
        <w:rPr>
          <w:rFonts w:ascii="LFT Etica Lt" w:hAnsi="LFT Etica Lt" w:cs="Arial"/>
          <w:b/>
          <w:sz w:val="18"/>
          <w:szCs w:val="18"/>
        </w:rPr>
        <w:t>Gecom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>
      <w:pPr>
        <w:numPr>
          <w:ilvl w:val="0"/>
          <w:numId w:val="2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TeamPortal</w:t>
      </w:r>
      <w:proofErr w:type="spellEnd"/>
      <w:r>
        <w:rPr>
          <w:rFonts w:ascii="LFT Etica Lt" w:hAnsi="LFT Etica Lt" w:cs="Arial"/>
          <w:sz w:val="18"/>
          <w:szCs w:val="18"/>
        </w:rPr>
        <w:t xml:space="preserve"> ultima versione rilasciata</w:t>
      </w:r>
    </w:p>
    <w:p>
      <w:pPr>
        <w:numPr>
          <w:ilvl w:val="0"/>
          <w:numId w:val="2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Moduli software di base per Ambienti Integrazione:</w:t>
      </w:r>
    </w:p>
    <w:p>
      <w:pPr>
        <w:pStyle w:val="Paragrafoelenco"/>
        <w:numPr>
          <w:ilvl w:val="0"/>
          <w:numId w:val="3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Sysint</w:t>
      </w:r>
      <w:proofErr w:type="spellEnd"/>
      <w:r>
        <w:rPr>
          <w:rFonts w:ascii="LFT Etica Lt" w:hAnsi="LFT Etica Lt" w:cs="Arial"/>
          <w:sz w:val="18"/>
          <w:szCs w:val="18"/>
        </w:rPr>
        <w:t xml:space="preserve">/W 20140100 </w:t>
      </w:r>
    </w:p>
    <w:p>
      <w:pPr>
        <w:pStyle w:val="Paragrafoelenco"/>
        <w:numPr>
          <w:ilvl w:val="0"/>
          <w:numId w:val="3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SysIntGateway</w:t>
      </w:r>
      <w:proofErr w:type="spellEnd"/>
      <w:r>
        <w:rPr>
          <w:rFonts w:ascii="LFT Etica Lt" w:hAnsi="LFT Etica Lt" w:cs="Arial"/>
          <w:sz w:val="18"/>
          <w:szCs w:val="18"/>
        </w:rPr>
        <w:t xml:space="preserve"> ultima versione rilasciata</w:t>
      </w:r>
    </w:p>
    <w:p>
      <w:pPr>
        <w:pStyle w:val="Paragrafoelenco"/>
        <w:numPr>
          <w:ilvl w:val="0"/>
          <w:numId w:val="3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Runtime Cobol 812-20160100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Dismissione modulo </w:t>
      </w:r>
      <w:proofErr w:type="spellStart"/>
      <w:r>
        <w:rPr>
          <w:rFonts w:ascii="LFT Etica Lt" w:hAnsi="LFT Etica Lt" w:cs="Arial"/>
          <w:b/>
          <w:sz w:val="18"/>
          <w:szCs w:val="18"/>
        </w:rPr>
        <w:t>AcuXDBC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</w:t>
      </w: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  <w:bookmarkStart w:id="1" w:name="_GoBack"/>
      <w:bookmarkEnd w:id="1"/>
    </w:p>
    <w:sectPr>
      <w:headerReference w:type="default" r:id="rId12"/>
      <w:footerReference w:type="default" r:id="rId13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2019.3.0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6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A09"/>
    <w:multiLevelType w:val="hybridMultilevel"/>
    <w:tmpl w:val="14405C3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8244F7A"/>
    <w:multiLevelType w:val="hybridMultilevel"/>
    <w:tmpl w:val="E09C3C24"/>
    <w:lvl w:ilvl="0" w:tplc="BBE83586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44103"/>
    <w:multiLevelType w:val="hybridMultilevel"/>
    <w:tmpl w:val="EC703ED6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94219"/>
    <w:multiLevelType w:val="hybridMultilevel"/>
    <w:tmpl w:val="02747B9C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6A1332"/>
    <w:multiLevelType w:val="hybridMultilevel"/>
    <w:tmpl w:val="3112CC5A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7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729B5"/>
    <w:multiLevelType w:val="hybridMultilevel"/>
    <w:tmpl w:val="44B8D3CE"/>
    <w:lvl w:ilvl="0" w:tplc="1990318C">
      <w:start w:val="5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46A19"/>
    <w:multiLevelType w:val="hybridMultilevel"/>
    <w:tmpl w:val="B8B21002"/>
    <w:lvl w:ilvl="0" w:tplc="9612950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9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002E7"/>
    <w:multiLevelType w:val="hybridMultilevel"/>
    <w:tmpl w:val="EC40FEAA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4"/>
  </w:num>
  <w:num w:numId="5">
    <w:abstractNumId w:val="8"/>
  </w:num>
  <w:num w:numId="6">
    <w:abstractNumId w:val="25"/>
  </w:num>
  <w:num w:numId="7">
    <w:abstractNumId w:val="11"/>
  </w:num>
  <w:num w:numId="8">
    <w:abstractNumId w:val="16"/>
  </w:num>
  <w:num w:numId="9">
    <w:abstractNumId w:val="24"/>
  </w:num>
  <w:num w:numId="10">
    <w:abstractNumId w:val="9"/>
  </w:num>
  <w:num w:numId="11">
    <w:abstractNumId w:val="17"/>
  </w:num>
  <w:num w:numId="12">
    <w:abstractNumId w:val="14"/>
  </w:num>
  <w:num w:numId="13">
    <w:abstractNumId w:val="35"/>
  </w:num>
  <w:num w:numId="14">
    <w:abstractNumId w:val="2"/>
  </w:num>
  <w:num w:numId="15">
    <w:abstractNumId w:val="31"/>
  </w:num>
  <w:num w:numId="16">
    <w:abstractNumId w:val="33"/>
  </w:num>
  <w:num w:numId="17">
    <w:abstractNumId w:val="22"/>
  </w:num>
  <w:num w:numId="18">
    <w:abstractNumId w:val="37"/>
  </w:num>
  <w:num w:numId="19">
    <w:abstractNumId w:val="18"/>
  </w:num>
  <w:num w:numId="20">
    <w:abstractNumId w:val="27"/>
  </w:num>
  <w:num w:numId="21">
    <w:abstractNumId w:val="21"/>
  </w:num>
  <w:num w:numId="22">
    <w:abstractNumId w:val="36"/>
  </w:num>
  <w:num w:numId="23">
    <w:abstractNumId w:val="6"/>
  </w:num>
  <w:num w:numId="24">
    <w:abstractNumId w:val="12"/>
  </w:num>
  <w:num w:numId="25">
    <w:abstractNumId w:val="29"/>
  </w:num>
  <w:num w:numId="26">
    <w:abstractNumId w:val="7"/>
  </w:num>
  <w:num w:numId="27">
    <w:abstractNumId w:val="26"/>
  </w:num>
  <w:num w:numId="28">
    <w:abstractNumId w:val="20"/>
  </w:num>
  <w:num w:numId="29">
    <w:abstractNumId w:val="30"/>
  </w:num>
  <w:num w:numId="30">
    <w:abstractNumId w:val="28"/>
  </w:num>
  <w:num w:numId="31">
    <w:abstractNumId w:val="5"/>
  </w:num>
  <w:num w:numId="32">
    <w:abstractNumId w:val="23"/>
  </w:num>
  <w:num w:numId="33">
    <w:abstractNumId w:val="15"/>
  </w:num>
  <w:num w:numId="34">
    <w:abstractNumId w:val="0"/>
  </w:num>
  <w:num w:numId="35">
    <w:abstractNumId w:val="10"/>
  </w:num>
  <w:num w:numId="36">
    <w:abstractNumId w:val="19"/>
  </w:num>
  <w:num w:numId="37">
    <w:abstractNumId w:val="32"/>
  </w:num>
  <w:num w:numId="3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49153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9636F28F-C164-4001-B02B-6E20E0EA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resrv02-dcbo\Winny\Paghe\Documentale\MODELLI%20NOTE\EMENS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63F4548FC8E544B15CC10E82D11FF9" ma:contentTypeVersion="11" ma:contentTypeDescription="Creare un nuovo documento." ma:contentTypeScope="" ma:versionID="94f747a40e6be267e7b3d7fa77f0e7a7">
  <xsd:schema xmlns:xsd="http://www.w3.org/2001/XMLSchema" xmlns:xs="http://www.w3.org/2001/XMLSchema" xmlns:p="http://schemas.microsoft.com/office/2006/metadata/properties" xmlns:ns3="3b4564e0-cd9c-4a06-99c2-f60d818cea41" xmlns:ns4="6ae6e4d0-a272-472f-b53f-7d8ecedc20e0" targetNamespace="http://schemas.microsoft.com/office/2006/metadata/properties" ma:root="true" ma:fieldsID="27e8113434bbb71d911e58f1ad833dd7" ns3:_="" ns4:_="">
    <xsd:import namespace="3b4564e0-cd9c-4a06-99c2-f60d818cea41"/>
    <xsd:import namespace="6ae6e4d0-a272-472f-b53f-7d8ecedc20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64e0-cd9c-4a06-99c2-f60d818cea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6e4d0-a272-472f-b53f-7d8ecedc2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93C4-143A-41DE-AFE1-A7A96E8D9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64e0-cd9c-4a06-99c2-f60d818cea41"/>
    <ds:schemaRef ds:uri="6ae6e4d0-a272-472f-b53f-7d8ecedc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BA84E-790D-4F74-BCFE-CCDE8F0A5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0278D-1B92-44EE-AB93-DB3476574872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6ae6e4d0-a272-472f-b53f-7d8ecedc20e0"/>
    <ds:schemaRef ds:uri="3b4564e0-cd9c-4a06-99c2-f60d818cea4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70CA4AB-E12D-4E89-A6A7-6E326BAD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EMENS_AAAAxxYY_CR.dotx</Template>
  <TotalTime>621</TotalTime>
  <Pages>2</Pages>
  <Words>518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26</cp:revision>
  <cp:lastPrinted>2019-11-20T16:06:00Z</cp:lastPrinted>
  <dcterms:created xsi:type="dcterms:W3CDTF">2019-10-09T07:41:00Z</dcterms:created>
  <dcterms:modified xsi:type="dcterms:W3CDTF">2019-11-20T16:06:00Z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0x0101003663F4548FC8E544B15CC10E82D11FF9</vt:lpwstr>
  </property>
</Properties>
</file>