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pPr>
        <w:pStyle w:val="CorpoAltF0"/>
      </w:pPr>
    </w:p>
    <w:p>
      <w:pPr>
        <w:pStyle w:val="CorpoAltF0"/>
      </w:pPr>
    </w:p>
    <w:p>
      <w:pPr>
        <w:pStyle w:val="CorpoAltF0"/>
      </w:pPr>
      <w:r>
        <w:rPr>
          <w:noProof/>
        </w:rPr>
        <mc:AlternateContent>
          <mc:Choice Requires="wpg">
            <w:drawing>
              <wp:inline distT="0" distB="0" distL="0" distR="0">
                <wp:extent cx="5621655" cy="8217535"/>
                <wp:effectExtent l="3810" t="0" r="13335" b="17145"/>
                <wp:docPr id="17" name="Group 3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21655" cy="8217535"/>
                          <a:chOff x="1143" y="974"/>
                          <a:chExt cx="8853" cy="12941"/>
                        </a:xfrm>
                      </wpg:grpSpPr>
                      <pic:pic xmlns:pic="http://schemas.openxmlformats.org/drawingml/2006/picture">
                        <pic:nvPicPr>
                          <pic:cNvPr id="18" name="Immagine 7" descr="Logo_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1235" y="974"/>
                            <a:ext cx="4676" cy="10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9" name="Group 380"/>
                        <wpg:cNvGrpSpPr>
                          <a:grpSpLocks/>
                        </wpg:cNvGrpSpPr>
                        <wpg:grpSpPr bwMode="auto">
                          <a:xfrm>
                            <a:off x="1143" y="1880"/>
                            <a:ext cx="8853" cy="12035"/>
                            <a:chOff x="1143" y="1880"/>
                            <a:chExt cx="8853" cy="12035"/>
                          </a:xfrm>
                        </wpg:grpSpPr>
                        <wps:wsp>
                          <wps:cNvPr id="20" name="Rectangle 313"/>
                          <wps:cNvSpPr>
                            <a:spLocks noChangeArrowheads="1"/>
                          </wps:cNvSpPr>
                          <wps:spPr bwMode="auto">
                            <a:xfrm>
                              <a:off x="1722" y="7688"/>
                              <a:ext cx="4662" cy="401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Rectangle 314"/>
                          <wps:cNvSpPr>
                            <a:spLocks noChangeArrowheads="1"/>
                          </wps:cNvSpPr>
                          <wps:spPr bwMode="auto">
                            <a:xfrm>
                              <a:off x="2033" y="8105"/>
                              <a:ext cx="4008" cy="32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 name="Freeform 315"/>
                          <wps:cNvSpPr>
                            <a:spLocks/>
                          </wps:cNvSpPr>
                          <wps:spPr bwMode="auto">
                            <a:xfrm>
                              <a:off x="2504" y="10868"/>
                              <a:ext cx="397" cy="397"/>
                            </a:xfrm>
                            <a:custGeom>
                              <a:avLst/>
                              <a:gdLst>
                                <a:gd name="T0" fmla="*/ 794 w 794"/>
                                <a:gd name="T1" fmla="*/ 386 h 793"/>
                                <a:gd name="T2" fmla="*/ 751 w 794"/>
                                <a:gd name="T3" fmla="*/ 193 h 793"/>
                                <a:gd name="T4" fmla="*/ 600 w 794"/>
                                <a:gd name="T5" fmla="*/ 43 h 793"/>
                                <a:gd name="T6" fmla="*/ 407 w 794"/>
                                <a:gd name="T7" fmla="*/ 0 h 793"/>
                                <a:gd name="T8" fmla="*/ 407 w 794"/>
                                <a:gd name="T9" fmla="*/ 0 h 793"/>
                                <a:gd name="T10" fmla="*/ 193 w 794"/>
                                <a:gd name="T11" fmla="*/ 43 h 793"/>
                                <a:gd name="T12" fmla="*/ 65 w 794"/>
                                <a:gd name="T13" fmla="*/ 193 h 793"/>
                                <a:gd name="T14" fmla="*/ 0 w 794"/>
                                <a:gd name="T15" fmla="*/ 386 h 793"/>
                                <a:gd name="T16" fmla="*/ 0 w 794"/>
                                <a:gd name="T17" fmla="*/ 386 h 793"/>
                                <a:gd name="T18" fmla="*/ 65 w 794"/>
                                <a:gd name="T19" fmla="*/ 600 h 793"/>
                                <a:gd name="T20" fmla="*/ 193 w 794"/>
                                <a:gd name="T21" fmla="*/ 728 h 793"/>
                                <a:gd name="T22" fmla="*/ 407 w 794"/>
                                <a:gd name="T23" fmla="*/ 793 h 793"/>
                                <a:gd name="T24" fmla="*/ 407 w 794"/>
                                <a:gd name="T25" fmla="*/ 793 h 793"/>
                                <a:gd name="T26" fmla="*/ 600 w 794"/>
                                <a:gd name="T27" fmla="*/ 728 h 793"/>
                                <a:gd name="T28" fmla="*/ 751 w 794"/>
                                <a:gd name="T29" fmla="*/ 600 h 793"/>
                                <a:gd name="T30" fmla="*/ 794 w 794"/>
                                <a:gd name="T31" fmla="*/ 386 h 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94" h="793">
                                  <a:moveTo>
                                    <a:pt x="794" y="386"/>
                                  </a:moveTo>
                                  <a:lnTo>
                                    <a:pt x="751" y="193"/>
                                  </a:lnTo>
                                  <a:lnTo>
                                    <a:pt x="600" y="43"/>
                                  </a:lnTo>
                                  <a:lnTo>
                                    <a:pt x="407" y="0"/>
                                  </a:lnTo>
                                  <a:lnTo>
                                    <a:pt x="407" y="0"/>
                                  </a:lnTo>
                                  <a:lnTo>
                                    <a:pt x="193" y="43"/>
                                  </a:lnTo>
                                  <a:lnTo>
                                    <a:pt x="65" y="193"/>
                                  </a:lnTo>
                                  <a:lnTo>
                                    <a:pt x="0" y="386"/>
                                  </a:lnTo>
                                  <a:lnTo>
                                    <a:pt x="0" y="386"/>
                                  </a:lnTo>
                                  <a:lnTo>
                                    <a:pt x="65" y="600"/>
                                  </a:lnTo>
                                  <a:lnTo>
                                    <a:pt x="193" y="728"/>
                                  </a:lnTo>
                                  <a:lnTo>
                                    <a:pt x="407" y="793"/>
                                  </a:lnTo>
                                  <a:lnTo>
                                    <a:pt x="407" y="793"/>
                                  </a:lnTo>
                                  <a:lnTo>
                                    <a:pt x="600" y="728"/>
                                  </a:lnTo>
                                  <a:lnTo>
                                    <a:pt x="751" y="600"/>
                                  </a:lnTo>
                                  <a:lnTo>
                                    <a:pt x="794" y="386"/>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316"/>
                          <wps:cNvSpPr>
                            <a:spLocks/>
                          </wps:cNvSpPr>
                          <wps:spPr bwMode="auto">
                            <a:xfrm>
                              <a:off x="3769" y="10868"/>
                              <a:ext cx="397" cy="397"/>
                            </a:xfrm>
                            <a:custGeom>
                              <a:avLst/>
                              <a:gdLst>
                                <a:gd name="T0" fmla="*/ 793 w 793"/>
                                <a:gd name="T1" fmla="*/ 386 h 793"/>
                                <a:gd name="T2" fmla="*/ 750 w 793"/>
                                <a:gd name="T3" fmla="*/ 193 h 793"/>
                                <a:gd name="T4" fmla="*/ 599 w 793"/>
                                <a:gd name="T5" fmla="*/ 43 h 793"/>
                                <a:gd name="T6" fmla="*/ 407 w 793"/>
                                <a:gd name="T7" fmla="*/ 0 h 793"/>
                                <a:gd name="T8" fmla="*/ 407 w 793"/>
                                <a:gd name="T9" fmla="*/ 0 h 793"/>
                                <a:gd name="T10" fmla="*/ 214 w 793"/>
                                <a:gd name="T11" fmla="*/ 43 h 793"/>
                                <a:gd name="T12" fmla="*/ 64 w 793"/>
                                <a:gd name="T13" fmla="*/ 193 h 793"/>
                                <a:gd name="T14" fmla="*/ 0 w 793"/>
                                <a:gd name="T15" fmla="*/ 386 h 793"/>
                                <a:gd name="T16" fmla="*/ 0 w 793"/>
                                <a:gd name="T17" fmla="*/ 386 h 793"/>
                                <a:gd name="T18" fmla="*/ 64 w 793"/>
                                <a:gd name="T19" fmla="*/ 600 h 793"/>
                                <a:gd name="T20" fmla="*/ 214 w 793"/>
                                <a:gd name="T21" fmla="*/ 728 h 793"/>
                                <a:gd name="T22" fmla="*/ 407 w 793"/>
                                <a:gd name="T23" fmla="*/ 793 h 793"/>
                                <a:gd name="T24" fmla="*/ 407 w 793"/>
                                <a:gd name="T25" fmla="*/ 793 h 793"/>
                                <a:gd name="T26" fmla="*/ 599 w 793"/>
                                <a:gd name="T27" fmla="*/ 728 h 793"/>
                                <a:gd name="T28" fmla="*/ 750 w 793"/>
                                <a:gd name="T29" fmla="*/ 600 h 793"/>
                                <a:gd name="T30" fmla="*/ 793 w 793"/>
                                <a:gd name="T31" fmla="*/ 386 h 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93" h="793">
                                  <a:moveTo>
                                    <a:pt x="793" y="386"/>
                                  </a:moveTo>
                                  <a:lnTo>
                                    <a:pt x="750" y="193"/>
                                  </a:lnTo>
                                  <a:lnTo>
                                    <a:pt x="599" y="43"/>
                                  </a:lnTo>
                                  <a:lnTo>
                                    <a:pt x="407" y="0"/>
                                  </a:lnTo>
                                  <a:lnTo>
                                    <a:pt x="407" y="0"/>
                                  </a:lnTo>
                                  <a:lnTo>
                                    <a:pt x="214" y="43"/>
                                  </a:lnTo>
                                  <a:lnTo>
                                    <a:pt x="64" y="193"/>
                                  </a:lnTo>
                                  <a:lnTo>
                                    <a:pt x="0" y="386"/>
                                  </a:lnTo>
                                  <a:lnTo>
                                    <a:pt x="0" y="386"/>
                                  </a:lnTo>
                                  <a:lnTo>
                                    <a:pt x="64" y="600"/>
                                  </a:lnTo>
                                  <a:lnTo>
                                    <a:pt x="214" y="728"/>
                                  </a:lnTo>
                                  <a:lnTo>
                                    <a:pt x="407" y="793"/>
                                  </a:lnTo>
                                  <a:lnTo>
                                    <a:pt x="407" y="793"/>
                                  </a:lnTo>
                                  <a:lnTo>
                                    <a:pt x="599" y="728"/>
                                  </a:lnTo>
                                  <a:lnTo>
                                    <a:pt x="750" y="600"/>
                                  </a:lnTo>
                                  <a:lnTo>
                                    <a:pt x="793" y="386"/>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317"/>
                          <wps:cNvSpPr>
                            <a:spLocks/>
                          </wps:cNvSpPr>
                          <wps:spPr bwMode="auto">
                            <a:xfrm>
                              <a:off x="5023" y="10868"/>
                              <a:ext cx="397" cy="397"/>
                            </a:xfrm>
                            <a:custGeom>
                              <a:avLst/>
                              <a:gdLst>
                                <a:gd name="T0" fmla="*/ 793 w 793"/>
                                <a:gd name="T1" fmla="*/ 386 h 793"/>
                                <a:gd name="T2" fmla="*/ 729 w 793"/>
                                <a:gd name="T3" fmla="*/ 193 h 793"/>
                                <a:gd name="T4" fmla="*/ 600 w 793"/>
                                <a:gd name="T5" fmla="*/ 43 h 793"/>
                                <a:gd name="T6" fmla="*/ 385 w 793"/>
                                <a:gd name="T7" fmla="*/ 0 h 793"/>
                                <a:gd name="T8" fmla="*/ 385 w 793"/>
                                <a:gd name="T9" fmla="*/ 0 h 793"/>
                                <a:gd name="T10" fmla="*/ 192 w 793"/>
                                <a:gd name="T11" fmla="*/ 43 h 793"/>
                                <a:gd name="T12" fmla="*/ 43 w 793"/>
                                <a:gd name="T13" fmla="*/ 193 h 793"/>
                                <a:gd name="T14" fmla="*/ 0 w 793"/>
                                <a:gd name="T15" fmla="*/ 386 h 793"/>
                                <a:gd name="T16" fmla="*/ 0 w 793"/>
                                <a:gd name="T17" fmla="*/ 386 h 793"/>
                                <a:gd name="T18" fmla="*/ 43 w 793"/>
                                <a:gd name="T19" fmla="*/ 600 h 793"/>
                                <a:gd name="T20" fmla="*/ 192 w 793"/>
                                <a:gd name="T21" fmla="*/ 728 h 793"/>
                                <a:gd name="T22" fmla="*/ 385 w 793"/>
                                <a:gd name="T23" fmla="*/ 793 h 793"/>
                                <a:gd name="T24" fmla="*/ 385 w 793"/>
                                <a:gd name="T25" fmla="*/ 793 h 793"/>
                                <a:gd name="T26" fmla="*/ 600 w 793"/>
                                <a:gd name="T27" fmla="*/ 728 h 793"/>
                                <a:gd name="T28" fmla="*/ 729 w 793"/>
                                <a:gd name="T29" fmla="*/ 600 h 793"/>
                                <a:gd name="T30" fmla="*/ 793 w 793"/>
                                <a:gd name="T31" fmla="*/ 386 h 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93" h="793">
                                  <a:moveTo>
                                    <a:pt x="793" y="386"/>
                                  </a:moveTo>
                                  <a:lnTo>
                                    <a:pt x="729" y="193"/>
                                  </a:lnTo>
                                  <a:lnTo>
                                    <a:pt x="600" y="43"/>
                                  </a:lnTo>
                                  <a:lnTo>
                                    <a:pt x="385" y="0"/>
                                  </a:lnTo>
                                  <a:lnTo>
                                    <a:pt x="385" y="0"/>
                                  </a:lnTo>
                                  <a:lnTo>
                                    <a:pt x="192" y="43"/>
                                  </a:lnTo>
                                  <a:lnTo>
                                    <a:pt x="43" y="193"/>
                                  </a:lnTo>
                                  <a:lnTo>
                                    <a:pt x="0" y="386"/>
                                  </a:lnTo>
                                  <a:lnTo>
                                    <a:pt x="0" y="386"/>
                                  </a:lnTo>
                                  <a:lnTo>
                                    <a:pt x="43" y="600"/>
                                  </a:lnTo>
                                  <a:lnTo>
                                    <a:pt x="192" y="728"/>
                                  </a:lnTo>
                                  <a:lnTo>
                                    <a:pt x="385" y="793"/>
                                  </a:lnTo>
                                  <a:lnTo>
                                    <a:pt x="385" y="793"/>
                                  </a:lnTo>
                                  <a:lnTo>
                                    <a:pt x="600" y="728"/>
                                  </a:lnTo>
                                  <a:lnTo>
                                    <a:pt x="729" y="600"/>
                                  </a:lnTo>
                                  <a:lnTo>
                                    <a:pt x="793" y="386"/>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Rectangle 318"/>
                          <wps:cNvSpPr>
                            <a:spLocks noChangeArrowheads="1"/>
                          </wps:cNvSpPr>
                          <wps:spPr bwMode="auto">
                            <a:xfrm>
                              <a:off x="2043" y="10622"/>
                              <a:ext cx="3998" cy="97"/>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 name="Rectangle 319"/>
                          <wps:cNvSpPr>
                            <a:spLocks noChangeArrowheads="1"/>
                          </wps:cNvSpPr>
                          <wps:spPr bwMode="auto">
                            <a:xfrm>
                              <a:off x="2504" y="8116"/>
                              <a:ext cx="97" cy="250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Rectangle 320"/>
                          <wps:cNvSpPr>
                            <a:spLocks noChangeArrowheads="1"/>
                          </wps:cNvSpPr>
                          <wps:spPr bwMode="auto">
                            <a:xfrm>
                              <a:off x="2912" y="8116"/>
                              <a:ext cx="96" cy="250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321"/>
                          <wps:cNvSpPr>
                            <a:spLocks noChangeArrowheads="1"/>
                          </wps:cNvSpPr>
                          <wps:spPr bwMode="auto">
                            <a:xfrm>
                              <a:off x="3308" y="8116"/>
                              <a:ext cx="96" cy="250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 name="Rectangle 322"/>
                          <wps:cNvSpPr>
                            <a:spLocks noChangeArrowheads="1"/>
                          </wps:cNvSpPr>
                          <wps:spPr bwMode="auto">
                            <a:xfrm>
                              <a:off x="3716" y="8116"/>
                              <a:ext cx="96" cy="250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 name="Rectangle 323"/>
                          <wps:cNvSpPr>
                            <a:spLocks noChangeArrowheads="1"/>
                          </wps:cNvSpPr>
                          <wps:spPr bwMode="auto">
                            <a:xfrm>
                              <a:off x="4112" y="8116"/>
                              <a:ext cx="96" cy="250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324"/>
                          <wps:cNvSpPr>
                            <a:spLocks noChangeArrowheads="1"/>
                          </wps:cNvSpPr>
                          <wps:spPr bwMode="auto">
                            <a:xfrm>
                              <a:off x="4519" y="8116"/>
                              <a:ext cx="97" cy="250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 name="Rectangle 325"/>
                          <wps:cNvSpPr>
                            <a:spLocks noChangeArrowheads="1"/>
                          </wps:cNvSpPr>
                          <wps:spPr bwMode="auto">
                            <a:xfrm>
                              <a:off x="4916" y="8116"/>
                              <a:ext cx="96" cy="250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 name="Rectangle 326"/>
                          <wps:cNvSpPr>
                            <a:spLocks noChangeArrowheads="1"/>
                          </wps:cNvSpPr>
                          <wps:spPr bwMode="auto">
                            <a:xfrm>
                              <a:off x="5323" y="8116"/>
                              <a:ext cx="97" cy="250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327"/>
                          <wps:cNvSpPr>
                            <a:spLocks noChangeArrowheads="1"/>
                          </wps:cNvSpPr>
                          <wps:spPr bwMode="auto">
                            <a:xfrm>
                              <a:off x="5719" y="8116"/>
                              <a:ext cx="97" cy="250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Freeform 328"/>
                          <wps:cNvSpPr>
                            <a:spLocks/>
                          </wps:cNvSpPr>
                          <wps:spPr bwMode="auto">
                            <a:xfrm>
                              <a:off x="1143" y="4496"/>
                              <a:ext cx="6141" cy="6126"/>
                            </a:xfrm>
                            <a:custGeom>
                              <a:avLst/>
                              <a:gdLst>
                                <a:gd name="T0" fmla="*/ 12282 w 12282"/>
                                <a:gd name="T1" fmla="*/ 6576 h 12252"/>
                                <a:gd name="T2" fmla="*/ 5680 w 12282"/>
                                <a:gd name="T3" fmla="*/ 0 h 12252"/>
                                <a:gd name="T4" fmla="*/ 0 w 12282"/>
                                <a:gd name="T5" fmla="*/ 5676 h 12252"/>
                                <a:gd name="T6" fmla="*/ 6580 w 12282"/>
                                <a:gd name="T7" fmla="*/ 12252 h 12252"/>
                                <a:gd name="T8" fmla="*/ 12282 w 12282"/>
                                <a:gd name="T9" fmla="*/ 6576 h 12252"/>
                              </a:gdLst>
                              <a:ahLst/>
                              <a:cxnLst>
                                <a:cxn ang="0">
                                  <a:pos x="T0" y="T1"/>
                                </a:cxn>
                                <a:cxn ang="0">
                                  <a:pos x="T2" y="T3"/>
                                </a:cxn>
                                <a:cxn ang="0">
                                  <a:pos x="T4" y="T5"/>
                                </a:cxn>
                                <a:cxn ang="0">
                                  <a:pos x="T6" y="T7"/>
                                </a:cxn>
                                <a:cxn ang="0">
                                  <a:pos x="T8" y="T9"/>
                                </a:cxn>
                              </a:cxnLst>
                              <a:rect l="0" t="0" r="r" b="b"/>
                              <a:pathLst>
                                <a:path w="12282" h="12252">
                                  <a:moveTo>
                                    <a:pt x="12282" y="6576"/>
                                  </a:moveTo>
                                  <a:lnTo>
                                    <a:pt x="5680" y="0"/>
                                  </a:lnTo>
                                  <a:lnTo>
                                    <a:pt x="0" y="5676"/>
                                  </a:lnTo>
                                  <a:lnTo>
                                    <a:pt x="6580" y="12252"/>
                                  </a:lnTo>
                                  <a:lnTo>
                                    <a:pt x="12282" y="6576"/>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29"/>
                          <wps:cNvSpPr>
                            <a:spLocks/>
                          </wps:cNvSpPr>
                          <wps:spPr bwMode="auto">
                            <a:xfrm>
                              <a:off x="1636" y="5010"/>
                              <a:ext cx="5112" cy="5109"/>
                            </a:xfrm>
                            <a:custGeom>
                              <a:avLst/>
                              <a:gdLst>
                                <a:gd name="T0" fmla="*/ 10224 w 10224"/>
                                <a:gd name="T1" fmla="*/ 5656 h 10219"/>
                                <a:gd name="T2" fmla="*/ 4544 w 10224"/>
                                <a:gd name="T3" fmla="*/ 0 h 10219"/>
                                <a:gd name="T4" fmla="*/ 0 w 10224"/>
                                <a:gd name="T5" fmla="*/ 4542 h 10219"/>
                                <a:gd name="T6" fmla="*/ 5680 w 10224"/>
                                <a:gd name="T7" fmla="*/ 10219 h 10219"/>
                                <a:gd name="T8" fmla="*/ 10224 w 10224"/>
                                <a:gd name="T9" fmla="*/ 5656 h 10219"/>
                              </a:gdLst>
                              <a:ahLst/>
                              <a:cxnLst>
                                <a:cxn ang="0">
                                  <a:pos x="T0" y="T1"/>
                                </a:cxn>
                                <a:cxn ang="0">
                                  <a:pos x="T2" y="T3"/>
                                </a:cxn>
                                <a:cxn ang="0">
                                  <a:pos x="T4" y="T5"/>
                                </a:cxn>
                                <a:cxn ang="0">
                                  <a:pos x="T6" y="T7"/>
                                </a:cxn>
                                <a:cxn ang="0">
                                  <a:pos x="T8" y="T9"/>
                                </a:cxn>
                              </a:cxnLst>
                              <a:rect l="0" t="0" r="r" b="b"/>
                              <a:pathLst>
                                <a:path w="10224" h="10219">
                                  <a:moveTo>
                                    <a:pt x="10224" y="5656"/>
                                  </a:moveTo>
                                  <a:lnTo>
                                    <a:pt x="4544" y="0"/>
                                  </a:lnTo>
                                  <a:lnTo>
                                    <a:pt x="0" y="4542"/>
                                  </a:lnTo>
                                  <a:lnTo>
                                    <a:pt x="5680" y="10219"/>
                                  </a:lnTo>
                                  <a:lnTo>
                                    <a:pt x="10224" y="56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30"/>
                          <wps:cNvSpPr>
                            <a:spLocks/>
                          </wps:cNvSpPr>
                          <wps:spPr bwMode="auto">
                            <a:xfrm>
                              <a:off x="2097" y="7377"/>
                              <a:ext cx="386" cy="385"/>
                            </a:xfrm>
                            <a:custGeom>
                              <a:avLst/>
                              <a:gdLst>
                                <a:gd name="T0" fmla="*/ 665 w 771"/>
                                <a:gd name="T1" fmla="*/ 664 h 771"/>
                                <a:gd name="T2" fmla="*/ 771 w 771"/>
                                <a:gd name="T3" fmla="*/ 493 h 771"/>
                                <a:gd name="T4" fmla="*/ 771 w 771"/>
                                <a:gd name="T5" fmla="*/ 299 h 771"/>
                                <a:gd name="T6" fmla="*/ 665 w 771"/>
                                <a:gd name="T7" fmla="*/ 107 h 771"/>
                                <a:gd name="T8" fmla="*/ 665 w 771"/>
                                <a:gd name="T9" fmla="*/ 107 h 771"/>
                                <a:gd name="T10" fmla="*/ 493 w 771"/>
                                <a:gd name="T11" fmla="*/ 0 h 771"/>
                                <a:gd name="T12" fmla="*/ 278 w 771"/>
                                <a:gd name="T13" fmla="*/ 0 h 771"/>
                                <a:gd name="T14" fmla="*/ 107 w 771"/>
                                <a:gd name="T15" fmla="*/ 107 h 771"/>
                                <a:gd name="T16" fmla="*/ 107 w 771"/>
                                <a:gd name="T17" fmla="*/ 107 h 771"/>
                                <a:gd name="T18" fmla="*/ 0 w 771"/>
                                <a:gd name="T19" fmla="*/ 299 h 771"/>
                                <a:gd name="T20" fmla="*/ 0 w 771"/>
                                <a:gd name="T21" fmla="*/ 493 h 771"/>
                                <a:gd name="T22" fmla="*/ 107 w 771"/>
                                <a:gd name="T23" fmla="*/ 664 h 771"/>
                                <a:gd name="T24" fmla="*/ 107 w 771"/>
                                <a:gd name="T25" fmla="*/ 664 h 771"/>
                                <a:gd name="T26" fmla="*/ 278 w 771"/>
                                <a:gd name="T27" fmla="*/ 771 h 771"/>
                                <a:gd name="T28" fmla="*/ 493 w 771"/>
                                <a:gd name="T29" fmla="*/ 771 h 771"/>
                                <a:gd name="T30" fmla="*/ 665 w 771"/>
                                <a:gd name="T31" fmla="*/ 664 h 7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71" h="771">
                                  <a:moveTo>
                                    <a:pt x="665" y="664"/>
                                  </a:moveTo>
                                  <a:lnTo>
                                    <a:pt x="771" y="493"/>
                                  </a:lnTo>
                                  <a:lnTo>
                                    <a:pt x="771" y="299"/>
                                  </a:lnTo>
                                  <a:lnTo>
                                    <a:pt x="665" y="107"/>
                                  </a:lnTo>
                                  <a:lnTo>
                                    <a:pt x="665" y="107"/>
                                  </a:lnTo>
                                  <a:lnTo>
                                    <a:pt x="493" y="0"/>
                                  </a:lnTo>
                                  <a:lnTo>
                                    <a:pt x="278" y="0"/>
                                  </a:lnTo>
                                  <a:lnTo>
                                    <a:pt x="107" y="107"/>
                                  </a:lnTo>
                                  <a:lnTo>
                                    <a:pt x="107" y="107"/>
                                  </a:lnTo>
                                  <a:lnTo>
                                    <a:pt x="0" y="299"/>
                                  </a:lnTo>
                                  <a:lnTo>
                                    <a:pt x="0" y="493"/>
                                  </a:lnTo>
                                  <a:lnTo>
                                    <a:pt x="107" y="664"/>
                                  </a:lnTo>
                                  <a:lnTo>
                                    <a:pt x="107" y="664"/>
                                  </a:lnTo>
                                  <a:lnTo>
                                    <a:pt x="278" y="771"/>
                                  </a:lnTo>
                                  <a:lnTo>
                                    <a:pt x="493" y="771"/>
                                  </a:lnTo>
                                  <a:lnTo>
                                    <a:pt x="665" y="664"/>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31"/>
                          <wps:cNvSpPr>
                            <a:spLocks/>
                          </wps:cNvSpPr>
                          <wps:spPr bwMode="auto">
                            <a:xfrm>
                              <a:off x="2997" y="8277"/>
                              <a:ext cx="386" cy="385"/>
                            </a:xfrm>
                            <a:custGeom>
                              <a:avLst/>
                              <a:gdLst>
                                <a:gd name="T0" fmla="*/ 664 w 771"/>
                                <a:gd name="T1" fmla="*/ 664 h 772"/>
                                <a:gd name="T2" fmla="*/ 771 w 771"/>
                                <a:gd name="T3" fmla="*/ 472 h 772"/>
                                <a:gd name="T4" fmla="*/ 771 w 771"/>
                                <a:gd name="T5" fmla="*/ 279 h 772"/>
                                <a:gd name="T6" fmla="*/ 664 w 771"/>
                                <a:gd name="T7" fmla="*/ 107 h 772"/>
                                <a:gd name="T8" fmla="*/ 664 w 771"/>
                                <a:gd name="T9" fmla="*/ 107 h 772"/>
                                <a:gd name="T10" fmla="*/ 471 w 771"/>
                                <a:gd name="T11" fmla="*/ 0 h 772"/>
                                <a:gd name="T12" fmla="*/ 279 w 771"/>
                                <a:gd name="T13" fmla="*/ 0 h 772"/>
                                <a:gd name="T14" fmla="*/ 106 w 771"/>
                                <a:gd name="T15" fmla="*/ 107 h 772"/>
                                <a:gd name="T16" fmla="*/ 106 w 771"/>
                                <a:gd name="T17" fmla="*/ 107 h 772"/>
                                <a:gd name="T18" fmla="*/ 0 w 771"/>
                                <a:gd name="T19" fmla="*/ 279 h 772"/>
                                <a:gd name="T20" fmla="*/ 0 w 771"/>
                                <a:gd name="T21" fmla="*/ 472 h 772"/>
                                <a:gd name="T22" fmla="*/ 106 w 771"/>
                                <a:gd name="T23" fmla="*/ 664 h 772"/>
                                <a:gd name="T24" fmla="*/ 106 w 771"/>
                                <a:gd name="T25" fmla="*/ 664 h 772"/>
                                <a:gd name="T26" fmla="*/ 279 w 771"/>
                                <a:gd name="T27" fmla="*/ 772 h 772"/>
                                <a:gd name="T28" fmla="*/ 471 w 771"/>
                                <a:gd name="T29" fmla="*/ 772 h 772"/>
                                <a:gd name="T30" fmla="*/ 664 w 771"/>
                                <a:gd name="T31" fmla="*/ 664 h 7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71" h="772">
                                  <a:moveTo>
                                    <a:pt x="664" y="664"/>
                                  </a:moveTo>
                                  <a:lnTo>
                                    <a:pt x="771" y="472"/>
                                  </a:lnTo>
                                  <a:lnTo>
                                    <a:pt x="771" y="279"/>
                                  </a:lnTo>
                                  <a:lnTo>
                                    <a:pt x="664" y="107"/>
                                  </a:lnTo>
                                  <a:lnTo>
                                    <a:pt x="664" y="107"/>
                                  </a:lnTo>
                                  <a:lnTo>
                                    <a:pt x="471" y="0"/>
                                  </a:lnTo>
                                  <a:lnTo>
                                    <a:pt x="279" y="0"/>
                                  </a:lnTo>
                                  <a:lnTo>
                                    <a:pt x="106" y="107"/>
                                  </a:lnTo>
                                  <a:lnTo>
                                    <a:pt x="106" y="107"/>
                                  </a:lnTo>
                                  <a:lnTo>
                                    <a:pt x="0" y="279"/>
                                  </a:lnTo>
                                  <a:lnTo>
                                    <a:pt x="0" y="472"/>
                                  </a:lnTo>
                                  <a:lnTo>
                                    <a:pt x="106" y="664"/>
                                  </a:lnTo>
                                  <a:lnTo>
                                    <a:pt x="106" y="664"/>
                                  </a:lnTo>
                                  <a:lnTo>
                                    <a:pt x="279" y="772"/>
                                  </a:lnTo>
                                  <a:lnTo>
                                    <a:pt x="471" y="772"/>
                                  </a:lnTo>
                                  <a:lnTo>
                                    <a:pt x="664" y="664"/>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32"/>
                          <wps:cNvSpPr>
                            <a:spLocks/>
                          </wps:cNvSpPr>
                          <wps:spPr bwMode="auto">
                            <a:xfrm>
                              <a:off x="3876" y="9155"/>
                              <a:ext cx="386" cy="386"/>
                            </a:xfrm>
                            <a:custGeom>
                              <a:avLst/>
                              <a:gdLst>
                                <a:gd name="T0" fmla="*/ 664 w 772"/>
                                <a:gd name="T1" fmla="*/ 664 h 771"/>
                                <a:gd name="T2" fmla="*/ 772 w 772"/>
                                <a:gd name="T3" fmla="*/ 492 h 771"/>
                                <a:gd name="T4" fmla="*/ 772 w 772"/>
                                <a:gd name="T5" fmla="*/ 278 h 771"/>
                                <a:gd name="T6" fmla="*/ 664 w 772"/>
                                <a:gd name="T7" fmla="*/ 107 h 771"/>
                                <a:gd name="T8" fmla="*/ 664 w 772"/>
                                <a:gd name="T9" fmla="*/ 107 h 771"/>
                                <a:gd name="T10" fmla="*/ 493 w 772"/>
                                <a:gd name="T11" fmla="*/ 0 h 771"/>
                                <a:gd name="T12" fmla="*/ 279 w 772"/>
                                <a:gd name="T13" fmla="*/ 0 h 771"/>
                                <a:gd name="T14" fmla="*/ 108 w 772"/>
                                <a:gd name="T15" fmla="*/ 107 h 771"/>
                                <a:gd name="T16" fmla="*/ 108 w 772"/>
                                <a:gd name="T17" fmla="*/ 107 h 771"/>
                                <a:gd name="T18" fmla="*/ 0 w 772"/>
                                <a:gd name="T19" fmla="*/ 278 h 771"/>
                                <a:gd name="T20" fmla="*/ 0 w 772"/>
                                <a:gd name="T21" fmla="*/ 492 h 771"/>
                                <a:gd name="T22" fmla="*/ 108 w 772"/>
                                <a:gd name="T23" fmla="*/ 664 h 771"/>
                                <a:gd name="T24" fmla="*/ 108 w 772"/>
                                <a:gd name="T25" fmla="*/ 664 h 771"/>
                                <a:gd name="T26" fmla="*/ 279 w 772"/>
                                <a:gd name="T27" fmla="*/ 771 h 771"/>
                                <a:gd name="T28" fmla="*/ 493 w 772"/>
                                <a:gd name="T29" fmla="*/ 771 h 771"/>
                                <a:gd name="T30" fmla="*/ 664 w 772"/>
                                <a:gd name="T31" fmla="*/ 664 h 7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72" h="771">
                                  <a:moveTo>
                                    <a:pt x="664" y="664"/>
                                  </a:moveTo>
                                  <a:lnTo>
                                    <a:pt x="772" y="492"/>
                                  </a:lnTo>
                                  <a:lnTo>
                                    <a:pt x="772" y="278"/>
                                  </a:lnTo>
                                  <a:lnTo>
                                    <a:pt x="664" y="107"/>
                                  </a:lnTo>
                                  <a:lnTo>
                                    <a:pt x="664" y="107"/>
                                  </a:lnTo>
                                  <a:lnTo>
                                    <a:pt x="493" y="0"/>
                                  </a:lnTo>
                                  <a:lnTo>
                                    <a:pt x="279" y="0"/>
                                  </a:lnTo>
                                  <a:lnTo>
                                    <a:pt x="108" y="107"/>
                                  </a:lnTo>
                                  <a:lnTo>
                                    <a:pt x="108" y="107"/>
                                  </a:lnTo>
                                  <a:lnTo>
                                    <a:pt x="0" y="278"/>
                                  </a:lnTo>
                                  <a:lnTo>
                                    <a:pt x="0" y="492"/>
                                  </a:lnTo>
                                  <a:lnTo>
                                    <a:pt x="108" y="664"/>
                                  </a:lnTo>
                                  <a:lnTo>
                                    <a:pt x="108" y="664"/>
                                  </a:lnTo>
                                  <a:lnTo>
                                    <a:pt x="279" y="771"/>
                                  </a:lnTo>
                                  <a:lnTo>
                                    <a:pt x="493" y="771"/>
                                  </a:lnTo>
                                  <a:lnTo>
                                    <a:pt x="664" y="664"/>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33"/>
                          <wps:cNvSpPr>
                            <a:spLocks/>
                          </wps:cNvSpPr>
                          <wps:spPr bwMode="auto">
                            <a:xfrm>
                              <a:off x="2065" y="6788"/>
                              <a:ext cx="2894" cy="2903"/>
                            </a:xfrm>
                            <a:custGeom>
                              <a:avLst/>
                              <a:gdLst>
                                <a:gd name="T0" fmla="*/ 5787 w 5787"/>
                                <a:gd name="T1" fmla="*/ 5655 h 5805"/>
                                <a:gd name="T2" fmla="*/ 149 w 5787"/>
                                <a:gd name="T3" fmla="*/ 0 h 5805"/>
                                <a:gd name="T4" fmla="*/ 0 w 5787"/>
                                <a:gd name="T5" fmla="*/ 149 h 5805"/>
                                <a:gd name="T6" fmla="*/ 5658 w 5787"/>
                                <a:gd name="T7" fmla="*/ 5805 h 5805"/>
                                <a:gd name="T8" fmla="*/ 5787 w 5787"/>
                                <a:gd name="T9" fmla="*/ 5655 h 5805"/>
                              </a:gdLst>
                              <a:ahLst/>
                              <a:cxnLst>
                                <a:cxn ang="0">
                                  <a:pos x="T0" y="T1"/>
                                </a:cxn>
                                <a:cxn ang="0">
                                  <a:pos x="T2" y="T3"/>
                                </a:cxn>
                                <a:cxn ang="0">
                                  <a:pos x="T4" y="T5"/>
                                </a:cxn>
                                <a:cxn ang="0">
                                  <a:pos x="T6" y="T7"/>
                                </a:cxn>
                                <a:cxn ang="0">
                                  <a:pos x="T8" y="T9"/>
                                </a:cxn>
                              </a:cxnLst>
                              <a:rect l="0" t="0" r="r" b="b"/>
                              <a:pathLst>
                                <a:path w="5787" h="5805">
                                  <a:moveTo>
                                    <a:pt x="5787" y="5655"/>
                                  </a:moveTo>
                                  <a:lnTo>
                                    <a:pt x="149" y="0"/>
                                  </a:lnTo>
                                  <a:lnTo>
                                    <a:pt x="0" y="149"/>
                                  </a:lnTo>
                                  <a:lnTo>
                                    <a:pt x="5658" y="5805"/>
                                  </a:lnTo>
                                  <a:lnTo>
                                    <a:pt x="5787" y="5655"/>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34"/>
                          <wps:cNvSpPr>
                            <a:spLocks/>
                          </wps:cNvSpPr>
                          <wps:spPr bwMode="auto">
                            <a:xfrm>
                              <a:off x="2461" y="5342"/>
                              <a:ext cx="1844" cy="1842"/>
                            </a:xfrm>
                            <a:custGeom>
                              <a:avLst/>
                              <a:gdLst>
                                <a:gd name="T0" fmla="*/ 3687 w 3687"/>
                                <a:gd name="T1" fmla="*/ 150 h 3684"/>
                                <a:gd name="T2" fmla="*/ 3559 w 3687"/>
                                <a:gd name="T3" fmla="*/ 0 h 3684"/>
                                <a:gd name="T4" fmla="*/ 0 w 3687"/>
                                <a:gd name="T5" fmla="*/ 3556 h 3684"/>
                                <a:gd name="T6" fmla="*/ 151 w 3687"/>
                                <a:gd name="T7" fmla="*/ 3684 h 3684"/>
                                <a:gd name="T8" fmla="*/ 3687 w 3687"/>
                                <a:gd name="T9" fmla="*/ 150 h 3684"/>
                              </a:gdLst>
                              <a:ahLst/>
                              <a:cxnLst>
                                <a:cxn ang="0">
                                  <a:pos x="T0" y="T1"/>
                                </a:cxn>
                                <a:cxn ang="0">
                                  <a:pos x="T2" y="T3"/>
                                </a:cxn>
                                <a:cxn ang="0">
                                  <a:pos x="T4" y="T5"/>
                                </a:cxn>
                                <a:cxn ang="0">
                                  <a:pos x="T6" y="T7"/>
                                </a:cxn>
                                <a:cxn ang="0">
                                  <a:pos x="T8" y="T9"/>
                                </a:cxn>
                              </a:cxnLst>
                              <a:rect l="0" t="0" r="r" b="b"/>
                              <a:pathLst>
                                <a:path w="3687" h="3684">
                                  <a:moveTo>
                                    <a:pt x="3687" y="150"/>
                                  </a:moveTo>
                                  <a:lnTo>
                                    <a:pt x="3559" y="0"/>
                                  </a:lnTo>
                                  <a:lnTo>
                                    <a:pt x="0" y="3556"/>
                                  </a:lnTo>
                                  <a:lnTo>
                                    <a:pt x="151" y="3684"/>
                                  </a:lnTo>
                                  <a:lnTo>
                                    <a:pt x="3687" y="15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335"/>
                          <wps:cNvSpPr>
                            <a:spLocks/>
                          </wps:cNvSpPr>
                          <wps:spPr bwMode="auto">
                            <a:xfrm>
                              <a:off x="2751" y="5631"/>
                              <a:ext cx="1843" cy="1842"/>
                            </a:xfrm>
                            <a:custGeom>
                              <a:avLst/>
                              <a:gdLst>
                                <a:gd name="T0" fmla="*/ 3686 w 3686"/>
                                <a:gd name="T1" fmla="*/ 128 h 3685"/>
                                <a:gd name="T2" fmla="*/ 3537 w 3686"/>
                                <a:gd name="T3" fmla="*/ 0 h 3685"/>
                                <a:gd name="T4" fmla="*/ 0 w 3686"/>
                                <a:gd name="T5" fmla="*/ 3535 h 3685"/>
                                <a:gd name="T6" fmla="*/ 128 w 3686"/>
                                <a:gd name="T7" fmla="*/ 3685 h 3685"/>
                                <a:gd name="T8" fmla="*/ 3686 w 3686"/>
                                <a:gd name="T9" fmla="*/ 128 h 3685"/>
                              </a:gdLst>
                              <a:ahLst/>
                              <a:cxnLst>
                                <a:cxn ang="0">
                                  <a:pos x="T0" y="T1"/>
                                </a:cxn>
                                <a:cxn ang="0">
                                  <a:pos x="T2" y="T3"/>
                                </a:cxn>
                                <a:cxn ang="0">
                                  <a:pos x="T4" y="T5"/>
                                </a:cxn>
                                <a:cxn ang="0">
                                  <a:pos x="T6" y="T7"/>
                                </a:cxn>
                                <a:cxn ang="0">
                                  <a:pos x="T8" y="T9"/>
                                </a:cxn>
                              </a:cxnLst>
                              <a:rect l="0" t="0" r="r" b="b"/>
                              <a:pathLst>
                                <a:path w="3686" h="3685">
                                  <a:moveTo>
                                    <a:pt x="3686" y="128"/>
                                  </a:moveTo>
                                  <a:lnTo>
                                    <a:pt x="3537" y="0"/>
                                  </a:lnTo>
                                  <a:lnTo>
                                    <a:pt x="0" y="3535"/>
                                  </a:lnTo>
                                  <a:lnTo>
                                    <a:pt x="128" y="3685"/>
                                  </a:lnTo>
                                  <a:lnTo>
                                    <a:pt x="3686" y="128"/>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336"/>
                          <wps:cNvSpPr>
                            <a:spLocks/>
                          </wps:cNvSpPr>
                          <wps:spPr bwMode="auto">
                            <a:xfrm>
                              <a:off x="3030" y="5910"/>
                              <a:ext cx="1843" cy="1842"/>
                            </a:xfrm>
                            <a:custGeom>
                              <a:avLst/>
                              <a:gdLst>
                                <a:gd name="T0" fmla="*/ 3686 w 3686"/>
                                <a:gd name="T1" fmla="*/ 149 h 3684"/>
                                <a:gd name="T2" fmla="*/ 3558 w 3686"/>
                                <a:gd name="T3" fmla="*/ 0 h 3684"/>
                                <a:gd name="T4" fmla="*/ 0 w 3686"/>
                                <a:gd name="T5" fmla="*/ 3555 h 3684"/>
                                <a:gd name="T6" fmla="*/ 150 w 3686"/>
                                <a:gd name="T7" fmla="*/ 3684 h 3684"/>
                                <a:gd name="T8" fmla="*/ 3686 w 3686"/>
                                <a:gd name="T9" fmla="*/ 149 h 3684"/>
                              </a:gdLst>
                              <a:ahLst/>
                              <a:cxnLst>
                                <a:cxn ang="0">
                                  <a:pos x="T0" y="T1"/>
                                </a:cxn>
                                <a:cxn ang="0">
                                  <a:pos x="T2" y="T3"/>
                                </a:cxn>
                                <a:cxn ang="0">
                                  <a:pos x="T4" y="T5"/>
                                </a:cxn>
                                <a:cxn ang="0">
                                  <a:pos x="T6" y="T7"/>
                                </a:cxn>
                                <a:cxn ang="0">
                                  <a:pos x="T8" y="T9"/>
                                </a:cxn>
                              </a:cxnLst>
                              <a:rect l="0" t="0" r="r" b="b"/>
                              <a:pathLst>
                                <a:path w="3686" h="3684">
                                  <a:moveTo>
                                    <a:pt x="3686" y="149"/>
                                  </a:moveTo>
                                  <a:lnTo>
                                    <a:pt x="3558" y="0"/>
                                  </a:lnTo>
                                  <a:lnTo>
                                    <a:pt x="0" y="3555"/>
                                  </a:lnTo>
                                  <a:lnTo>
                                    <a:pt x="150" y="3684"/>
                                  </a:lnTo>
                                  <a:lnTo>
                                    <a:pt x="3686" y="149"/>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337"/>
                          <wps:cNvSpPr>
                            <a:spLocks/>
                          </wps:cNvSpPr>
                          <wps:spPr bwMode="auto">
                            <a:xfrm>
                              <a:off x="3319" y="6200"/>
                              <a:ext cx="1843" cy="1842"/>
                            </a:xfrm>
                            <a:custGeom>
                              <a:avLst/>
                              <a:gdLst>
                                <a:gd name="T0" fmla="*/ 3686 w 3686"/>
                                <a:gd name="T1" fmla="*/ 130 h 3685"/>
                                <a:gd name="T2" fmla="*/ 3537 w 3686"/>
                                <a:gd name="T3" fmla="*/ 0 h 3685"/>
                                <a:gd name="T4" fmla="*/ 0 w 3686"/>
                                <a:gd name="T5" fmla="*/ 3535 h 3685"/>
                                <a:gd name="T6" fmla="*/ 128 w 3686"/>
                                <a:gd name="T7" fmla="*/ 3685 h 3685"/>
                                <a:gd name="T8" fmla="*/ 3686 w 3686"/>
                                <a:gd name="T9" fmla="*/ 130 h 3685"/>
                              </a:gdLst>
                              <a:ahLst/>
                              <a:cxnLst>
                                <a:cxn ang="0">
                                  <a:pos x="T0" y="T1"/>
                                </a:cxn>
                                <a:cxn ang="0">
                                  <a:pos x="T2" y="T3"/>
                                </a:cxn>
                                <a:cxn ang="0">
                                  <a:pos x="T4" y="T5"/>
                                </a:cxn>
                                <a:cxn ang="0">
                                  <a:pos x="T6" y="T7"/>
                                </a:cxn>
                                <a:cxn ang="0">
                                  <a:pos x="T8" y="T9"/>
                                </a:cxn>
                              </a:cxnLst>
                              <a:rect l="0" t="0" r="r" b="b"/>
                              <a:pathLst>
                                <a:path w="3686" h="3685">
                                  <a:moveTo>
                                    <a:pt x="3686" y="130"/>
                                  </a:moveTo>
                                  <a:lnTo>
                                    <a:pt x="3537" y="0"/>
                                  </a:lnTo>
                                  <a:lnTo>
                                    <a:pt x="0" y="3535"/>
                                  </a:lnTo>
                                  <a:lnTo>
                                    <a:pt x="128" y="3685"/>
                                  </a:lnTo>
                                  <a:lnTo>
                                    <a:pt x="3686" y="13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338"/>
                          <wps:cNvSpPr>
                            <a:spLocks/>
                          </wps:cNvSpPr>
                          <wps:spPr bwMode="auto">
                            <a:xfrm>
                              <a:off x="3598" y="6478"/>
                              <a:ext cx="1843" cy="1853"/>
                            </a:xfrm>
                            <a:custGeom>
                              <a:avLst/>
                              <a:gdLst>
                                <a:gd name="T0" fmla="*/ 3686 w 3686"/>
                                <a:gd name="T1" fmla="*/ 149 h 3705"/>
                                <a:gd name="T2" fmla="*/ 3558 w 3686"/>
                                <a:gd name="T3" fmla="*/ 0 h 3705"/>
                                <a:gd name="T4" fmla="*/ 0 w 3686"/>
                                <a:gd name="T5" fmla="*/ 3555 h 3705"/>
                                <a:gd name="T6" fmla="*/ 150 w 3686"/>
                                <a:gd name="T7" fmla="*/ 3705 h 3705"/>
                                <a:gd name="T8" fmla="*/ 3686 w 3686"/>
                                <a:gd name="T9" fmla="*/ 149 h 3705"/>
                              </a:gdLst>
                              <a:ahLst/>
                              <a:cxnLst>
                                <a:cxn ang="0">
                                  <a:pos x="T0" y="T1"/>
                                </a:cxn>
                                <a:cxn ang="0">
                                  <a:pos x="T2" y="T3"/>
                                </a:cxn>
                                <a:cxn ang="0">
                                  <a:pos x="T4" y="T5"/>
                                </a:cxn>
                                <a:cxn ang="0">
                                  <a:pos x="T6" y="T7"/>
                                </a:cxn>
                                <a:cxn ang="0">
                                  <a:pos x="T8" y="T9"/>
                                </a:cxn>
                              </a:cxnLst>
                              <a:rect l="0" t="0" r="r" b="b"/>
                              <a:pathLst>
                                <a:path w="3686" h="3705">
                                  <a:moveTo>
                                    <a:pt x="3686" y="149"/>
                                  </a:moveTo>
                                  <a:lnTo>
                                    <a:pt x="3558" y="0"/>
                                  </a:lnTo>
                                  <a:lnTo>
                                    <a:pt x="0" y="3555"/>
                                  </a:lnTo>
                                  <a:lnTo>
                                    <a:pt x="150" y="3705"/>
                                  </a:lnTo>
                                  <a:lnTo>
                                    <a:pt x="3686" y="149"/>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339"/>
                          <wps:cNvSpPr>
                            <a:spLocks/>
                          </wps:cNvSpPr>
                          <wps:spPr bwMode="auto">
                            <a:xfrm>
                              <a:off x="3887" y="6766"/>
                              <a:ext cx="1843" cy="1843"/>
                            </a:xfrm>
                            <a:custGeom>
                              <a:avLst/>
                              <a:gdLst>
                                <a:gd name="T0" fmla="*/ 3686 w 3686"/>
                                <a:gd name="T1" fmla="*/ 129 h 3684"/>
                                <a:gd name="T2" fmla="*/ 3537 w 3686"/>
                                <a:gd name="T3" fmla="*/ 0 h 3684"/>
                                <a:gd name="T4" fmla="*/ 0 w 3686"/>
                                <a:gd name="T5" fmla="*/ 3535 h 3684"/>
                                <a:gd name="T6" fmla="*/ 128 w 3686"/>
                                <a:gd name="T7" fmla="*/ 3684 h 3684"/>
                                <a:gd name="T8" fmla="*/ 3686 w 3686"/>
                                <a:gd name="T9" fmla="*/ 129 h 3684"/>
                              </a:gdLst>
                              <a:ahLst/>
                              <a:cxnLst>
                                <a:cxn ang="0">
                                  <a:pos x="T0" y="T1"/>
                                </a:cxn>
                                <a:cxn ang="0">
                                  <a:pos x="T2" y="T3"/>
                                </a:cxn>
                                <a:cxn ang="0">
                                  <a:pos x="T4" y="T5"/>
                                </a:cxn>
                                <a:cxn ang="0">
                                  <a:pos x="T6" y="T7"/>
                                </a:cxn>
                                <a:cxn ang="0">
                                  <a:pos x="T8" y="T9"/>
                                </a:cxn>
                              </a:cxnLst>
                              <a:rect l="0" t="0" r="r" b="b"/>
                              <a:pathLst>
                                <a:path w="3686" h="3684">
                                  <a:moveTo>
                                    <a:pt x="3686" y="129"/>
                                  </a:moveTo>
                                  <a:lnTo>
                                    <a:pt x="3537" y="0"/>
                                  </a:lnTo>
                                  <a:lnTo>
                                    <a:pt x="0" y="3535"/>
                                  </a:lnTo>
                                  <a:lnTo>
                                    <a:pt x="128" y="3684"/>
                                  </a:lnTo>
                                  <a:lnTo>
                                    <a:pt x="3686" y="129"/>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340"/>
                          <wps:cNvSpPr>
                            <a:spLocks/>
                          </wps:cNvSpPr>
                          <wps:spPr bwMode="auto">
                            <a:xfrm>
                              <a:off x="4166" y="7045"/>
                              <a:ext cx="1853" cy="1853"/>
                            </a:xfrm>
                            <a:custGeom>
                              <a:avLst/>
                              <a:gdLst>
                                <a:gd name="T0" fmla="*/ 3708 w 3708"/>
                                <a:gd name="T1" fmla="*/ 150 h 3706"/>
                                <a:gd name="T2" fmla="*/ 3558 w 3708"/>
                                <a:gd name="T3" fmla="*/ 0 h 3706"/>
                                <a:gd name="T4" fmla="*/ 0 w 3708"/>
                                <a:gd name="T5" fmla="*/ 3556 h 3706"/>
                                <a:gd name="T6" fmla="*/ 150 w 3708"/>
                                <a:gd name="T7" fmla="*/ 3706 h 3706"/>
                                <a:gd name="T8" fmla="*/ 3708 w 3708"/>
                                <a:gd name="T9" fmla="*/ 150 h 3706"/>
                              </a:gdLst>
                              <a:ahLst/>
                              <a:cxnLst>
                                <a:cxn ang="0">
                                  <a:pos x="T0" y="T1"/>
                                </a:cxn>
                                <a:cxn ang="0">
                                  <a:pos x="T2" y="T3"/>
                                </a:cxn>
                                <a:cxn ang="0">
                                  <a:pos x="T4" y="T5"/>
                                </a:cxn>
                                <a:cxn ang="0">
                                  <a:pos x="T6" y="T7"/>
                                </a:cxn>
                                <a:cxn ang="0">
                                  <a:pos x="T8" y="T9"/>
                                </a:cxn>
                              </a:cxnLst>
                              <a:rect l="0" t="0" r="r" b="b"/>
                              <a:pathLst>
                                <a:path w="3708" h="3706">
                                  <a:moveTo>
                                    <a:pt x="3708" y="150"/>
                                  </a:moveTo>
                                  <a:lnTo>
                                    <a:pt x="3558" y="0"/>
                                  </a:lnTo>
                                  <a:lnTo>
                                    <a:pt x="0" y="3556"/>
                                  </a:lnTo>
                                  <a:lnTo>
                                    <a:pt x="150" y="3706"/>
                                  </a:lnTo>
                                  <a:lnTo>
                                    <a:pt x="3708" y="15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341"/>
                          <wps:cNvSpPr>
                            <a:spLocks/>
                          </wps:cNvSpPr>
                          <wps:spPr bwMode="auto">
                            <a:xfrm>
                              <a:off x="4455" y="7334"/>
                              <a:ext cx="1843" cy="1842"/>
                            </a:xfrm>
                            <a:custGeom>
                              <a:avLst/>
                              <a:gdLst>
                                <a:gd name="T0" fmla="*/ 3686 w 3686"/>
                                <a:gd name="T1" fmla="*/ 129 h 3685"/>
                                <a:gd name="T2" fmla="*/ 3537 w 3686"/>
                                <a:gd name="T3" fmla="*/ 0 h 3685"/>
                                <a:gd name="T4" fmla="*/ 0 w 3686"/>
                                <a:gd name="T5" fmla="*/ 3535 h 3685"/>
                                <a:gd name="T6" fmla="*/ 129 w 3686"/>
                                <a:gd name="T7" fmla="*/ 3685 h 3685"/>
                                <a:gd name="T8" fmla="*/ 3686 w 3686"/>
                                <a:gd name="T9" fmla="*/ 129 h 3685"/>
                              </a:gdLst>
                              <a:ahLst/>
                              <a:cxnLst>
                                <a:cxn ang="0">
                                  <a:pos x="T0" y="T1"/>
                                </a:cxn>
                                <a:cxn ang="0">
                                  <a:pos x="T2" y="T3"/>
                                </a:cxn>
                                <a:cxn ang="0">
                                  <a:pos x="T4" y="T5"/>
                                </a:cxn>
                                <a:cxn ang="0">
                                  <a:pos x="T6" y="T7"/>
                                </a:cxn>
                                <a:cxn ang="0">
                                  <a:pos x="T8" y="T9"/>
                                </a:cxn>
                              </a:cxnLst>
                              <a:rect l="0" t="0" r="r" b="b"/>
                              <a:pathLst>
                                <a:path w="3686" h="3685">
                                  <a:moveTo>
                                    <a:pt x="3686" y="129"/>
                                  </a:moveTo>
                                  <a:lnTo>
                                    <a:pt x="3537" y="0"/>
                                  </a:lnTo>
                                  <a:lnTo>
                                    <a:pt x="0" y="3535"/>
                                  </a:lnTo>
                                  <a:lnTo>
                                    <a:pt x="129" y="3685"/>
                                  </a:lnTo>
                                  <a:lnTo>
                                    <a:pt x="3686" y="129"/>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342"/>
                          <wps:cNvSpPr>
                            <a:spLocks/>
                          </wps:cNvSpPr>
                          <wps:spPr bwMode="auto">
                            <a:xfrm>
                              <a:off x="4734" y="7613"/>
                              <a:ext cx="1853" cy="1853"/>
                            </a:xfrm>
                            <a:custGeom>
                              <a:avLst/>
                              <a:gdLst>
                                <a:gd name="T0" fmla="*/ 3708 w 3708"/>
                                <a:gd name="T1" fmla="*/ 150 h 3707"/>
                                <a:gd name="T2" fmla="*/ 3558 w 3708"/>
                                <a:gd name="T3" fmla="*/ 0 h 3707"/>
                                <a:gd name="T4" fmla="*/ 0 w 3708"/>
                                <a:gd name="T5" fmla="*/ 3556 h 3707"/>
                                <a:gd name="T6" fmla="*/ 150 w 3708"/>
                                <a:gd name="T7" fmla="*/ 3707 h 3707"/>
                                <a:gd name="T8" fmla="*/ 3708 w 3708"/>
                                <a:gd name="T9" fmla="*/ 150 h 3707"/>
                              </a:gdLst>
                              <a:ahLst/>
                              <a:cxnLst>
                                <a:cxn ang="0">
                                  <a:pos x="T0" y="T1"/>
                                </a:cxn>
                                <a:cxn ang="0">
                                  <a:pos x="T2" y="T3"/>
                                </a:cxn>
                                <a:cxn ang="0">
                                  <a:pos x="T4" y="T5"/>
                                </a:cxn>
                                <a:cxn ang="0">
                                  <a:pos x="T6" y="T7"/>
                                </a:cxn>
                                <a:cxn ang="0">
                                  <a:pos x="T8" y="T9"/>
                                </a:cxn>
                              </a:cxnLst>
                              <a:rect l="0" t="0" r="r" b="b"/>
                              <a:pathLst>
                                <a:path w="3708" h="3707">
                                  <a:moveTo>
                                    <a:pt x="3708" y="150"/>
                                  </a:moveTo>
                                  <a:lnTo>
                                    <a:pt x="3558" y="0"/>
                                  </a:lnTo>
                                  <a:lnTo>
                                    <a:pt x="0" y="3556"/>
                                  </a:lnTo>
                                  <a:lnTo>
                                    <a:pt x="150" y="3707"/>
                                  </a:lnTo>
                                  <a:lnTo>
                                    <a:pt x="3708" y="15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343"/>
                          <wps:cNvSpPr>
                            <a:spLocks/>
                          </wps:cNvSpPr>
                          <wps:spPr bwMode="auto">
                            <a:xfrm>
                              <a:off x="2290" y="2889"/>
                              <a:ext cx="5498" cy="5837"/>
                            </a:xfrm>
                            <a:custGeom>
                              <a:avLst/>
                              <a:gdLst>
                                <a:gd name="T0" fmla="*/ 10996 w 10996"/>
                                <a:gd name="T1" fmla="*/ 8611 h 11675"/>
                                <a:gd name="T2" fmla="*/ 7438 w 10996"/>
                                <a:gd name="T3" fmla="*/ 0 h 11675"/>
                                <a:gd name="T4" fmla="*/ 0 w 10996"/>
                                <a:gd name="T5" fmla="*/ 3064 h 11675"/>
                                <a:gd name="T6" fmla="*/ 3579 w 10996"/>
                                <a:gd name="T7" fmla="*/ 11675 h 11675"/>
                                <a:gd name="T8" fmla="*/ 10996 w 10996"/>
                                <a:gd name="T9" fmla="*/ 8611 h 11675"/>
                              </a:gdLst>
                              <a:ahLst/>
                              <a:cxnLst>
                                <a:cxn ang="0">
                                  <a:pos x="T0" y="T1"/>
                                </a:cxn>
                                <a:cxn ang="0">
                                  <a:pos x="T2" y="T3"/>
                                </a:cxn>
                                <a:cxn ang="0">
                                  <a:pos x="T4" y="T5"/>
                                </a:cxn>
                                <a:cxn ang="0">
                                  <a:pos x="T6" y="T7"/>
                                </a:cxn>
                                <a:cxn ang="0">
                                  <a:pos x="T8" y="T9"/>
                                </a:cxn>
                              </a:cxnLst>
                              <a:rect l="0" t="0" r="r" b="b"/>
                              <a:pathLst>
                                <a:path w="10996" h="11675">
                                  <a:moveTo>
                                    <a:pt x="10996" y="8611"/>
                                  </a:moveTo>
                                  <a:lnTo>
                                    <a:pt x="7438" y="0"/>
                                  </a:lnTo>
                                  <a:lnTo>
                                    <a:pt x="0" y="3064"/>
                                  </a:lnTo>
                                  <a:lnTo>
                                    <a:pt x="3579" y="11675"/>
                                  </a:lnTo>
                                  <a:lnTo>
                                    <a:pt x="10996" y="8611"/>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344"/>
                          <wps:cNvSpPr>
                            <a:spLocks/>
                          </wps:cNvSpPr>
                          <wps:spPr bwMode="auto">
                            <a:xfrm>
                              <a:off x="2772" y="3339"/>
                              <a:ext cx="4501" cy="4927"/>
                            </a:xfrm>
                            <a:custGeom>
                              <a:avLst/>
                              <a:gdLst>
                                <a:gd name="T0" fmla="*/ 9001 w 9001"/>
                                <a:gd name="T1" fmla="*/ 7391 h 9854"/>
                                <a:gd name="T2" fmla="*/ 5937 w 9001"/>
                                <a:gd name="T3" fmla="*/ 0 h 9854"/>
                                <a:gd name="T4" fmla="*/ 0 w 9001"/>
                                <a:gd name="T5" fmla="*/ 2463 h 9854"/>
                                <a:gd name="T6" fmla="*/ 3064 w 9001"/>
                                <a:gd name="T7" fmla="*/ 9854 h 9854"/>
                                <a:gd name="T8" fmla="*/ 9001 w 9001"/>
                                <a:gd name="T9" fmla="*/ 7391 h 9854"/>
                              </a:gdLst>
                              <a:ahLst/>
                              <a:cxnLst>
                                <a:cxn ang="0">
                                  <a:pos x="T0" y="T1"/>
                                </a:cxn>
                                <a:cxn ang="0">
                                  <a:pos x="T2" y="T3"/>
                                </a:cxn>
                                <a:cxn ang="0">
                                  <a:pos x="T4" y="T5"/>
                                </a:cxn>
                                <a:cxn ang="0">
                                  <a:pos x="T6" y="T7"/>
                                </a:cxn>
                                <a:cxn ang="0">
                                  <a:pos x="T8" y="T9"/>
                                </a:cxn>
                              </a:cxnLst>
                              <a:rect l="0" t="0" r="r" b="b"/>
                              <a:pathLst>
                                <a:path w="9001" h="9854">
                                  <a:moveTo>
                                    <a:pt x="9001" y="7391"/>
                                  </a:moveTo>
                                  <a:lnTo>
                                    <a:pt x="5937" y="0"/>
                                  </a:lnTo>
                                  <a:lnTo>
                                    <a:pt x="0" y="2463"/>
                                  </a:lnTo>
                                  <a:lnTo>
                                    <a:pt x="3064" y="9854"/>
                                  </a:lnTo>
                                  <a:lnTo>
                                    <a:pt x="9001" y="7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345"/>
                          <wps:cNvSpPr>
                            <a:spLocks/>
                          </wps:cNvSpPr>
                          <wps:spPr bwMode="auto">
                            <a:xfrm>
                              <a:off x="3061" y="4892"/>
                              <a:ext cx="397" cy="396"/>
                            </a:xfrm>
                            <a:custGeom>
                              <a:avLst/>
                              <a:gdLst>
                                <a:gd name="T0" fmla="*/ 558 w 793"/>
                                <a:gd name="T1" fmla="*/ 749 h 792"/>
                                <a:gd name="T2" fmla="*/ 664 w 793"/>
                                <a:gd name="T3" fmla="*/ 685 h 792"/>
                                <a:gd name="T4" fmla="*/ 750 w 793"/>
                                <a:gd name="T5" fmla="*/ 599 h 792"/>
                                <a:gd name="T6" fmla="*/ 793 w 793"/>
                                <a:gd name="T7" fmla="*/ 491 h 792"/>
                                <a:gd name="T8" fmla="*/ 793 w 793"/>
                                <a:gd name="T9" fmla="*/ 363 h 792"/>
                                <a:gd name="T10" fmla="*/ 772 w 793"/>
                                <a:gd name="T11" fmla="*/ 234 h 792"/>
                                <a:gd name="T12" fmla="*/ 772 w 793"/>
                                <a:gd name="T13" fmla="*/ 234 h 792"/>
                                <a:gd name="T14" fmla="*/ 707 w 793"/>
                                <a:gd name="T15" fmla="*/ 128 h 792"/>
                                <a:gd name="T16" fmla="*/ 622 w 793"/>
                                <a:gd name="T17" fmla="*/ 42 h 792"/>
                                <a:gd name="T18" fmla="*/ 493 w 793"/>
                                <a:gd name="T19" fmla="*/ 0 h 792"/>
                                <a:gd name="T20" fmla="*/ 386 w 793"/>
                                <a:gd name="T21" fmla="*/ 0 h 792"/>
                                <a:gd name="T22" fmla="*/ 257 w 793"/>
                                <a:gd name="T23" fmla="*/ 20 h 792"/>
                                <a:gd name="T24" fmla="*/ 257 w 793"/>
                                <a:gd name="T25" fmla="*/ 20 h 792"/>
                                <a:gd name="T26" fmla="*/ 151 w 793"/>
                                <a:gd name="T27" fmla="*/ 85 h 792"/>
                                <a:gd name="T28" fmla="*/ 64 w 793"/>
                                <a:gd name="T29" fmla="*/ 192 h 792"/>
                                <a:gd name="T30" fmla="*/ 21 w 793"/>
                                <a:gd name="T31" fmla="*/ 299 h 792"/>
                                <a:gd name="T32" fmla="*/ 0 w 793"/>
                                <a:gd name="T33" fmla="*/ 428 h 792"/>
                                <a:gd name="T34" fmla="*/ 43 w 793"/>
                                <a:gd name="T35" fmla="*/ 535 h 792"/>
                                <a:gd name="T36" fmla="*/ 43 w 793"/>
                                <a:gd name="T37" fmla="*/ 535 h 792"/>
                                <a:gd name="T38" fmla="*/ 108 w 793"/>
                                <a:gd name="T39" fmla="*/ 642 h 792"/>
                                <a:gd name="T40" fmla="*/ 193 w 793"/>
                                <a:gd name="T41" fmla="*/ 727 h 792"/>
                                <a:gd name="T42" fmla="*/ 322 w 793"/>
                                <a:gd name="T43" fmla="*/ 770 h 792"/>
                                <a:gd name="T44" fmla="*/ 428 w 793"/>
                                <a:gd name="T45" fmla="*/ 792 h 792"/>
                                <a:gd name="T46" fmla="*/ 558 w 793"/>
                                <a:gd name="T47" fmla="*/ 749 h 7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93" h="792">
                                  <a:moveTo>
                                    <a:pt x="558" y="749"/>
                                  </a:moveTo>
                                  <a:lnTo>
                                    <a:pt x="664" y="685"/>
                                  </a:lnTo>
                                  <a:lnTo>
                                    <a:pt x="750" y="599"/>
                                  </a:lnTo>
                                  <a:lnTo>
                                    <a:pt x="793" y="491"/>
                                  </a:lnTo>
                                  <a:lnTo>
                                    <a:pt x="793" y="363"/>
                                  </a:lnTo>
                                  <a:lnTo>
                                    <a:pt x="772" y="234"/>
                                  </a:lnTo>
                                  <a:lnTo>
                                    <a:pt x="772" y="234"/>
                                  </a:lnTo>
                                  <a:lnTo>
                                    <a:pt x="707" y="128"/>
                                  </a:lnTo>
                                  <a:lnTo>
                                    <a:pt x="622" y="42"/>
                                  </a:lnTo>
                                  <a:lnTo>
                                    <a:pt x="493" y="0"/>
                                  </a:lnTo>
                                  <a:lnTo>
                                    <a:pt x="386" y="0"/>
                                  </a:lnTo>
                                  <a:lnTo>
                                    <a:pt x="257" y="20"/>
                                  </a:lnTo>
                                  <a:lnTo>
                                    <a:pt x="257" y="20"/>
                                  </a:lnTo>
                                  <a:lnTo>
                                    <a:pt x="151" y="85"/>
                                  </a:lnTo>
                                  <a:lnTo>
                                    <a:pt x="64" y="192"/>
                                  </a:lnTo>
                                  <a:lnTo>
                                    <a:pt x="21" y="299"/>
                                  </a:lnTo>
                                  <a:lnTo>
                                    <a:pt x="0" y="428"/>
                                  </a:lnTo>
                                  <a:lnTo>
                                    <a:pt x="43" y="535"/>
                                  </a:lnTo>
                                  <a:lnTo>
                                    <a:pt x="43" y="535"/>
                                  </a:lnTo>
                                  <a:lnTo>
                                    <a:pt x="108" y="642"/>
                                  </a:lnTo>
                                  <a:lnTo>
                                    <a:pt x="193" y="727"/>
                                  </a:lnTo>
                                  <a:lnTo>
                                    <a:pt x="322" y="770"/>
                                  </a:lnTo>
                                  <a:lnTo>
                                    <a:pt x="428" y="792"/>
                                  </a:lnTo>
                                  <a:lnTo>
                                    <a:pt x="558" y="749"/>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346"/>
                          <wps:cNvSpPr>
                            <a:spLocks/>
                          </wps:cNvSpPr>
                          <wps:spPr bwMode="auto">
                            <a:xfrm>
                              <a:off x="3555" y="6059"/>
                              <a:ext cx="396" cy="397"/>
                            </a:xfrm>
                            <a:custGeom>
                              <a:avLst/>
                              <a:gdLst>
                                <a:gd name="T0" fmla="*/ 536 w 793"/>
                                <a:gd name="T1" fmla="*/ 750 h 793"/>
                                <a:gd name="T2" fmla="*/ 643 w 793"/>
                                <a:gd name="T3" fmla="*/ 685 h 793"/>
                                <a:gd name="T4" fmla="*/ 729 w 793"/>
                                <a:gd name="T5" fmla="*/ 600 h 793"/>
                                <a:gd name="T6" fmla="*/ 772 w 793"/>
                                <a:gd name="T7" fmla="*/ 493 h 793"/>
                                <a:gd name="T8" fmla="*/ 793 w 793"/>
                                <a:gd name="T9" fmla="*/ 365 h 793"/>
                                <a:gd name="T10" fmla="*/ 751 w 793"/>
                                <a:gd name="T11" fmla="*/ 235 h 793"/>
                                <a:gd name="T12" fmla="*/ 751 w 793"/>
                                <a:gd name="T13" fmla="*/ 235 h 793"/>
                                <a:gd name="T14" fmla="*/ 686 w 793"/>
                                <a:gd name="T15" fmla="*/ 129 h 793"/>
                                <a:gd name="T16" fmla="*/ 600 w 793"/>
                                <a:gd name="T17" fmla="*/ 43 h 793"/>
                                <a:gd name="T18" fmla="*/ 493 w 793"/>
                                <a:gd name="T19" fmla="*/ 0 h 793"/>
                                <a:gd name="T20" fmla="*/ 364 w 793"/>
                                <a:gd name="T21" fmla="*/ 0 h 793"/>
                                <a:gd name="T22" fmla="*/ 236 w 793"/>
                                <a:gd name="T23" fmla="*/ 21 h 793"/>
                                <a:gd name="T24" fmla="*/ 236 w 793"/>
                                <a:gd name="T25" fmla="*/ 21 h 793"/>
                                <a:gd name="T26" fmla="*/ 128 w 793"/>
                                <a:gd name="T27" fmla="*/ 86 h 793"/>
                                <a:gd name="T28" fmla="*/ 43 w 793"/>
                                <a:gd name="T29" fmla="*/ 192 h 793"/>
                                <a:gd name="T30" fmla="*/ 0 w 793"/>
                                <a:gd name="T31" fmla="*/ 300 h 793"/>
                                <a:gd name="T32" fmla="*/ 0 w 793"/>
                                <a:gd name="T33" fmla="*/ 428 h 793"/>
                                <a:gd name="T34" fmla="*/ 22 w 793"/>
                                <a:gd name="T35" fmla="*/ 536 h 793"/>
                                <a:gd name="T36" fmla="*/ 22 w 793"/>
                                <a:gd name="T37" fmla="*/ 536 h 793"/>
                                <a:gd name="T38" fmla="*/ 86 w 793"/>
                                <a:gd name="T39" fmla="*/ 642 h 793"/>
                                <a:gd name="T40" fmla="*/ 193 w 793"/>
                                <a:gd name="T41" fmla="*/ 728 h 793"/>
                                <a:gd name="T42" fmla="*/ 301 w 793"/>
                                <a:gd name="T43" fmla="*/ 771 h 793"/>
                                <a:gd name="T44" fmla="*/ 407 w 793"/>
                                <a:gd name="T45" fmla="*/ 793 h 793"/>
                                <a:gd name="T46" fmla="*/ 536 w 793"/>
                                <a:gd name="T47" fmla="*/ 750 h 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93" h="793">
                                  <a:moveTo>
                                    <a:pt x="536" y="750"/>
                                  </a:moveTo>
                                  <a:lnTo>
                                    <a:pt x="643" y="685"/>
                                  </a:lnTo>
                                  <a:lnTo>
                                    <a:pt x="729" y="600"/>
                                  </a:lnTo>
                                  <a:lnTo>
                                    <a:pt x="772" y="493"/>
                                  </a:lnTo>
                                  <a:lnTo>
                                    <a:pt x="793" y="365"/>
                                  </a:lnTo>
                                  <a:lnTo>
                                    <a:pt x="751" y="235"/>
                                  </a:lnTo>
                                  <a:lnTo>
                                    <a:pt x="751" y="235"/>
                                  </a:lnTo>
                                  <a:lnTo>
                                    <a:pt x="686" y="129"/>
                                  </a:lnTo>
                                  <a:lnTo>
                                    <a:pt x="600" y="43"/>
                                  </a:lnTo>
                                  <a:lnTo>
                                    <a:pt x="493" y="0"/>
                                  </a:lnTo>
                                  <a:lnTo>
                                    <a:pt x="364" y="0"/>
                                  </a:lnTo>
                                  <a:lnTo>
                                    <a:pt x="236" y="21"/>
                                  </a:lnTo>
                                  <a:lnTo>
                                    <a:pt x="236" y="21"/>
                                  </a:lnTo>
                                  <a:lnTo>
                                    <a:pt x="128" y="86"/>
                                  </a:lnTo>
                                  <a:lnTo>
                                    <a:pt x="43" y="192"/>
                                  </a:lnTo>
                                  <a:lnTo>
                                    <a:pt x="0" y="300"/>
                                  </a:lnTo>
                                  <a:lnTo>
                                    <a:pt x="0" y="428"/>
                                  </a:lnTo>
                                  <a:lnTo>
                                    <a:pt x="22" y="536"/>
                                  </a:lnTo>
                                  <a:lnTo>
                                    <a:pt x="22" y="536"/>
                                  </a:lnTo>
                                  <a:lnTo>
                                    <a:pt x="86" y="642"/>
                                  </a:lnTo>
                                  <a:lnTo>
                                    <a:pt x="193" y="728"/>
                                  </a:lnTo>
                                  <a:lnTo>
                                    <a:pt x="301" y="771"/>
                                  </a:lnTo>
                                  <a:lnTo>
                                    <a:pt x="407" y="793"/>
                                  </a:lnTo>
                                  <a:lnTo>
                                    <a:pt x="536" y="75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347"/>
                          <wps:cNvSpPr>
                            <a:spLocks/>
                          </wps:cNvSpPr>
                          <wps:spPr bwMode="auto">
                            <a:xfrm>
                              <a:off x="4026" y="7205"/>
                              <a:ext cx="396" cy="397"/>
                            </a:xfrm>
                            <a:custGeom>
                              <a:avLst/>
                              <a:gdLst>
                                <a:gd name="T0" fmla="*/ 557 w 793"/>
                                <a:gd name="T1" fmla="*/ 771 h 793"/>
                                <a:gd name="T2" fmla="*/ 665 w 793"/>
                                <a:gd name="T3" fmla="*/ 707 h 793"/>
                                <a:gd name="T4" fmla="*/ 751 w 793"/>
                                <a:gd name="T5" fmla="*/ 600 h 793"/>
                                <a:gd name="T6" fmla="*/ 793 w 793"/>
                                <a:gd name="T7" fmla="*/ 493 h 793"/>
                                <a:gd name="T8" fmla="*/ 793 w 793"/>
                                <a:gd name="T9" fmla="*/ 365 h 793"/>
                                <a:gd name="T10" fmla="*/ 771 w 793"/>
                                <a:gd name="T11" fmla="*/ 257 h 793"/>
                                <a:gd name="T12" fmla="*/ 771 w 793"/>
                                <a:gd name="T13" fmla="*/ 257 h 793"/>
                                <a:gd name="T14" fmla="*/ 708 w 793"/>
                                <a:gd name="T15" fmla="*/ 150 h 793"/>
                                <a:gd name="T16" fmla="*/ 600 w 793"/>
                                <a:gd name="T17" fmla="*/ 64 h 793"/>
                                <a:gd name="T18" fmla="*/ 494 w 793"/>
                                <a:gd name="T19" fmla="*/ 21 h 793"/>
                                <a:gd name="T20" fmla="*/ 364 w 793"/>
                                <a:gd name="T21" fmla="*/ 0 h 793"/>
                                <a:gd name="T22" fmla="*/ 258 w 793"/>
                                <a:gd name="T23" fmla="*/ 43 h 793"/>
                                <a:gd name="T24" fmla="*/ 258 w 793"/>
                                <a:gd name="T25" fmla="*/ 43 h 793"/>
                                <a:gd name="T26" fmla="*/ 129 w 793"/>
                                <a:gd name="T27" fmla="*/ 107 h 793"/>
                                <a:gd name="T28" fmla="*/ 65 w 793"/>
                                <a:gd name="T29" fmla="*/ 192 h 793"/>
                                <a:gd name="T30" fmla="*/ 22 w 793"/>
                                <a:gd name="T31" fmla="*/ 300 h 793"/>
                                <a:gd name="T32" fmla="*/ 0 w 793"/>
                                <a:gd name="T33" fmla="*/ 428 h 793"/>
                                <a:gd name="T34" fmla="*/ 43 w 793"/>
                                <a:gd name="T35" fmla="*/ 557 h 793"/>
                                <a:gd name="T36" fmla="*/ 43 w 793"/>
                                <a:gd name="T37" fmla="*/ 557 h 793"/>
                                <a:gd name="T38" fmla="*/ 107 w 793"/>
                                <a:gd name="T39" fmla="*/ 664 h 793"/>
                                <a:gd name="T40" fmla="*/ 193 w 793"/>
                                <a:gd name="T41" fmla="*/ 750 h 793"/>
                                <a:gd name="T42" fmla="*/ 301 w 793"/>
                                <a:gd name="T43" fmla="*/ 793 h 793"/>
                                <a:gd name="T44" fmla="*/ 429 w 793"/>
                                <a:gd name="T45" fmla="*/ 793 h 793"/>
                                <a:gd name="T46" fmla="*/ 557 w 793"/>
                                <a:gd name="T47" fmla="*/ 771 h 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793" h="793">
                                  <a:moveTo>
                                    <a:pt x="557" y="771"/>
                                  </a:moveTo>
                                  <a:lnTo>
                                    <a:pt x="665" y="707"/>
                                  </a:lnTo>
                                  <a:lnTo>
                                    <a:pt x="751" y="600"/>
                                  </a:lnTo>
                                  <a:lnTo>
                                    <a:pt x="793" y="493"/>
                                  </a:lnTo>
                                  <a:lnTo>
                                    <a:pt x="793" y="365"/>
                                  </a:lnTo>
                                  <a:lnTo>
                                    <a:pt x="771" y="257"/>
                                  </a:lnTo>
                                  <a:lnTo>
                                    <a:pt x="771" y="257"/>
                                  </a:lnTo>
                                  <a:lnTo>
                                    <a:pt x="708" y="150"/>
                                  </a:lnTo>
                                  <a:lnTo>
                                    <a:pt x="600" y="64"/>
                                  </a:lnTo>
                                  <a:lnTo>
                                    <a:pt x="494" y="21"/>
                                  </a:lnTo>
                                  <a:lnTo>
                                    <a:pt x="364" y="0"/>
                                  </a:lnTo>
                                  <a:lnTo>
                                    <a:pt x="258" y="43"/>
                                  </a:lnTo>
                                  <a:lnTo>
                                    <a:pt x="258" y="43"/>
                                  </a:lnTo>
                                  <a:lnTo>
                                    <a:pt x="129" y="107"/>
                                  </a:lnTo>
                                  <a:lnTo>
                                    <a:pt x="65" y="192"/>
                                  </a:lnTo>
                                  <a:lnTo>
                                    <a:pt x="22" y="300"/>
                                  </a:lnTo>
                                  <a:lnTo>
                                    <a:pt x="0" y="428"/>
                                  </a:lnTo>
                                  <a:lnTo>
                                    <a:pt x="43" y="557"/>
                                  </a:lnTo>
                                  <a:lnTo>
                                    <a:pt x="43" y="557"/>
                                  </a:lnTo>
                                  <a:lnTo>
                                    <a:pt x="107" y="664"/>
                                  </a:lnTo>
                                  <a:lnTo>
                                    <a:pt x="193" y="750"/>
                                  </a:lnTo>
                                  <a:lnTo>
                                    <a:pt x="301" y="793"/>
                                  </a:lnTo>
                                  <a:lnTo>
                                    <a:pt x="429" y="793"/>
                                  </a:lnTo>
                                  <a:lnTo>
                                    <a:pt x="557" y="771"/>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348"/>
                          <wps:cNvSpPr>
                            <a:spLocks/>
                          </wps:cNvSpPr>
                          <wps:spPr bwMode="auto">
                            <a:xfrm>
                              <a:off x="3330" y="4303"/>
                              <a:ext cx="1618" cy="3738"/>
                            </a:xfrm>
                            <a:custGeom>
                              <a:avLst/>
                              <a:gdLst>
                                <a:gd name="T0" fmla="*/ 3237 w 3237"/>
                                <a:gd name="T1" fmla="*/ 7390 h 7476"/>
                                <a:gd name="T2" fmla="*/ 171 w 3237"/>
                                <a:gd name="T3" fmla="*/ 0 h 7476"/>
                                <a:gd name="T4" fmla="*/ 0 w 3237"/>
                                <a:gd name="T5" fmla="*/ 85 h 7476"/>
                                <a:gd name="T6" fmla="*/ 3066 w 3237"/>
                                <a:gd name="T7" fmla="*/ 7476 h 7476"/>
                                <a:gd name="T8" fmla="*/ 3237 w 3237"/>
                                <a:gd name="T9" fmla="*/ 7390 h 7476"/>
                              </a:gdLst>
                              <a:ahLst/>
                              <a:cxnLst>
                                <a:cxn ang="0">
                                  <a:pos x="T0" y="T1"/>
                                </a:cxn>
                                <a:cxn ang="0">
                                  <a:pos x="T2" y="T3"/>
                                </a:cxn>
                                <a:cxn ang="0">
                                  <a:pos x="T4" y="T5"/>
                                </a:cxn>
                                <a:cxn ang="0">
                                  <a:pos x="T6" y="T7"/>
                                </a:cxn>
                                <a:cxn ang="0">
                                  <a:pos x="T8" y="T9"/>
                                </a:cxn>
                              </a:cxnLst>
                              <a:rect l="0" t="0" r="r" b="b"/>
                              <a:pathLst>
                                <a:path w="3237" h="7476">
                                  <a:moveTo>
                                    <a:pt x="3237" y="7390"/>
                                  </a:moveTo>
                                  <a:lnTo>
                                    <a:pt x="171" y="0"/>
                                  </a:lnTo>
                                  <a:lnTo>
                                    <a:pt x="0" y="85"/>
                                  </a:lnTo>
                                  <a:lnTo>
                                    <a:pt x="3066" y="7476"/>
                                  </a:lnTo>
                                  <a:lnTo>
                                    <a:pt x="3237" y="739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349"/>
                          <wps:cNvSpPr>
                            <a:spLocks/>
                          </wps:cNvSpPr>
                          <wps:spPr bwMode="auto">
                            <a:xfrm>
                              <a:off x="3598" y="3767"/>
                              <a:ext cx="2357" cy="1061"/>
                            </a:xfrm>
                            <a:custGeom>
                              <a:avLst/>
                              <a:gdLst>
                                <a:gd name="T0" fmla="*/ 4716 w 4716"/>
                                <a:gd name="T1" fmla="*/ 192 h 2121"/>
                                <a:gd name="T2" fmla="*/ 4629 w 4716"/>
                                <a:gd name="T3" fmla="*/ 0 h 2121"/>
                                <a:gd name="T4" fmla="*/ 0 w 4716"/>
                                <a:gd name="T5" fmla="*/ 1928 h 2121"/>
                                <a:gd name="T6" fmla="*/ 64 w 4716"/>
                                <a:gd name="T7" fmla="*/ 2121 h 2121"/>
                                <a:gd name="T8" fmla="*/ 4716 w 4716"/>
                                <a:gd name="T9" fmla="*/ 192 h 2121"/>
                              </a:gdLst>
                              <a:ahLst/>
                              <a:cxnLst>
                                <a:cxn ang="0">
                                  <a:pos x="T0" y="T1"/>
                                </a:cxn>
                                <a:cxn ang="0">
                                  <a:pos x="T2" y="T3"/>
                                </a:cxn>
                                <a:cxn ang="0">
                                  <a:pos x="T4" y="T5"/>
                                </a:cxn>
                                <a:cxn ang="0">
                                  <a:pos x="T6" y="T7"/>
                                </a:cxn>
                                <a:cxn ang="0">
                                  <a:pos x="T8" y="T9"/>
                                </a:cxn>
                              </a:cxnLst>
                              <a:rect l="0" t="0" r="r" b="b"/>
                              <a:pathLst>
                                <a:path w="4716" h="2121">
                                  <a:moveTo>
                                    <a:pt x="4716" y="192"/>
                                  </a:moveTo>
                                  <a:lnTo>
                                    <a:pt x="4629" y="0"/>
                                  </a:lnTo>
                                  <a:lnTo>
                                    <a:pt x="0" y="1928"/>
                                  </a:lnTo>
                                  <a:lnTo>
                                    <a:pt x="64" y="2121"/>
                                  </a:lnTo>
                                  <a:lnTo>
                                    <a:pt x="4716" y="192"/>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350"/>
                          <wps:cNvSpPr>
                            <a:spLocks/>
                          </wps:cNvSpPr>
                          <wps:spPr bwMode="auto">
                            <a:xfrm>
                              <a:off x="3747" y="4142"/>
                              <a:ext cx="2358" cy="1050"/>
                            </a:xfrm>
                            <a:custGeom>
                              <a:avLst/>
                              <a:gdLst>
                                <a:gd name="T0" fmla="*/ 4716 w 4716"/>
                                <a:gd name="T1" fmla="*/ 192 h 2099"/>
                                <a:gd name="T2" fmla="*/ 4651 w 4716"/>
                                <a:gd name="T3" fmla="*/ 0 h 2099"/>
                                <a:gd name="T4" fmla="*/ 0 w 4716"/>
                                <a:gd name="T5" fmla="*/ 1928 h 2099"/>
                                <a:gd name="T6" fmla="*/ 86 w 4716"/>
                                <a:gd name="T7" fmla="*/ 2099 h 2099"/>
                                <a:gd name="T8" fmla="*/ 4716 w 4716"/>
                                <a:gd name="T9" fmla="*/ 192 h 2099"/>
                              </a:gdLst>
                              <a:ahLst/>
                              <a:cxnLst>
                                <a:cxn ang="0">
                                  <a:pos x="T0" y="T1"/>
                                </a:cxn>
                                <a:cxn ang="0">
                                  <a:pos x="T2" y="T3"/>
                                </a:cxn>
                                <a:cxn ang="0">
                                  <a:pos x="T4" y="T5"/>
                                </a:cxn>
                                <a:cxn ang="0">
                                  <a:pos x="T6" y="T7"/>
                                </a:cxn>
                                <a:cxn ang="0">
                                  <a:pos x="T8" y="T9"/>
                                </a:cxn>
                              </a:cxnLst>
                              <a:rect l="0" t="0" r="r" b="b"/>
                              <a:pathLst>
                                <a:path w="4716" h="2099">
                                  <a:moveTo>
                                    <a:pt x="4716" y="192"/>
                                  </a:moveTo>
                                  <a:lnTo>
                                    <a:pt x="4651" y="0"/>
                                  </a:lnTo>
                                  <a:lnTo>
                                    <a:pt x="0" y="1928"/>
                                  </a:lnTo>
                                  <a:lnTo>
                                    <a:pt x="86" y="2099"/>
                                  </a:lnTo>
                                  <a:lnTo>
                                    <a:pt x="4716" y="192"/>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351"/>
                          <wps:cNvSpPr>
                            <a:spLocks/>
                          </wps:cNvSpPr>
                          <wps:spPr bwMode="auto">
                            <a:xfrm>
                              <a:off x="3908" y="4517"/>
                              <a:ext cx="2358" cy="1050"/>
                            </a:xfrm>
                            <a:custGeom>
                              <a:avLst/>
                              <a:gdLst>
                                <a:gd name="T0" fmla="*/ 4715 w 4715"/>
                                <a:gd name="T1" fmla="*/ 171 h 2099"/>
                                <a:gd name="T2" fmla="*/ 4630 w 4715"/>
                                <a:gd name="T3" fmla="*/ 0 h 2099"/>
                                <a:gd name="T4" fmla="*/ 0 w 4715"/>
                                <a:gd name="T5" fmla="*/ 1905 h 2099"/>
                                <a:gd name="T6" fmla="*/ 64 w 4715"/>
                                <a:gd name="T7" fmla="*/ 2099 h 2099"/>
                                <a:gd name="T8" fmla="*/ 4715 w 4715"/>
                                <a:gd name="T9" fmla="*/ 171 h 2099"/>
                              </a:gdLst>
                              <a:ahLst/>
                              <a:cxnLst>
                                <a:cxn ang="0">
                                  <a:pos x="T0" y="T1"/>
                                </a:cxn>
                                <a:cxn ang="0">
                                  <a:pos x="T2" y="T3"/>
                                </a:cxn>
                                <a:cxn ang="0">
                                  <a:pos x="T4" y="T5"/>
                                </a:cxn>
                                <a:cxn ang="0">
                                  <a:pos x="T6" y="T7"/>
                                </a:cxn>
                                <a:cxn ang="0">
                                  <a:pos x="T8" y="T9"/>
                                </a:cxn>
                              </a:cxnLst>
                              <a:rect l="0" t="0" r="r" b="b"/>
                              <a:pathLst>
                                <a:path w="4715" h="2099">
                                  <a:moveTo>
                                    <a:pt x="4715" y="171"/>
                                  </a:moveTo>
                                  <a:lnTo>
                                    <a:pt x="4630" y="0"/>
                                  </a:lnTo>
                                  <a:lnTo>
                                    <a:pt x="0" y="1905"/>
                                  </a:lnTo>
                                  <a:lnTo>
                                    <a:pt x="64" y="2099"/>
                                  </a:lnTo>
                                  <a:lnTo>
                                    <a:pt x="4715" y="171"/>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352"/>
                          <wps:cNvSpPr>
                            <a:spLocks/>
                          </wps:cNvSpPr>
                          <wps:spPr bwMode="auto">
                            <a:xfrm>
                              <a:off x="4059" y="4882"/>
                              <a:ext cx="2357" cy="1060"/>
                            </a:xfrm>
                            <a:custGeom>
                              <a:avLst/>
                              <a:gdLst>
                                <a:gd name="T0" fmla="*/ 4715 w 4715"/>
                                <a:gd name="T1" fmla="*/ 193 h 2120"/>
                                <a:gd name="T2" fmla="*/ 4629 w 4715"/>
                                <a:gd name="T3" fmla="*/ 0 h 2120"/>
                                <a:gd name="T4" fmla="*/ 0 w 4715"/>
                                <a:gd name="T5" fmla="*/ 1927 h 2120"/>
                                <a:gd name="T6" fmla="*/ 85 w 4715"/>
                                <a:gd name="T7" fmla="*/ 2120 h 2120"/>
                                <a:gd name="T8" fmla="*/ 4715 w 4715"/>
                                <a:gd name="T9" fmla="*/ 193 h 2120"/>
                              </a:gdLst>
                              <a:ahLst/>
                              <a:cxnLst>
                                <a:cxn ang="0">
                                  <a:pos x="T0" y="T1"/>
                                </a:cxn>
                                <a:cxn ang="0">
                                  <a:pos x="T2" y="T3"/>
                                </a:cxn>
                                <a:cxn ang="0">
                                  <a:pos x="T4" y="T5"/>
                                </a:cxn>
                                <a:cxn ang="0">
                                  <a:pos x="T6" y="T7"/>
                                </a:cxn>
                                <a:cxn ang="0">
                                  <a:pos x="T8" y="T9"/>
                                </a:cxn>
                              </a:cxnLst>
                              <a:rect l="0" t="0" r="r" b="b"/>
                              <a:pathLst>
                                <a:path w="4715" h="2120">
                                  <a:moveTo>
                                    <a:pt x="4715" y="193"/>
                                  </a:moveTo>
                                  <a:lnTo>
                                    <a:pt x="4629" y="0"/>
                                  </a:lnTo>
                                  <a:lnTo>
                                    <a:pt x="0" y="1927"/>
                                  </a:lnTo>
                                  <a:lnTo>
                                    <a:pt x="85" y="2120"/>
                                  </a:lnTo>
                                  <a:lnTo>
                                    <a:pt x="4715" y="193"/>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353"/>
                          <wps:cNvSpPr>
                            <a:spLocks/>
                          </wps:cNvSpPr>
                          <wps:spPr bwMode="auto">
                            <a:xfrm>
                              <a:off x="4208" y="5256"/>
                              <a:ext cx="2358" cy="1050"/>
                            </a:xfrm>
                            <a:custGeom>
                              <a:avLst/>
                              <a:gdLst>
                                <a:gd name="T0" fmla="*/ 4717 w 4717"/>
                                <a:gd name="T1" fmla="*/ 193 h 2100"/>
                                <a:gd name="T2" fmla="*/ 4652 w 4717"/>
                                <a:gd name="T3" fmla="*/ 0 h 2100"/>
                                <a:gd name="T4" fmla="*/ 0 w 4717"/>
                                <a:gd name="T5" fmla="*/ 1929 h 2100"/>
                                <a:gd name="T6" fmla="*/ 87 w 4717"/>
                                <a:gd name="T7" fmla="*/ 2100 h 2100"/>
                                <a:gd name="T8" fmla="*/ 4717 w 4717"/>
                                <a:gd name="T9" fmla="*/ 193 h 2100"/>
                              </a:gdLst>
                              <a:ahLst/>
                              <a:cxnLst>
                                <a:cxn ang="0">
                                  <a:pos x="T0" y="T1"/>
                                </a:cxn>
                                <a:cxn ang="0">
                                  <a:pos x="T2" y="T3"/>
                                </a:cxn>
                                <a:cxn ang="0">
                                  <a:pos x="T4" y="T5"/>
                                </a:cxn>
                                <a:cxn ang="0">
                                  <a:pos x="T6" y="T7"/>
                                </a:cxn>
                                <a:cxn ang="0">
                                  <a:pos x="T8" y="T9"/>
                                </a:cxn>
                              </a:cxnLst>
                              <a:rect l="0" t="0" r="r" b="b"/>
                              <a:pathLst>
                                <a:path w="4717" h="2100">
                                  <a:moveTo>
                                    <a:pt x="4717" y="193"/>
                                  </a:moveTo>
                                  <a:lnTo>
                                    <a:pt x="4652" y="0"/>
                                  </a:lnTo>
                                  <a:lnTo>
                                    <a:pt x="0" y="1929"/>
                                  </a:lnTo>
                                  <a:lnTo>
                                    <a:pt x="87" y="2100"/>
                                  </a:lnTo>
                                  <a:lnTo>
                                    <a:pt x="4717" y="193"/>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354"/>
                          <wps:cNvSpPr>
                            <a:spLocks/>
                          </wps:cNvSpPr>
                          <wps:spPr bwMode="auto">
                            <a:xfrm>
                              <a:off x="4369" y="5631"/>
                              <a:ext cx="2358" cy="1050"/>
                            </a:xfrm>
                            <a:custGeom>
                              <a:avLst/>
                              <a:gdLst>
                                <a:gd name="T0" fmla="*/ 4716 w 4716"/>
                                <a:gd name="T1" fmla="*/ 171 h 2100"/>
                                <a:gd name="T2" fmla="*/ 4630 w 4716"/>
                                <a:gd name="T3" fmla="*/ 0 h 2100"/>
                                <a:gd name="T4" fmla="*/ 0 w 4716"/>
                                <a:gd name="T5" fmla="*/ 1907 h 2100"/>
                                <a:gd name="T6" fmla="*/ 65 w 4716"/>
                                <a:gd name="T7" fmla="*/ 2100 h 2100"/>
                                <a:gd name="T8" fmla="*/ 4716 w 4716"/>
                                <a:gd name="T9" fmla="*/ 171 h 2100"/>
                              </a:gdLst>
                              <a:ahLst/>
                              <a:cxnLst>
                                <a:cxn ang="0">
                                  <a:pos x="T0" y="T1"/>
                                </a:cxn>
                                <a:cxn ang="0">
                                  <a:pos x="T2" y="T3"/>
                                </a:cxn>
                                <a:cxn ang="0">
                                  <a:pos x="T4" y="T5"/>
                                </a:cxn>
                                <a:cxn ang="0">
                                  <a:pos x="T6" y="T7"/>
                                </a:cxn>
                                <a:cxn ang="0">
                                  <a:pos x="T8" y="T9"/>
                                </a:cxn>
                              </a:cxnLst>
                              <a:rect l="0" t="0" r="r" b="b"/>
                              <a:pathLst>
                                <a:path w="4716" h="2100">
                                  <a:moveTo>
                                    <a:pt x="4716" y="171"/>
                                  </a:moveTo>
                                  <a:lnTo>
                                    <a:pt x="4630" y="0"/>
                                  </a:lnTo>
                                  <a:lnTo>
                                    <a:pt x="0" y="1907"/>
                                  </a:lnTo>
                                  <a:lnTo>
                                    <a:pt x="65" y="2100"/>
                                  </a:lnTo>
                                  <a:lnTo>
                                    <a:pt x="4716" y="171"/>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355"/>
                          <wps:cNvSpPr>
                            <a:spLocks/>
                          </wps:cNvSpPr>
                          <wps:spPr bwMode="auto">
                            <a:xfrm>
                              <a:off x="4519" y="5995"/>
                              <a:ext cx="2358" cy="1061"/>
                            </a:xfrm>
                            <a:custGeom>
                              <a:avLst/>
                              <a:gdLst>
                                <a:gd name="T0" fmla="*/ 4715 w 4715"/>
                                <a:gd name="T1" fmla="*/ 192 h 2121"/>
                                <a:gd name="T2" fmla="*/ 4650 w 4715"/>
                                <a:gd name="T3" fmla="*/ 0 h 2121"/>
                                <a:gd name="T4" fmla="*/ 0 w 4715"/>
                                <a:gd name="T5" fmla="*/ 1927 h 2121"/>
                                <a:gd name="T6" fmla="*/ 85 w 4715"/>
                                <a:gd name="T7" fmla="*/ 2121 h 2121"/>
                                <a:gd name="T8" fmla="*/ 4715 w 4715"/>
                                <a:gd name="T9" fmla="*/ 192 h 2121"/>
                              </a:gdLst>
                              <a:ahLst/>
                              <a:cxnLst>
                                <a:cxn ang="0">
                                  <a:pos x="T0" y="T1"/>
                                </a:cxn>
                                <a:cxn ang="0">
                                  <a:pos x="T2" y="T3"/>
                                </a:cxn>
                                <a:cxn ang="0">
                                  <a:pos x="T4" y="T5"/>
                                </a:cxn>
                                <a:cxn ang="0">
                                  <a:pos x="T6" y="T7"/>
                                </a:cxn>
                                <a:cxn ang="0">
                                  <a:pos x="T8" y="T9"/>
                                </a:cxn>
                              </a:cxnLst>
                              <a:rect l="0" t="0" r="r" b="b"/>
                              <a:pathLst>
                                <a:path w="4715" h="2121">
                                  <a:moveTo>
                                    <a:pt x="4715" y="192"/>
                                  </a:moveTo>
                                  <a:lnTo>
                                    <a:pt x="4650" y="0"/>
                                  </a:lnTo>
                                  <a:lnTo>
                                    <a:pt x="0" y="1927"/>
                                  </a:lnTo>
                                  <a:lnTo>
                                    <a:pt x="85" y="2121"/>
                                  </a:lnTo>
                                  <a:lnTo>
                                    <a:pt x="4715" y="192"/>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356"/>
                          <wps:cNvSpPr>
                            <a:spLocks/>
                          </wps:cNvSpPr>
                          <wps:spPr bwMode="auto">
                            <a:xfrm>
                              <a:off x="4669" y="6371"/>
                              <a:ext cx="2358" cy="1050"/>
                            </a:xfrm>
                            <a:custGeom>
                              <a:avLst/>
                              <a:gdLst>
                                <a:gd name="T0" fmla="*/ 4716 w 4716"/>
                                <a:gd name="T1" fmla="*/ 192 h 2098"/>
                                <a:gd name="T2" fmla="*/ 4652 w 4716"/>
                                <a:gd name="T3" fmla="*/ 0 h 2098"/>
                                <a:gd name="T4" fmla="*/ 0 w 4716"/>
                                <a:gd name="T5" fmla="*/ 1927 h 2098"/>
                                <a:gd name="T6" fmla="*/ 86 w 4716"/>
                                <a:gd name="T7" fmla="*/ 2098 h 2098"/>
                                <a:gd name="T8" fmla="*/ 4716 w 4716"/>
                                <a:gd name="T9" fmla="*/ 192 h 2098"/>
                              </a:gdLst>
                              <a:ahLst/>
                              <a:cxnLst>
                                <a:cxn ang="0">
                                  <a:pos x="T0" y="T1"/>
                                </a:cxn>
                                <a:cxn ang="0">
                                  <a:pos x="T2" y="T3"/>
                                </a:cxn>
                                <a:cxn ang="0">
                                  <a:pos x="T4" y="T5"/>
                                </a:cxn>
                                <a:cxn ang="0">
                                  <a:pos x="T6" y="T7"/>
                                </a:cxn>
                                <a:cxn ang="0">
                                  <a:pos x="T8" y="T9"/>
                                </a:cxn>
                              </a:cxnLst>
                              <a:rect l="0" t="0" r="r" b="b"/>
                              <a:pathLst>
                                <a:path w="4716" h="2098">
                                  <a:moveTo>
                                    <a:pt x="4716" y="192"/>
                                  </a:moveTo>
                                  <a:lnTo>
                                    <a:pt x="4652" y="0"/>
                                  </a:lnTo>
                                  <a:lnTo>
                                    <a:pt x="0" y="1927"/>
                                  </a:lnTo>
                                  <a:lnTo>
                                    <a:pt x="86" y="2098"/>
                                  </a:lnTo>
                                  <a:lnTo>
                                    <a:pt x="4716" y="192"/>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357"/>
                          <wps:cNvSpPr>
                            <a:spLocks/>
                          </wps:cNvSpPr>
                          <wps:spPr bwMode="auto">
                            <a:xfrm>
                              <a:off x="4830" y="6746"/>
                              <a:ext cx="2358" cy="1050"/>
                            </a:xfrm>
                            <a:custGeom>
                              <a:avLst/>
                              <a:gdLst>
                                <a:gd name="T0" fmla="*/ 4715 w 4715"/>
                                <a:gd name="T1" fmla="*/ 172 h 2099"/>
                                <a:gd name="T2" fmla="*/ 4630 w 4715"/>
                                <a:gd name="T3" fmla="*/ 0 h 2099"/>
                                <a:gd name="T4" fmla="*/ 0 w 4715"/>
                                <a:gd name="T5" fmla="*/ 1907 h 2099"/>
                                <a:gd name="T6" fmla="*/ 65 w 4715"/>
                                <a:gd name="T7" fmla="*/ 2099 h 2099"/>
                                <a:gd name="T8" fmla="*/ 4715 w 4715"/>
                                <a:gd name="T9" fmla="*/ 172 h 2099"/>
                              </a:gdLst>
                              <a:ahLst/>
                              <a:cxnLst>
                                <a:cxn ang="0">
                                  <a:pos x="T0" y="T1"/>
                                </a:cxn>
                                <a:cxn ang="0">
                                  <a:pos x="T2" y="T3"/>
                                </a:cxn>
                                <a:cxn ang="0">
                                  <a:pos x="T4" y="T5"/>
                                </a:cxn>
                                <a:cxn ang="0">
                                  <a:pos x="T6" y="T7"/>
                                </a:cxn>
                                <a:cxn ang="0">
                                  <a:pos x="T8" y="T9"/>
                                </a:cxn>
                              </a:cxnLst>
                              <a:rect l="0" t="0" r="r" b="b"/>
                              <a:pathLst>
                                <a:path w="4715" h="2099">
                                  <a:moveTo>
                                    <a:pt x="4715" y="172"/>
                                  </a:moveTo>
                                  <a:lnTo>
                                    <a:pt x="4630" y="0"/>
                                  </a:lnTo>
                                  <a:lnTo>
                                    <a:pt x="0" y="1907"/>
                                  </a:lnTo>
                                  <a:lnTo>
                                    <a:pt x="65" y="2099"/>
                                  </a:lnTo>
                                  <a:lnTo>
                                    <a:pt x="4715" y="172"/>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58"/>
                          <wps:cNvSpPr>
                            <a:spLocks noChangeArrowheads="1"/>
                          </wps:cNvSpPr>
                          <wps:spPr bwMode="auto">
                            <a:xfrm>
                              <a:off x="5880" y="2914"/>
                              <a:ext cx="4019" cy="4659"/>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 name="Rectangle 359"/>
                          <wps:cNvSpPr>
                            <a:spLocks noChangeArrowheads="1"/>
                          </wps:cNvSpPr>
                          <wps:spPr bwMode="auto">
                            <a:xfrm>
                              <a:off x="6266" y="3221"/>
                              <a:ext cx="3215" cy="4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 name="Freeform 360"/>
                          <wps:cNvSpPr>
                            <a:spLocks/>
                          </wps:cNvSpPr>
                          <wps:spPr bwMode="auto">
                            <a:xfrm>
                              <a:off x="6331" y="3692"/>
                              <a:ext cx="396" cy="397"/>
                            </a:xfrm>
                            <a:custGeom>
                              <a:avLst/>
                              <a:gdLst>
                                <a:gd name="T0" fmla="*/ 386 w 793"/>
                                <a:gd name="T1" fmla="*/ 793 h 793"/>
                                <a:gd name="T2" fmla="*/ 600 w 793"/>
                                <a:gd name="T3" fmla="*/ 750 h 793"/>
                                <a:gd name="T4" fmla="*/ 729 w 793"/>
                                <a:gd name="T5" fmla="*/ 599 h 793"/>
                                <a:gd name="T6" fmla="*/ 793 w 793"/>
                                <a:gd name="T7" fmla="*/ 407 h 793"/>
                                <a:gd name="T8" fmla="*/ 793 w 793"/>
                                <a:gd name="T9" fmla="*/ 407 h 793"/>
                                <a:gd name="T10" fmla="*/ 729 w 793"/>
                                <a:gd name="T11" fmla="*/ 193 h 793"/>
                                <a:gd name="T12" fmla="*/ 600 w 793"/>
                                <a:gd name="T13" fmla="*/ 65 h 793"/>
                                <a:gd name="T14" fmla="*/ 386 w 793"/>
                                <a:gd name="T15" fmla="*/ 0 h 793"/>
                                <a:gd name="T16" fmla="*/ 386 w 793"/>
                                <a:gd name="T17" fmla="*/ 0 h 793"/>
                                <a:gd name="T18" fmla="*/ 193 w 793"/>
                                <a:gd name="T19" fmla="*/ 65 h 793"/>
                                <a:gd name="T20" fmla="*/ 43 w 793"/>
                                <a:gd name="T21" fmla="*/ 193 h 793"/>
                                <a:gd name="T22" fmla="*/ 0 w 793"/>
                                <a:gd name="T23" fmla="*/ 407 h 793"/>
                                <a:gd name="T24" fmla="*/ 0 w 793"/>
                                <a:gd name="T25" fmla="*/ 407 h 793"/>
                                <a:gd name="T26" fmla="*/ 43 w 793"/>
                                <a:gd name="T27" fmla="*/ 599 h 793"/>
                                <a:gd name="T28" fmla="*/ 193 w 793"/>
                                <a:gd name="T29" fmla="*/ 750 h 793"/>
                                <a:gd name="T30" fmla="*/ 386 w 793"/>
                                <a:gd name="T31" fmla="*/ 793 h 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93" h="793">
                                  <a:moveTo>
                                    <a:pt x="386" y="793"/>
                                  </a:moveTo>
                                  <a:lnTo>
                                    <a:pt x="600" y="750"/>
                                  </a:lnTo>
                                  <a:lnTo>
                                    <a:pt x="729" y="599"/>
                                  </a:lnTo>
                                  <a:lnTo>
                                    <a:pt x="793" y="407"/>
                                  </a:lnTo>
                                  <a:lnTo>
                                    <a:pt x="793" y="407"/>
                                  </a:lnTo>
                                  <a:lnTo>
                                    <a:pt x="729" y="193"/>
                                  </a:lnTo>
                                  <a:lnTo>
                                    <a:pt x="600" y="65"/>
                                  </a:lnTo>
                                  <a:lnTo>
                                    <a:pt x="386" y="0"/>
                                  </a:lnTo>
                                  <a:lnTo>
                                    <a:pt x="386" y="0"/>
                                  </a:lnTo>
                                  <a:lnTo>
                                    <a:pt x="193" y="65"/>
                                  </a:lnTo>
                                  <a:lnTo>
                                    <a:pt x="43" y="193"/>
                                  </a:lnTo>
                                  <a:lnTo>
                                    <a:pt x="0" y="407"/>
                                  </a:lnTo>
                                  <a:lnTo>
                                    <a:pt x="0" y="407"/>
                                  </a:lnTo>
                                  <a:lnTo>
                                    <a:pt x="43" y="599"/>
                                  </a:lnTo>
                                  <a:lnTo>
                                    <a:pt x="193" y="750"/>
                                  </a:lnTo>
                                  <a:lnTo>
                                    <a:pt x="386" y="793"/>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361"/>
                          <wps:cNvSpPr>
                            <a:spLocks/>
                          </wps:cNvSpPr>
                          <wps:spPr bwMode="auto">
                            <a:xfrm>
                              <a:off x="6331" y="4956"/>
                              <a:ext cx="396" cy="396"/>
                            </a:xfrm>
                            <a:custGeom>
                              <a:avLst/>
                              <a:gdLst>
                                <a:gd name="T0" fmla="*/ 386 w 793"/>
                                <a:gd name="T1" fmla="*/ 792 h 792"/>
                                <a:gd name="T2" fmla="*/ 600 w 793"/>
                                <a:gd name="T3" fmla="*/ 750 h 792"/>
                                <a:gd name="T4" fmla="*/ 729 w 793"/>
                                <a:gd name="T5" fmla="*/ 599 h 792"/>
                                <a:gd name="T6" fmla="*/ 793 w 793"/>
                                <a:gd name="T7" fmla="*/ 407 h 792"/>
                                <a:gd name="T8" fmla="*/ 793 w 793"/>
                                <a:gd name="T9" fmla="*/ 407 h 792"/>
                                <a:gd name="T10" fmla="*/ 729 w 793"/>
                                <a:gd name="T11" fmla="*/ 192 h 792"/>
                                <a:gd name="T12" fmla="*/ 600 w 793"/>
                                <a:gd name="T13" fmla="*/ 64 h 792"/>
                                <a:gd name="T14" fmla="*/ 386 w 793"/>
                                <a:gd name="T15" fmla="*/ 0 h 792"/>
                                <a:gd name="T16" fmla="*/ 386 w 793"/>
                                <a:gd name="T17" fmla="*/ 0 h 792"/>
                                <a:gd name="T18" fmla="*/ 193 w 793"/>
                                <a:gd name="T19" fmla="*/ 64 h 792"/>
                                <a:gd name="T20" fmla="*/ 43 w 793"/>
                                <a:gd name="T21" fmla="*/ 192 h 792"/>
                                <a:gd name="T22" fmla="*/ 0 w 793"/>
                                <a:gd name="T23" fmla="*/ 407 h 792"/>
                                <a:gd name="T24" fmla="*/ 0 w 793"/>
                                <a:gd name="T25" fmla="*/ 407 h 792"/>
                                <a:gd name="T26" fmla="*/ 43 w 793"/>
                                <a:gd name="T27" fmla="*/ 599 h 792"/>
                                <a:gd name="T28" fmla="*/ 193 w 793"/>
                                <a:gd name="T29" fmla="*/ 750 h 792"/>
                                <a:gd name="T30" fmla="*/ 386 w 793"/>
                                <a:gd name="T31" fmla="*/ 792 h 7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93" h="792">
                                  <a:moveTo>
                                    <a:pt x="386" y="792"/>
                                  </a:moveTo>
                                  <a:lnTo>
                                    <a:pt x="600" y="750"/>
                                  </a:lnTo>
                                  <a:lnTo>
                                    <a:pt x="729" y="599"/>
                                  </a:lnTo>
                                  <a:lnTo>
                                    <a:pt x="793" y="407"/>
                                  </a:lnTo>
                                  <a:lnTo>
                                    <a:pt x="793" y="407"/>
                                  </a:lnTo>
                                  <a:lnTo>
                                    <a:pt x="729" y="192"/>
                                  </a:lnTo>
                                  <a:lnTo>
                                    <a:pt x="600" y="64"/>
                                  </a:lnTo>
                                  <a:lnTo>
                                    <a:pt x="386" y="0"/>
                                  </a:lnTo>
                                  <a:lnTo>
                                    <a:pt x="386" y="0"/>
                                  </a:lnTo>
                                  <a:lnTo>
                                    <a:pt x="193" y="64"/>
                                  </a:lnTo>
                                  <a:lnTo>
                                    <a:pt x="43" y="192"/>
                                  </a:lnTo>
                                  <a:lnTo>
                                    <a:pt x="0" y="407"/>
                                  </a:lnTo>
                                  <a:lnTo>
                                    <a:pt x="0" y="407"/>
                                  </a:lnTo>
                                  <a:lnTo>
                                    <a:pt x="43" y="599"/>
                                  </a:lnTo>
                                  <a:lnTo>
                                    <a:pt x="193" y="750"/>
                                  </a:lnTo>
                                  <a:lnTo>
                                    <a:pt x="386" y="792"/>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362"/>
                          <wps:cNvSpPr>
                            <a:spLocks/>
                          </wps:cNvSpPr>
                          <wps:spPr bwMode="auto">
                            <a:xfrm>
                              <a:off x="6331" y="6200"/>
                              <a:ext cx="396" cy="407"/>
                            </a:xfrm>
                            <a:custGeom>
                              <a:avLst/>
                              <a:gdLst>
                                <a:gd name="T0" fmla="*/ 386 w 793"/>
                                <a:gd name="T1" fmla="*/ 815 h 815"/>
                                <a:gd name="T2" fmla="*/ 600 w 793"/>
                                <a:gd name="T3" fmla="*/ 751 h 815"/>
                                <a:gd name="T4" fmla="*/ 729 w 793"/>
                                <a:gd name="T5" fmla="*/ 600 h 815"/>
                                <a:gd name="T6" fmla="*/ 793 w 793"/>
                                <a:gd name="T7" fmla="*/ 407 h 815"/>
                                <a:gd name="T8" fmla="*/ 793 w 793"/>
                                <a:gd name="T9" fmla="*/ 407 h 815"/>
                                <a:gd name="T10" fmla="*/ 729 w 793"/>
                                <a:gd name="T11" fmla="*/ 215 h 815"/>
                                <a:gd name="T12" fmla="*/ 600 w 793"/>
                                <a:gd name="T13" fmla="*/ 65 h 815"/>
                                <a:gd name="T14" fmla="*/ 386 w 793"/>
                                <a:gd name="T15" fmla="*/ 0 h 815"/>
                                <a:gd name="T16" fmla="*/ 386 w 793"/>
                                <a:gd name="T17" fmla="*/ 0 h 815"/>
                                <a:gd name="T18" fmla="*/ 193 w 793"/>
                                <a:gd name="T19" fmla="*/ 65 h 815"/>
                                <a:gd name="T20" fmla="*/ 43 w 793"/>
                                <a:gd name="T21" fmla="*/ 215 h 815"/>
                                <a:gd name="T22" fmla="*/ 0 w 793"/>
                                <a:gd name="T23" fmla="*/ 407 h 815"/>
                                <a:gd name="T24" fmla="*/ 0 w 793"/>
                                <a:gd name="T25" fmla="*/ 407 h 815"/>
                                <a:gd name="T26" fmla="*/ 43 w 793"/>
                                <a:gd name="T27" fmla="*/ 600 h 815"/>
                                <a:gd name="T28" fmla="*/ 193 w 793"/>
                                <a:gd name="T29" fmla="*/ 751 h 815"/>
                                <a:gd name="T30" fmla="*/ 386 w 793"/>
                                <a:gd name="T31" fmla="*/ 815 h 8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93" h="815">
                                  <a:moveTo>
                                    <a:pt x="386" y="815"/>
                                  </a:moveTo>
                                  <a:lnTo>
                                    <a:pt x="600" y="751"/>
                                  </a:lnTo>
                                  <a:lnTo>
                                    <a:pt x="729" y="600"/>
                                  </a:lnTo>
                                  <a:lnTo>
                                    <a:pt x="793" y="407"/>
                                  </a:lnTo>
                                  <a:lnTo>
                                    <a:pt x="793" y="407"/>
                                  </a:lnTo>
                                  <a:lnTo>
                                    <a:pt x="729" y="215"/>
                                  </a:lnTo>
                                  <a:lnTo>
                                    <a:pt x="600" y="65"/>
                                  </a:lnTo>
                                  <a:lnTo>
                                    <a:pt x="386" y="0"/>
                                  </a:lnTo>
                                  <a:lnTo>
                                    <a:pt x="386" y="0"/>
                                  </a:lnTo>
                                  <a:lnTo>
                                    <a:pt x="193" y="65"/>
                                  </a:lnTo>
                                  <a:lnTo>
                                    <a:pt x="43" y="215"/>
                                  </a:lnTo>
                                  <a:lnTo>
                                    <a:pt x="0" y="407"/>
                                  </a:lnTo>
                                  <a:lnTo>
                                    <a:pt x="0" y="407"/>
                                  </a:lnTo>
                                  <a:lnTo>
                                    <a:pt x="43" y="600"/>
                                  </a:lnTo>
                                  <a:lnTo>
                                    <a:pt x="193" y="751"/>
                                  </a:lnTo>
                                  <a:lnTo>
                                    <a:pt x="386" y="815"/>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Rectangle 363"/>
                          <wps:cNvSpPr>
                            <a:spLocks noChangeArrowheads="1"/>
                          </wps:cNvSpPr>
                          <wps:spPr bwMode="auto">
                            <a:xfrm>
                              <a:off x="6866" y="3232"/>
                              <a:ext cx="97" cy="3995"/>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 name="Rectangle 364"/>
                          <wps:cNvSpPr>
                            <a:spLocks noChangeArrowheads="1"/>
                          </wps:cNvSpPr>
                          <wps:spPr bwMode="auto">
                            <a:xfrm>
                              <a:off x="6963" y="3692"/>
                              <a:ext cx="2518" cy="97"/>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Rectangle 365"/>
                          <wps:cNvSpPr>
                            <a:spLocks noChangeArrowheads="1"/>
                          </wps:cNvSpPr>
                          <wps:spPr bwMode="auto">
                            <a:xfrm>
                              <a:off x="6963" y="4089"/>
                              <a:ext cx="2518" cy="107"/>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Rectangle 366"/>
                          <wps:cNvSpPr>
                            <a:spLocks noChangeArrowheads="1"/>
                          </wps:cNvSpPr>
                          <wps:spPr bwMode="auto">
                            <a:xfrm>
                              <a:off x="6963" y="4496"/>
                              <a:ext cx="2518" cy="9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 name="Rectangle 367"/>
                          <wps:cNvSpPr>
                            <a:spLocks noChangeArrowheads="1"/>
                          </wps:cNvSpPr>
                          <wps:spPr bwMode="auto">
                            <a:xfrm>
                              <a:off x="6963" y="4892"/>
                              <a:ext cx="2518" cy="107"/>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 name="Rectangle 368"/>
                          <wps:cNvSpPr>
                            <a:spLocks noChangeArrowheads="1"/>
                          </wps:cNvSpPr>
                          <wps:spPr bwMode="auto">
                            <a:xfrm>
                              <a:off x="6963" y="5299"/>
                              <a:ext cx="2518" cy="9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 name="Rectangle 369"/>
                          <wps:cNvSpPr>
                            <a:spLocks noChangeArrowheads="1"/>
                          </wps:cNvSpPr>
                          <wps:spPr bwMode="auto">
                            <a:xfrm>
                              <a:off x="6963" y="5695"/>
                              <a:ext cx="2518" cy="108"/>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 name="Rectangle 370"/>
                          <wps:cNvSpPr>
                            <a:spLocks noChangeArrowheads="1"/>
                          </wps:cNvSpPr>
                          <wps:spPr bwMode="auto">
                            <a:xfrm>
                              <a:off x="6963" y="6103"/>
                              <a:ext cx="2518" cy="97"/>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 name="Rectangle 371"/>
                          <wps:cNvSpPr>
                            <a:spLocks noChangeArrowheads="1"/>
                          </wps:cNvSpPr>
                          <wps:spPr bwMode="auto">
                            <a:xfrm>
                              <a:off x="6963" y="6499"/>
                              <a:ext cx="2518" cy="108"/>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Rectangle 372"/>
                          <wps:cNvSpPr>
                            <a:spLocks noChangeArrowheads="1"/>
                          </wps:cNvSpPr>
                          <wps:spPr bwMode="auto">
                            <a:xfrm>
                              <a:off x="6963" y="6906"/>
                              <a:ext cx="2518" cy="96"/>
                            </a:xfrm>
                            <a:prstGeom prst="rect">
                              <a:avLst/>
                            </a:prstGeom>
                            <a:solidFill>
                              <a:srgbClr val="E3E3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 name="Line 373"/>
                          <wps:cNvCnPr/>
                          <wps:spPr bwMode="auto">
                            <a:xfrm>
                              <a:off x="7080" y="1880"/>
                              <a:ext cx="0" cy="2665"/>
                            </a:xfrm>
                            <a:prstGeom prst="line">
                              <a:avLst/>
                            </a:prstGeom>
                            <a:noFill/>
                            <a:ln w="19050">
                              <a:solidFill>
                                <a:srgbClr val="243F60"/>
                              </a:solidFill>
                              <a:round/>
                              <a:headEnd/>
                              <a:tailEnd/>
                            </a:ln>
                            <a:extLst>
                              <a:ext uri="{909E8E84-426E-40DD-AFC4-6F175D3DCCD1}">
                                <a14:hiddenFill xmlns:a14="http://schemas.microsoft.com/office/drawing/2010/main">
                                  <a:noFill/>
                                </a14:hiddenFill>
                              </a:ext>
                            </a:extLst>
                          </wps:spPr>
                          <wps:bodyPr/>
                        </wps:wsp>
                        <wps:wsp>
                          <wps:cNvPr id="81" name="Line 375"/>
                          <wps:cNvCnPr/>
                          <wps:spPr bwMode="auto">
                            <a:xfrm flipH="1">
                              <a:off x="1536" y="5288"/>
                              <a:ext cx="0" cy="6686"/>
                            </a:xfrm>
                            <a:prstGeom prst="line">
                              <a:avLst/>
                            </a:prstGeom>
                            <a:noFill/>
                            <a:ln w="19050">
                              <a:solidFill>
                                <a:srgbClr val="243F60"/>
                              </a:solidFill>
                              <a:round/>
                              <a:headEnd/>
                              <a:tailEnd/>
                            </a:ln>
                            <a:extLst>
                              <a:ext uri="{909E8E84-426E-40DD-AFC4-6F175D3DCCD1}">
                                <a14:hiddenFill xmlns:a14="http://schemas.microsoft.com/office/drawing/2010/main">
                                  <a:noFill/>
                                </a14:hiddenFill>
                              </a:ext>
                            </a:extLst>
                          </wps:spPr>
                          <wps:bodyPr/>
                        </wps:wsp>
                        <wps:wsp>
                          <wps:cNvPr id="82" name="Rectangle 376"/>
                          <wps:cNvSpPr>
                            <a:spLocks noChangeArrowheads="1"/>
                          </wps:cNvSpPr>
                          <wps:spPr bwMode="auto">
                            <a:xfrm>
                              <a:off x="1536" y="11974"/>
                              <a:ext cx="8460" cy="1941"/>
                            </a:xfrm>
                            <a:prstGeom prst="rect">
                              <a:avLst/>
                            </a:prstGeom>
                            <a:noFill/>
                            <a:ln w="19050">
                              <a:solidFill>
                                <a:srgbClr val="243F60"/>
                              </a:solidFill>
                              <a:miter lim="800000"/>
                              <a:headEnd/>
                              <a:tailEnd/>
                            </a:ln>
                            <a:extLst>
                              <a:ext uri="{909E8E84-426E-40DD-AFC4-6F175D3DCCD1}">
                                <a14:hiddenFill xmlns:a14="http://schemas.microsoft.com/office/drawing/2010/main">
                                  <a:solidFill>
                                    <a:srgbClr val="FFFFFF"/>
                                  </a:solidFill>
                                </a14:hiddenFill>
                              </a:ext>
                            </a:extLst>
                          </wps:spPr>
                          <wps:txbx>
                            <w:txbxContent>
                              <w:p>
                                <w:pPr>
                                  <w:pStyle w:val="CorpoAltF0"/>
                                  <w:jc w:val="center"/>
                                  <w:rPr>
                                    <w:rFonts w:ascii="Arial Black" w:hAnsi="Arial Black"/>
                                    <w:b/>
                                    <w:color w:val="0F243E" w:themeColor="text2" w:themeShade="80"/>
                                    <w:sz w:val="52"/>
                                    <w:szCs w:val="52"/>
                                    <w:lang w:val="en-US"/>
                                  </w:rPr>
                                </w:pPr>
                                <w:proofErr w:type="spellStart"/>
                                <w:r>
                                  <w:rPr>
                                    <w:rFonts w:ascii="Arial Black" w:hAnsi="Arial Black"/>
                                    <w:b/>
                                    <w:color w:val="0F243E" w:themeColor="text2" w:themeShade="80"/>
                                    <w:sz w:val="52"/>
                                    <w:szCs w:val="52"/>
                                    <w:lang w:val="en-US"/>
                                  </w:rPr>
                                  <w:t>Autoliquidazione</w:t>
                                </w:r>
                                <w:proofErr w:type="spellEnd"/>
                                <w:r>
                                  <w:rPr>
                                    <w:rFonts w:ascii="Arial Black" w:hAnsi="Arial Black"/>
                                    <w:b/>
                                    <w:color w:val="0F243E" w:themeColor="text2" w:themeShade="80"/>
                                    <w:sz w:val="52"/>
                                    <w:szCs w:val="52"/>
                                    <w:lang w:val="en-US"/>
                                  </w:rPr>
                                  <w:t xml:space="preserve"> INAIL</w:t>
                                </w:r>
                              </w:p>
                              <w:p>
                                <w:pPr>
                                  <w:pStyle w:val="CorpoAltF0"/>
                                  <w:jc w:val="center"/>
                                  <w:rPr>
                                    <w:rFonts w:ascii="Arial Black" w:hAnsi="Arial Black"/>
                                    <w:b/>
                                    <w:color w:val="0F243E" w:themeColor="text2" w:themeShade="80"/>
                                    <w:sz w:val="52"/>
                                    <w:szCs w:val="52"/>
                                    <w:lang w:val="en-US"/>
                                  </w:rPr>
                                </w:pPr>
                                <w:r>
                                  <w:rPr>
                                    <w:rFonts w:ascii="Arial Black" w:hAnsi="Arial Black"/>
                                    <w:b/>
                                    <w:color w:val="0F243E" w:themeColor="text2" w:themeShade="80"/>
                                    <w:sz w:val="52"/>
                                    <w:szCs w:val="52"/>
                                    <w:lang w:val="en-US"/>
                                  </w:rPr>
                                  <w:t>2019</w:t>
                                </w:r>
                              </w:p>
                            </w:txbxContent>
                          </wps:txbx>
                          <wps:bodyPr rot="0" vert="horz" wrap="square" lIns="0" tIns="0" rIns="0" bIns="0" anchor="t" anchorCtr="0" upright="1">
                            <a:noAutofit/>
                          </wps:bodyPr>
                        </wps:wsp>
                        <wps:wsp>
                          <wps:cNvPr id="83" name="Rectangle 377"/>
                          <wps:cNvSpPr>
                            <a:spLocks noChangeArrowheads="1"/>
                          </wps:cNvSpPr>
                          <wps:spPr bwMode="auto">
                            <a:xfrm>
                              <a:off x="1536" y="4545"/>
                              <a:ext cx="5547" cy="779"/>
                            </a:xfrm>
                            <a:prstGeom prst="rect">
                              <a:avLst/>
                            </a:prstGeom>
                            <a:noFill/>
                            <a:ln w="19050">
                              <a:solidFill>
                                <a:srgbClr val="243F60"/>
                              </a:solidFill>
                              <a:miter lim="800000"/>
                              <a:headEnd/>
                              <a:tailEnd/>
                            </a:ln>
                            <a:extLst>
                              <a:ext uri="{909E8E84-426E-40DD-AFC4-6F175D3DCCD1}">
                                <a14:hiddenFill xmlns:a14="http://schemas.microsoft.com/office/drawing/2010/main">
                                  <a:solidFill>
                                    <a:srgbClr val="FFFFFF"/>
                                  </a:solidFill>
                                </a14:hiddenFill>
                              </a:ext>
                            </a:extLst>
                          </wps:spPr>
                          <wps:txbx>
                            <w:txbxContent>
                              <w:p>
                                <w:pPr>
                                  <w:pStyle w:val="CorpoAltF0"/>
                                  <w:spacing w:before="60"/>
                                  <w:jc w:val="center"/>
                                </w:pPr>
                                <w:r>
                                  <w:rPr>
                                    <w:rFonts w:ascii="Arial Black" w:hAnsi="Arial Black"/>
                                    <w:b/>
                                    <w:color w:val="0F243E" w:themeColor="text2" w:themeShade="80"/>
                                    <w:sz w:val="40"/>
                                    <w:szCs w:val="40"/>
                                    <w:lang w:val="en-US"/>
                                  </w:rPr>
                                  <w:t>PAGHE</w:t>
                                </w:r>
                              </w:p>
                            </w:txbxContent>
                          </wps:txbx>
                          <wps:bodyPr rot="0" vert="horz" wrap="square" lIns="0" tIns="0" rIns="0" bIns="0" anchor="t" anchorCtr="0" upright="1">
                            <a:noAutofit/>
                          </wps:bodyPr>
                        </wps:wsp>
                        <wps:wsp>
                          <wps:cNvPr id="84" name="Line 374"/>
                          <wps:cNvCnPr/>
                          <wps:spPr bwMode="auto">
                            <a:xfrm flipH="1" flipV="1">
                              <a:off x="2438" y="1887"/>
                              <a:ext cx="4660" cy="0"/>
                            </a:xfrm>
                            <a:prstGeom prst="line">
                              <a:avLst/>
                            </a:prstGeom>
                            <a:noFill/>
                            <a:ln w="19050">
                              <a:solidFill>
                                <a:srgbClr val="243F60"/>
                              </a:solidFill>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381" o:spid="_x0000_s1026" style="width:442.65pt;height:647.05pt;mso-position-horizontal-relative:char;mso-position-vertical-relative:line" coordorigin="1143,974" coordsize="8853,129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7" o:spid="_x0000_s1027" type="#_x0000_t75" alt="Logo_1" style="position:absolute;left:1235;top:974;width:4676;height:10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">
                  <v:imagedata r:id="rId9" o:title="Logo_1"/>
                </v:shape>
                <v:group id="Group 380" o:spid="_x0000_s1028" style="position:absolute;left:1143;top:1880;width:8853;height:12035" coordorigin="1143,1880" coordsize="8853,12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rect id="Rectangle 313" o:spid="_x0000_s1029" style="position:absolute;left:1722;top:7688;width:4662;height:4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" fillcolor="#e3e3e3" stroked="f"/>
                  <v:rect id="Rectangle 314" o:spid="_x0000_s1030" style="position:absolute;left:2033;top:8105;width:4008;height:3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" stroked="f"/>
                  <v:shape id="Freeform 315" o:spid="_x0000_s1031" style="position:absolute;left:2504;top:10868;width:397;height:397;visibility:visible;mso-wrap-style:square;v-text-anchor:top" coordsize="794,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" path="m794,386l751,193,600,43,407,r,l193,43,65,193,,386r,l65,600,193,728r214,65l407,793,600,728,751,600,794,386xe" fillcolor="#e3e3e3" stroked="f">
                    <v:path arrowok="t" o:connecttype="custom" o:connectlocs="397,193;376,97;300,22;204,0;204,0;97,22;33,97;0,193;0,193;33,300;97,364;204,397;204,397;300,364;376,300;397,193" o:connectangles="0,0,0,0,0,0,0,0,0,0,0,0,0,0,0,0"/>
                  </v:shape>
                  <v:shape id="Freeform 316" o:spid="_x0000_s1032" style="position:absolute;left:3769;top:10868;width:397;height:397;visibility:visible;mso-wrap-style:square;v-text-anchor:top" coordsize="79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" path="m793,386l750,193,599,43,407,r,l214,43,64,193,,386r,l64,600,214,728r193,65l407,793,599,728,750,600,793,386xe" fillcolor="#e3e3e3" stroked="f">
                    <v:path arrowok="t" o:connecttype="custom" o:connectlocs="397,193;375,97;300,22;204,0;204,0;107,22;32,97;0,193;0,193;32,300;107,364;204,397;204,397;300,364;375,300;397,193" o:connectangles="0,0,0,0,0,0,0,0,0,0,0,0,0,0,0,0"/>
                  </v:shape>
                  <v:shape id="Freeform 317" o:spid="_x0000_s1033" style="position:absolute;left:5023;top:10868;width:397;height:397;visibility:visible;mso-wrap-style:square;v-text-anchor:top" coordsize="79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" path="m793,386l729,193,600,43,385,r,l192,43,43,193,,386r,l43,600,192,728r193,65l385,793,600,728,729,600,793,386xe" fillcolor="#e3e3e3" stroked="f">
                    <v:path arrowok="t" o:connecttype="custom" o:connectlocs="397,193;365,97;300,22;193,0;193,0;96,22;22,97;0,193;0,193;22,300;96,364;193,397;193,397;300,364;365,300;397,193" o:connectangles="0,0,0,0,0,0,0,0,0,0,0,0,0,0,0,0"/>
                  </v:shape>
                  <v:rect id="Rectangle 318" o:spid="_x0000_s1034" style="position:absolute;left:2043;top:10622;width:3998;height: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" fillcolor="#e3e3e3" stroked="f"/>
                  <v:rect id="Rectangle 319" o:spid="_x0000_s1035" style="position:absolute;left:2504;top:8116;width:97;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" fillcolor="#e3e3e3" stroked="f"/>
                  <v:rect id="Rectangle 320" o:spid="_x0000_s1036" style="position:absolute;left:2912;top:8116;width:96;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" fillcolor="#e3e3e3" stroked="f"/>
                  <v:rect id="Rectangle 321" o:spid="_x0000_s1037" style="position:absolute;left:3308;top:8116;width:96;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" fillcolor="#e3e3e3" stroked="f"/>
                  <v:rect id="Rectangle 322" o:spid="_x0000_s1038" style="position:absolute;left:3716;top:8116;width:96;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" fillcolor="#e3e3e3" stroked="f"/>
                  <v:rect id="Rectangle 323" o:spid="_x0000_s1039" style="position:absolute;left:4112;top:8116;width:96;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" fillcolor="#e3e3e3" stroked="f"/>
                  <v:rect id="Rectangle 324" o:spid="_x0000_s1040" style="position:absolute;left:4519;top:8116;width:97;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" fillcolor="#e3e3e3" stroked="f"/>
                  <v:rect id="Rectangle 325" o:spid="_x0000_s1041" style="position:absolute;left:4916;top:8116;width:96;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" fillcolor="#e3e3e3" stroked="f"/>
                  <v:rect id="Rectangle 326" o:spid="_x0000_s1042" style="position:absolute;left:5323;top:8116;width:97;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" fillcolor="#e3e3e3" stroked="f"/>
                  <v:rect id="Rectangle 327" o:spid="_x0000_s1043" style="position:absolute;left:5719;top:8116;width:97;height:25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" fillcolor="#e3e3e3" stroked="f"/>
                  <v:shape id="Freeform 328" o:spid="_x0000_s1044" style="position:absolute;left:1143;top:4496;width:6141;height:6126;visibility:visible;mso-wrap-style:square;v-text-anchor:top" coordsize="12282,12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" path="m12282,6576l5680,,,5676r6580,6576l12282,6576xe" fillcolor="#e3e3e3" stroked="f">
                    <v:path arrowok="t" o:connecttype="custom" o:connectlocs="6141,3288;2840,0;0,2838;3290,6126;6141,3288" o:connectangles="0,0,0,0,0"/>
                  </v:shape>
                  <v:shape id="Freeform 329" o:spid="_x0000_s1045" style="position:absolute;left:1636;top:5010;width:5112;height:5109;visibility:visible;mso-wrap-style:square;v-text-anchor:top" coordsize="10224,10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" path="m10224,5656l4544,,,4542r5680,5677l10224,5656xe" stroked="f">
                    <v:path arrowok="t" o:connecttype="custom" o:connectlocs="5112,2828;2272,0;0,2271;2840,5109;5112,2828" o:connectangles="0,0,0,0,0"/>
                  </v:shape>
                  <v:shape id="Freeform 330" o:spid="_x0000_s1046" style="position:absolute;left:2097;top:7377;width:386;height:385;visibility:visible;mso-wrap-style:square;v-text-anchor:top" coordsize="771,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" path="m665,664l771,493r,-194l665,107r,l493,,278,,107,107r,l,299,,493,107,664r,l278,771r215,l665,664xe" fillcolor="#e3e3e3" stroked="f">
                    <v:path arrowok="t" o:connecttype="custom" o:connectlocs="333,332;386,246;386,149;333,53;333,53;247,0;139,0;54,53;54,53;0,149;0,246;54,332;54,332;139,385;247,385;333,332" o:connectangles="0,0,0,0,0,0,0,0,0,0,0,0,0,0,0,0"/>
                  </v:shape>
                  <v:shape id="Freeform 331" o:spid="_x0000_s1047" style="position:absolute;left:2997;top:8277;width:386;height:385;visibility:visible;mso-wrap-style:square;v-text-anchor:top" coordsize="771,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" path="m664,664l771,472r,-193l664,107r,l471,,279,,106,107r,l,279,,472,106,664r,l279,772r192,l664,664xe" fillcolor="#e3e3e3" stroked="f">
                    <v:path arrowok="t" o:connecttype="custom" o:connectlocs="332,331;386,235;386,139;332,53;332,53;236,0;140,0;53,53;53,53;0,139;0,235;53,331;53,331;140,385;236,385;332,331" o:connectangles="0,0,0,0,0,0,0,0,0,0,0,0,0,0,0,0"/>
                  </v:shape>
                  <v:shape id="Freeform 332" o:spid="_x0000_s1048" style="position:absolute;left:3876;top:9155;width:386;height:386;visibility:visible;mso-wrap-style:square;v-text-anchor:top" coordsize="772,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" path="m664,664l772,492r,-214l664,107r,l493,,279,,108,107r,l,278,,492,108,664r,l279,771r214,l664,664xe" fillcolor="#e3e3e3" stroked="f">
                    <v:path arrowok="t" o:connecttype="custom" o:connectlocs="332,332;386,246;386,139;332,54;332,54;247,0;140,0;54,54;54,54;0,139;0,246;54,332;54,332;140,386;247,386;332,332" o:connectangles="0,0,0,0,0,0,0,0,0,0,0,0,0,0,0,0"/>
                  </v:shape>
                  <v:shape id="Freeform 333" o:spid="_x0000_s1049" style="position:absolute;left:2065;top:6788;width:2894;height:2903;visibility:visible;mso-wrap-style:square;v-text-anchor:top" coordsize="5787,58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" path="m5787,5655l149,,,149,5658,5805r129,-150xe" fillcolor="#e3e3e3" stroked="f">
                    <v:path arrowok="t" o:connecttype="custom" o:connectlocs="2894,2828;75,0;0,75;2829,2903;2894,2828" o:connectangles="0,0,0,0,0"/>
                  </v:shape>
                  <v:shape id="Freeform 334" o:spid="_x0000_s1050" style="position:absolute;left:2461;top:5342;width:1844;height:1842;visibility:visible;mso-wrap-style:square;v-text-anchor:top" coordsize="3687,3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" path="m3687,150l3559,,,3556r151,128l3687,150xe" fillcolor="#e3e3e3" stroked="f">
                    <v:path arrowok="t" o:connecttype="custom" o:connectlocs="1844,75;1780,0;0,1778;76,1842;1844,75" o:connectangles="0,0,0,0,0"/>
                  </v:shape>
                  <v:shape id="Freeform 335" o:spid="_x0000_s1051" style="position:absolute;left:2751;top:5631;width:1843;height:1842;visibility:visible;mso-wrap-style:square;v-text-anchor:top" coordsize="3686,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" path="m3686,128l3537,,,3535r128,150l3686,128xe" fillcolor="#e3e3e3" stroked="f">
                    <v:path arrowok="t" o:connecttype="custom" o:connectlocs="1843,64;1769,0;0,1767;64,1842;1843,64" o:connectangles="0,0,0,0,0"/>
                  </v:shape>
                  <v:shape id="Freeform 336" o:spid="_x0000_s1052" style="position:absolute;left:3030;top:5910;width:1843;height:1842;visibility:visible;mso-wrap-style:square;v-text-anchor:top" coordsize="3686,3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" path="m3686,149l3558,,,3555r150,129l3686,149xe" fillcolor="#e3e3e3" stroked="f">
                    <v:path arrowok="t" o:connecttype="custom" o:connectlocs="1843,75;1779,0;0,1778;75,1842;1843,75" o:connectangles="0,0,0,0,0"/>
                  </v:shape>
                  <v:shape id="Freeform 337" o:spid="_x0000_s1053" style="position:absolute;left:3319;top:6200;width:1843;height:1842;visibility:visible;mso-wrap-style:square;v-text-anchor:top" coordsize="3686,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" path="m3686,130l3537,,,3535r128,150l3686,130xe" fillcolor="#e3e3e3" stroked="f">
                    <v:path arrowok="t" o:connecttype="custom" o:connectlocs="1843,65;1769,0;0,1767;64,1842;1843,65" o:connectangles="0,0,0,0,0"/>
                  </v:shape>
                  <v:shape id="Freeform 338" o:spid="_x0000_s1054" style="position:absolute;left:3598;top:6478;width:1843;height:1853;visibility:visible;mso-wrap-style:square;v-text-anchor:top" coordsize="3686,3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" path="m3686,149l3558,,,3555r150,150l3686,149xe" fillcolor="#e3e3e3" stroked="f">
                    <v:path arrowok="t" o:connecttype="custom" o:connectlocs="1843,75;1779,0;0,1778;75,1853;1843,75" o:connectangles="0,0,0,0,0"/>
                  </v:shape>
                  <v:shape id="Freeform 339" o:spid="_x0000_s1055" style="position:absolute;left:3887;top:6766;width:1843;height:1843;visibility:visible;mso-wrap-style:square;v-text-anchor:top" coordsize="3686,3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" path="m3686,129l3537,,,3535r128,149l3686,129xe" fillcolor="#e3e3e3" stroked="f">
                    <v:path arrowok="t" o:connecttype="custom" o:connectlocs="1843,65;1769,0;0,1768;64,1843;1843,65" o:connectangles="0,0,0,0,0"/>
                  </v:shape>
                  <v:shape id="Freeform 340" o:spid="_x0000_s1056" style="position:absolute;left:4166;top:7045;width:1853;height:1853;visibility:visible;mso-wrap-style:square;v-text-anchor:top" coordsize="3708,3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" path="m3708,150l3558,,,3556r150,150l3708,150xe" fillcolor="#e3e3e3" stroked="f">
                    <v:path arrowok="t" o:connecttype="custom" o:connectlocs="1853,75;1778,0;0,1778;75,1853;1853,75" o:connectangles="0,0,0,0,0"/>
                  </v:shape>
                  <v:shape id="Freeform 341" o:spid="_x0000_s1057" style="position:absolute;left:4455;top:7334;width:1843;height:1842;visibility:visible;mso-wrap-style:square;v-text-anchor:top" coordsize="3686,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" path="m3686,129l3537,,,3535r129,150l3686,129xe" fillcolor="#e3e3e3" stroked="f">
                    <v:path arrowok="t" o:connecttype="custom" o:connectlocs="1843,64;1769,0;0,1767;65,1842;1843,64" o:connectangles="0,0,0,0,0"/>
                  </v:shape>
                  <v:shape id="Freeform 342" o:spid="_x0000_s1058" style="position:absolute;left:4734;top:7613;width:1853;height:1853;visibility:visible;mso-wrap-style:square;v-text-anchor:top" coordsize="3708,3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" path="m3708,150l3558,,,3556r150,151l3708,150xe" fillcolor="#e3e3e3" stroked="f">
                    <v:path arrowok="t" o:connecttype="custom" o:connectlocs="1853,75;1778,0;0,1778;75,1853;1853,75" o:connectangles="0,0,0,0,0"/>
                  </v:shape>
                  <v:shape id="Freeform 343" o:spid="_x0000_s1059" style="position:absolute;left:2290;top:2889;width:5498;height:5837;visibility:visible;mso-wrap-style:square;v-text-anchor:top" coordsize="10996,11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" path="m10996,8611l7438,,,3064r3579,8611l10996,8611xe" fillcolor="#e3e3e3" stroked="f">
                    <v:path arrowok="t" o:connecttype="custom" o:connectlocs="5498,4305;3719,0;0,1532;1790,5837;5498,4305" o:connectangles="0,0,0,0,0"/>
                  </v:shape>
                  <v:shape id="Freeform 344" o:spid="_x0000_s1060" style="position:absolute;left:2772;top:3339;width:4501;height:4927;visibility:visible;mso-wrap-style:square;v-text-anchor:top" coordsize="9001,9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" path="m9001,7391l5937,,,2463,3064,9854,9001,7391xe" stroked="f">
                    <v:path arrowok="t" o:connecttype="custom" o:connectlocs="4501,3696;2969,0;0,1232;1532,4927;4501,3696" o:connectangles="0,0,0,0,0"/>
                  </v:shape>
                  <v:shape id="Freeform 345" o:spid="_x0000_s1061" style="position:absolute;left:3061;top:4892;width:397;height:396;visibility:visible;mso-wrap-style:square;v-text-anchor:top" coordsize="793,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" path="m558,749l664,685r86,-86l793,491r,-128l772,234r,l707,128,622,42,493,,386,,257,20r,l151,85,64,192,21,299,,428,43,535r,l108,642r85,85l322,770r106,22l558,749xe" fillcolor="#e3e3e3" stroked="f">
                    <v:path arrowok="t" o:connecttype="custom" o:connectlocs="279,375;332,343;375,300;397,246;397,182;386,117;386,117;354,64;311,21;247,0;193,0;129,10;129,10;76,43;32,96;11,150;0,214;22,268;22,268;54,321;97,364;161,385;214,396;279,375" o:connectangles="0,0,0,0,0,0,0,0,0,0,0,0,0,0,0,0,0,0,0,0,0,0,0,0"/>
                  </v:shape>
                  <v:shape id="Freeform 346" o:spid="_x0000_s1062" style="position:absolute;left:3555;top:6059;width:396;height:397;visibility:visible;mso-wrap-style:square;v-text-anchor:top" coordsize="79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" path="m536,750l643,685r86,-85l772,493,793,365,751,235r,l686,129,600,43,493,,364,,236,21r,l128,86,43,192,,300,,428,22,536r,l86,642r107,86l301,771r106,22l536,750xe" fillcolor="#e3e3e3" stroked="f">
                    <v:path arrowok="t" o:connecttype="custom" o:connectlocs="268,375;321,343;364,300;386,247;396,183;375,118;375,118;343,65;300,22;246,0;182,0;118,11;118,11;64,43;21,96;0,150;0,214;11,268;11,268;43,321;96,364;150,386;203,397;268,375" o:connectangles="0,0,0,0,0,0,0,0,0,0,0,0,0,0,0,0,0,0,0,0,0,0,0,0"/>
                  </v:shape>
                  <v:shape id="Freeform 347" o:spid="_x0000_s1063" style="position:absolute;left:4026;top:7205;width:396;height:397;visibility:visible;mso-wrap-style:square;v-text-anchor:top" coordsize="79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" path="m557,771l665,707,751,600,793,493r,-128l771,257r,l708,150,600,64,494,21,364,,258,43r,l129,107,65,192,22,300,,428,43,557r,l107,664r86,86l301,793r128,l557,771xe" fillcolor="#e3e3e3" stroked="f">
                    <v:path arrowok="t" o:connecttype="custom" o:connectlocs="278,386;332,354;375,300;396,247;396,183;385,129;385,129;354,75;300,32;247,11;182,0;129,22;129,22;64,54;32,96;11,150;0,214;21,279;21,279;53,332;96,375;150,397;214,397;278,386" o:connectangles="0,0,0,0,0,0,0,0,0,0,0,0,0,0,0,0,0,0,0,0,0,0,0,0"/>
                  </v:shape>
                  <v:shape id="Freeform 348" o:spid="_x0000_s1064" style="position:absolute;left:3330;top:4303;width:1618;height:3738;visibility:visible;mso-wrap-style:square;v-text-anchor:top" coordsize="3237,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" path="m3237,7390l171,,,85,3066,7476r171,-86xe" fillcolor="#e3e3e3" stroked="f">
                    <v:path arrowok="t" o:connecttype="custom" o:connectlocs="1618,3695;85,0;0,43;1533,3738;1618,3695" o:connectangles="0,0,0,0,0"/>
                  </v:shape>
                  <v:shape id="Freeform 349" o:spid="_x0000_s1065" style="position:absolute;left:3598;top:3767;width:2357;height:1061;visibility:visible;mso-wrap-style:square;v-text-anchor:top" coordsize="4716,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" path="m4716,192l4629,,,1928r64,193l4716,192xe" fillcolor="#e3e3e3" stroked="f">
                    <v:path arrowok="t" o:connecttype="custom" o:connectlocs="2357,96;2314,0;0,964;32,1061;2357,96" o:connectangles="0,0,0,0,0"/>
                  </v:shape>
                  <v:shape id="Freeform 350" o:spid="_x0000_s1066" style="position:absolute;left:3747;top:4142;width:2358;height:1050;visibility:visible;mso-wrap-style:square;v-text-anchor:top" coordsize="4716,2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" path="m4716,192l4651,,,1928r86,171l4716,192xe" fillcolor="#e3e3e3" stroked="f">
                    <v:path arrowok="t" o:connecttype="custom" o:connectlocs="2358,96;2326,0;0,964;43,1050;2358,96" o:connectangles="0,0,0,0,0"/>
                  </v:shape>
                  <v:shape id="Freeform 351" o:spid="_x0000_s1067" style="position:absolute;left:3908;top:4517;width:2358;height:1050;visibility:visible;mso-wrap-style:square;v-text-anchor:top" coordsize="4715,2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" path="m4715,171l4630,,,1905r64,194l4715,171xe" fillcolor="#e3e3e3" stroked="f">
                    <v:path arrowok="t" o:connecttype="custom" o:connectlocs="2358,86;2315,0;0,953;32,1050;2358,86" o:connectangles="0,0,0,0,0"/>
                  </v:shape>
                  <v:shape id="Freeform 352" o:spid="_x0000_s1068" style="position:absolute;left:4059;top:4882;width:2357;height:1060;visibility:visible;mso-wrap-style:square;v-text-anchor:top" coordsize="4715,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" path="m4715,193l4629,,,1927r85,193l4715,193xe" fillcolor="#e3e3e3" stroked="f">
                    <v:path arrowok="t" o:connecttype="custom" o:connectlocs="2357,97;2314,0;0,964;42,1060;2357,97" o:connectangles="0,0,0,0,0"/>
                  </v:shape>
                  <v:shape id="Freeform 353" o:spid="_x0000_s1069" style="position:absolute;left:4208;top:5256;width:2358;height:1050;visibility:visible;mso-wrap-style:square;v-text-anchor:top" coordsize="4717,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" path="m4717,193l4652,,,1929r87,171l4717,193xe" fillcolor="#e3e3e3" stroked="f">
                    <v:path arrowok="t" o:connecttype="custom" o:connectlocs="2358,97;2326,0;0,965;43,1050;2358,97" o:connectangles="0,0,0,0,0"/>
                  </v:shape>
                  <v:shape id="Freeform 354" o:spid="_x0000_s1070" style="position:absolute;left:4369;top:5631;width:2358;height:1050;visibility:visible;mso-wrap-style:square;v-text-anchor:top" coordsize="4716,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" path="m4716,171l4630,,,1907r65,193l4716,171xe" fillcolor="#e3e3e3" stroked="f">
                    <v:path arrowok="t" o:connecttype="custom" o:connectlocs="2358,86;2315,0;0,954;33,1050;2358,86" o:connectangles="0,0,0,0,0"/>
                  </v:shape>
                  <v:shape id="Freeform 355" o:spid="_x0000_s1071" style="position:absolute;left:4519;top:5995;width:2358;height:1061;visibility:visible;mso-wrap-style:square;v-text-anchor:top" coordsize="4715,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" path="m4715,192l4650,,,1927r85,194l4715,192xe" fillcolor="#e3e3e3" stroked="f">
                    <v:path arrowok="t" o:connecttype="custom" o:connectlocs="2358,96;2325,0;0,964;43,1061;2358,96" o:connectangles="0,0,0,0,0"/>
                  </v:shape>
                  <v:shape id="Freeform 356" o:spid="_x0000_s1072" style="position:absolute;left:4669;top:6371;width:2358;height:1050;visibility:visible;mso-wrap-style:square;v-text-anchor:top" coordsize="4716,2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" path="m4716,192l4652,,,1927r86,171l4716,192xe" fillcolor="#e3e3e3" stroked="f">
                    <v:path arrowok="t" o:connecttype="custom" o:connectlocs="2358,96;2326,0;0,964;43,1050;2358,96" o:connectangles="0,0,0,0,0"/>
                  </v:shape>
                  <v:shape id="Freeform 357" o:spid="_x0000_s1073" style="position:absolute;left:4830;top:6746;width:2358;height:1050;visibility:visible;mso-wrap-style:square;v-text-anchor:top" coordsize="4715,2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" path="m4715,172l4630,,,1907r65,192l4715,172xe" fillcolor="#e3e3e3" stroked="f">
                    <v:path arrowok="t" o:connecttype="custom" o:connectlocs="2358,86;2315,0;0,954;33,1050;2358,86" o:connectangles="0,0,0,0,0"/>
                  </v:shape>
                  <v:rect id="Rectangle 358" o:spid="_x0000_s1074" style="position:absolute;left:5880;top:2914;width:4019;height:4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" fillcolor="#e3e3e3" stroked="f"/>
                  <v:rect id="Rectangle 359" o:spid="_x0000_s1075" style="position:absolute;left:6266;top:3221;width:3215;height:40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" stroked="f"/>
                  <v:shape id="Freeform 360" o:spid="_x0000_s1076" style="position:absolute;left:6331;top:3692;width:396;height:397;visibility:visible;mso-wrap-style:square;v-text-anchor:top" coordsize="793,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" path="m386,793l600,750,729,599,793,407r,l729,193,600,65,386,r,l193,65,43,193,,407r,l43,599,193,750r193,43xe" fillcolor="#e3e3e3" stroked="f">
                    <v:path arrowok="t" o:connecttype="custom" o:connectlocs="193,397;300,375;364,300;396,204;396,204;364,97;300,33;193,0;193,0;96,33;21,97;0,204;0,204;21,300;96,375;193,397" o:connectangles="0,0,0,0,0,0,0,0,0,0,0,0,0,0,0,0"/>
                  </v:shape>
                  <v:shape id="Freeform 361" o:spid="_x0000_s1077" style="position:absolute;left:6331;top:4956;width:396;height:396;visibility:visible;mso-wrap-style:square;v-text-anchor:top" coordsize="793,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" path="m386,792l600,750,729,599,793,407r,l729,192,600,64,386,r,l193,64,43,192,,407r,l43,599,193,750r193,42xe" fillcolor="#e3e3e3" stroked="f">
                    <v:path arrowok="t" o:connecttype="custom" o:connectlocs="193,396;300,375;364,300;396,204;396,204;364,96;300,32;193,0;193,0;96,32;21,96;0,204;0,204;21,300;96,375;193,396" o:connectangles="0,0,0,0,0,0,0,0,0,0,0,0,0,0,0,0"/>
                  </v:shape>
                  <v:shape id="Freeform 362" o:spid="_x0000_s1078" style="position:absolute;left:6331;top:6200;width:396;height:407;visibility:visible;mso-wrap-style:square;v-text-anchor:top" coordsize="793,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" path="m386,815l600,751,729,600,793,407r,l729,215,600,65,386,r,l193,65,43,215,,407r,l43,600,193,751r193,64xe" fillcolor="#e3e3e3" stroked="f">
                    <v:path arrowok="t" o:connecttype="custom" o:connectlocs="193,407;300,375;364,300;396,203;396,203;364,107;300,32;193,0;193,0;96,32;21,107;0,203;0,203;21,300;96,375;193,407" o:connectangles="0,0,0,0,0,0,0,0,0,0,0,0,0,0,0,0"/>
                  </v:shape>
                  <v:rect id="Rectangle 363" o:spid="_x0000_s1079" style="position:absolute;left:6866;top:3232;width:97;height:3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" fillcolor="#e3e3e3" stroked="f"/>
                  <v:rect id="Rectangle 364" o:spid="_x0000_s1080" style="position:absolute;left:6963;top:3692;width:2518;height: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" fillcolor="#e3e3e3" stroked="f"/>
                  <v:rect id="Rectangle 365" o:spid="_x0000_s1081" style="position:absolute;left:6963;top:4089;width:2518;height:1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" fillcolor="#e3e3e3" stroked="f"/>
                  <v:rect id="Rectangle 366" o:spid="_x0000_s1082" style="position:absolute;left:6963;top:4496;width:2518;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" fillcolor="#e3e3e3" stroked="f"/>
                  <v:rect id="Rectangle 367" o:spid="_x0000_s1083" style="position:absolute;left:6963;top:4892;width:2518;height:1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" fillcolor="#e3e3e3" stroked="f"/>
                  <v:rect id="Rectangle 368" o:spid="_x0000_s1084" style="position:absolute;left:6963;top:5299;width:2518;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" fillcolor="#e3e3e3" stroked="f"/>
                  <v:rect id="Rectangle 369" o:spid="_x0000_s1085" style="position:absolute;left:6963;top:5695;width:2518;height: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" fillcolor="#e3e3e3" stroked="f"/>
                  <v:rect id="Rectangle 370" o:spid="_x0000_s1086" style="position:absolute;left:6963;top:6103;width:2518;height: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" fillcolor="#e3e3e3" stroked="f"/>
                  <v:rect id="Rectangle 371" o:spid="_x0000_s1087" style="position:absolute;left:6963;top:6499;width:2518;height: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" fillcolor="#e3e3e3" stroked="f"/>
                  <v:rect id="Rectangle 372" o:spid="_x0000_s1088" style="position:absolute;left:6963;top:6906;width:2518;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" fillcolor="#e3e3e3" stroked="f"/>
                  <v:line id="Line 373" o:spid="_x0000_s1089" style="position:absolute;visibility:visible;mso-wrap-style:square" from="7080,1880" to="7080,4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" strokecolor="#243f60" strokeweight="1.5pt"/>
                  <v:line id="Line 375" o:spid="_x0000_s1090" style="position:absolute;flip:x;visibility:visible;mso-wrap-style:square" from="1536,5288" to="1536,11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" strokecolor="#243f60" strokeweight="1.5pt"/>
                  <v:rect id="Rectangle 376" o:spid="_x0000_s1091" style="position:absolute;left:1536;top:11974;width:8460;height:1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" filled="f" strokecolor="#243f60" strokeweight="1.5pt">
                    <v:textbox inset="0,0,0,0">
                      <w:txbxContent>
                        <w:p>
                          <w:pPr>
                            <w:pStyle w:val="CorpoAltF0"/>
                            <w:jc w:val="center"/>
                            <w:rPr>
                              <w:rFonts w:ascii="Arial Black" w:hAnsi="Arial Black"/>
                              <w:b/>
                              <w:color w:val="0F243E" w:themeColor="text2" w:themeShade="80"/>
                              <w:sz w:val="52"/>
                              <w:szCs w:val="52"/>
                              <w:lang w:val="en-US"/>
                            </w:rPr>
                          </w:pPr>
                          <w:proofErr w:type="spellStart"/>
                          <w:r>
                            <w:rPr>
                              <w:rFonts w:ascii="Arial Black" w:hAnsi="Arial Black"/>
                              <w:b/>
                              <w:color w:val="0F243E" w:themeColor="text2" w:themeShade="80"/>
                              <w:sz w:val="52"/>
                              <w:szCs w:val="52"/>
                              <w:lang w:val="en-US"/>
                            </w:rPr>
                            <w:t>Autoliquidazione</w:t>
                          </w:r>
                          <w:proofErr w:type="spellEnd"/>
                          <w:r>
                            <w:rPr>
                              <w:rFonts w:ascii="Arial Black" w:hAnsi="Arial Black"/>
                              <w:b/>
                              <w:color w:val="0F243E" w:themeColor="text2" w:themeShade="80"/>
                              <w:sz w:val="52"/>
                              <w:szCs w:val="52"/>
                              <w:lang w:val="en-US"/>
                            </w:rPr>
                            <w:t xml:space="preserve"> INAIL</w:t>
                          </w:r>
                        </w:p>
                        <w:p>
                          <w:pPr>
                            <w:pStyle w:val="CorpoAltF0"/>
                            <w:jc w:val="center"/>
                            <w:rPr>
                              <w:rFonts w:ascii="Arial Black" w:hAnsi="Arial Black"/>
                              <w:b/>
                              <w:color w:val="0F243E" w:themeColor="text2" w:themeShade="80"/>
                              <w:sz w:val="52"/>
                              <w:szCs w:val="52"/>
                              <w:lang w:val="en-US"/>
                            </w:rPr>
                          </w:pPr>
                          <w:r>
                            <w:rPr>
                              <w:rFonts w:ascii="Arial Black" w:hAnsi="Arial Black"/>
                              <w:b/>
                              <w:color w:val="0F243E" w:themeColor="text2" w:themeShade="80"/>
                              <w:sz w:val="52"/>
                              <w:szCs w:val="52"/>
                              <w:lang w:val="en-US"/>
                            </w:rPr>
                            <w:t>2019</w:t>
                          </w:r>
                        </w:p>
                      </w:txbxContent>
                    </v:textbox>
                  </v:rect>
                  <v:rect id="Rectangle 377" o:spid="_x0000_s1092" style="position:absolute;left:1536;top:4545;width:5547;height: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" filled="f" strokecolor="#243f60" strokeweight="1.5pt">
                    <v:textbox inset="0,0,0,0">
                      <w:txbxContent>
                        <w:p>
                          <w:pPr>
                            <w:pStyle w:val="CorpoAltF0"/>
                            <w:spacing w:before="60"/>
                            <w:jc w:val="center"/>
                          </w:pPr>
                          <w:r>
                            <w:rPr>
                              <w:rFonts w:ascii="Arial Black" w:hAnsi="Arial Black"/>
                              <w:b/>
                              <w:color w:val="0F243E" w:themeColor="text2" w:themeShade="80"/>
                              <w:sz w:val="40"/>
                              <w:szCs w:val="40"/>
                              <w:lang w:val="en-US"/>
                            </w:rPr>
                            <w:t>PAGHE</w:t>
                          </w:r>
                        </w:p>
                      </w:txbxContent>
                    </v:textbox>
                  </v:rect>
                  <v:line id="Line 374" o:spid="_x0000_s1093" style="position:absolute;flip:x y;visibility:visible;mso-wrap-style:square" from="2438,1887" to="7098,1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" strokecolor="#243f60" strokeweight="1.5pt"/>
                </v:group>
                <w10:anchorlock/>
              </v:group>
            </w:pict>
          </mc:Fallback>
        </mc:AlternateContent>
      </w:r>
    </w:p>
    <w:p>
      <w:pPr>
        <w:pStyle w:val="Ignora"/>
        <w:rPr>
          <w:rFonts w:eastAsiaTheme="minorEastAsia"/>
        </w:rPr>
      </w:pPr>
    </w:p>
    <w:p>
      <w:pPr>
        <w:pStyle w:val="Ignora"/>
      </w:pPr>
      <w:r>
        <w:t xml:space="preserve"> ( Rif. rilascio vers. PAGHE 2019.1.2)</w:t>
      </w:r>
    </w:p>
    <w:p>
      <w:pPr>
        <w:pStyle w:val="Ignora"/>
        <w:rPr>
          <w:rFonts w:eastAsiaTheme="minorEastAsia"/>
        </w:rPr>
      </w:pPr>
    </w:p>
    <w:p>
      <w:pPr>
        <w:pStyle w:val="Ignora"/>
        <w:rPr>
          <w:rFonts w:eastAsiaTheme="minorEastAsia"/>
        </w:rPr>
      </w:pPr>
    </w:p>
    <w:p>
      <w:pPr>
        <w:pStyle w:val="Ignora"/>
      </w:pPr>
    </w:p>
    <w:p>
      <w:pPr>
        <w:pStyle w:val="Ignora"/>
        <w:sectPr>
          <w:pgSz w:w="11907" w:h="16840" w:code="9"/>
          <w:pgMar w:top="567" w:right="1134" w:bottom="1134" w:left="1134" w:header="397" w:footer="397" w:gutter="0"/>
          <w:pgNumType w:chapSep="period"/>
          <w:cols w:space="720"/>
          <w:noEndnote/>
        </w:sectPr>
      </w:pPr>
    </w:p>
    <w:p>
      <w:pPr>
        <w:pStyle w:val="Ignora"/>
        <w:jc w:val="center"/>
        <w:rPr>
          <w:b/>
          <w:i/>
          <w:spacing w:val="20"/>
          <w:sz w:val="28"/>
          <w:szCs w:val="28"/>
        </w:rPr>
      </w:pPr>
      <w:bookmarkStart w:id="0" w:name="INDICE"/>
      <w:bookmarkEnd w:id="0"/>
      <w:r>
        <w:rPr>
          <w:b/>
          <w:i/>
          <w:spacing w:val="20"/>
          <w:sz w:val="28"/>
          <w:szCs w:val="28"/>
        </w:rPr>
        <w:lastRenderedPageBreak/>
        <w:t>I</w:t>
      </w:r>
      <w:bookmarkStart w:id="1" w:name="_GoBack"/>
      <w:bookmarkEnd w:id="1"/>
      <w:r>
        <w:rPr>
          <w:b/>
          <w:i/>
          <w:spacing w:val="20"/>
          <w:sz w:val="28"/>
          <w:szCs w:val="28"/>
        </w:rPr>
        <w:t>NDICE</w:t>
      </w:r>
    </w:p>
    <w:p>
      <w:pPr>
        <w:pStyle w:val="Sommario1"/>
        <w:rPr>
          <w:rFonts w:asciiTheme="minorHAnsi" w:eastAsiaTheme="minorEastAsia" w:hAnsiTheme="minorHAnsi" w:cstheme="minorBidi"/>
          <w:b w:val="0"/>
          <w:color w:val="auto"/>
          <w:sz w:val="22"/>
          <w:szCs w:val="22"/>
        </w:rPr>
      </w:pPr>
      <w:r>
        <w:rPr>
          <w:rStyle w:val="Collegamentoipertestuale"/>
          <w:b w:val="0"/>
          <w:i/>
          <w:iCs/>
          <w:color w:val="auto"/>
          <w:spacing w:val="-20"/>
          <w:szCs w:val="28"/>
          <w:highlight w:val="yellow"/>
          <w:u w:val="none"/>
        </w:rPr>
        <w:fldChar w:fldCharType="begin"/>
      </w:r>
      <w:r>
        <w:rPr>
          <w:rStyle w:val="Collegamentoipertestuale"/>
          <w:i/>
          <w:iCs/>
          <w:color w:val="auto"/>
          <w:spacing w:val="-20"/>
          <w:szCs w:val="28"/>
          <w:highlight w:val="yellow"/>
          <w:u w:val="none"/>
        </w:rPr>
        <w:instrText xml:space="preserve"> TOC \h \z \t "TS-titolo-01;1;TS-titolo-04;4;TS-titolo-Comando;2;TS-titolo-05;5" </w:instrText>
      </w:r>
      <w:r>
        <w:rPr>
          <w:rStyle w:val="Collegamentoipertestuale"/>
          <w:b w:val="0"/>
          <w:i/>
          <w:iCs/>
          <w:color w:val="auto"/>
          <w:spacing w:val="-20"/>
          <w:szCs w:val="28"/>
          <w:highlight w:val="yellow"/>
          <w:u w:val="none"/>
        </w:rPr>
        <w:fldChar w:fldCharType="separate"/>
      </w:r>
      <w:hyperlink w:anchor="_Toc6329796" w:history="1">
        <w:r>
          <w:rPr>
            <w:rStyle w:val="Collegamentoipertestuale"/>
          </w:rPr>
          <w:t>Autoliquidazione INAIL 2018 / 2019</w:t>
        </w:r>
        <w:r>
          <w:rPr>
            <w:webHidden/>
          </w:rPr>
          <w:tab/>
        </w:r>
        <w:r>
          <w:rPr>
            <w:webHidden/>
          </w:rPr>
          <w:fldChar w:fldCharType="begin"/>
        </w:r>
        <w:r>
          <w:rPr>
            <w:webHidden/>
          </w:rPr>
          <w:instrText xml:space="preserve"> PAGEREF _Toc6329796 \h </w:instrText>
        </w:r>
        <w:r>
          <w:rPr>
            <w:webHidden/>
          </w:rPr>
        </w:r>
        <w:r>
          <w:rPr>
            <w:webHidden/>
          </w:rPr>
          <w:fldChar w:fldCharType="separate"/>
        </w:r>
        <w:r>
          <w:rPr>
            <w:webHidden/>
          </w:rPr>
          <w:t>3</w:t>
        </w:r>
        <w:r>
          <w:rPr>
            <w:webHidden/>
          </w:rPr>
          <w:fldChar w:fldCharType="end"/>
        </w:r>
      </w:hyperlink>
    </w:p>
    <w:p>
      <w:pPr>
        <w:pStyle w:val="Sommario4"/>
        <w:rPr>
          <w:rFonts w:asciiTheme="minorHAnsi" w:eastAsiaTheme="minorEastAsia" w:hAnsiTheme="minorHAnsi" w:cstheme="minorBidi"/>
          <w:i w:val="0"/>
          <w:sz w:val="22"/>
          <w:szCs w:val="22"/>
        </w:rPr>
      </w:pPr>
      <w:hyperlink w:anchor="_Toc6329797" w:history="1">
        <w:r>
          <w:rPr>
            <w:rStyle w:val="Collegamentoipertestuale"/>
          </w:rPr>
          <w:t>Generalità</w:t>
        </w:r>
        <w:r>
          <w:rPr>
            <w:webHidden/>
          </w:rPr>
          <w:tab/>
        </w:r>
        <w:r>
          <w:rPr>
            <w:webHidden/>
          </w:rPr>
          <w:fldChar w:fldCharType="begin"/>
        </w:r>
        <w:r>
          <w:rPr>
            <w:webHidden/>
          </w:rPr>
          <w:instrText xml:space="preserve"> PAGEREF _Toc6329797 \h </w:instrText>
        </w:r>
        <w:r>
          <w:rPr>
            <w:webHidden/>
          </w:rPr>
        </w:r>
        <w:r>
          <w:rPr>
            <w:webHidden/>
          </w:rPr>
          <w:fldChar w:fldCharType="separate"/>
        </w:r>
        <w:r>
          <w:rPr>
            <w:webHidden/>
          </w:rPr>
          <w:t>3</w:t>
        </w:r>
        <w:r>
          <w:rPr>
            <w:webHidden/>
          </w:rPr>
          <w:fldChar w:fldCharType="end"/>
        </w:r>
      </w:hyperlink>
    </w:p>
    <w:p>
      <w:pPr>
        <w:pStyle w:val="Sommario4"/>
        <w:rPr>
          <w:rFonts w:asciiTheme="minorHAnsi" w:eastAsiaTheme="minorEastAsia" w:hAnsiTheme="minorHAnsi" w:cstheme="minorBidi"/>
          <w:i w:val="0"/>
          <w:sz w:val="22"/>
          <w:szCs w:val="22"/>
        </w:rPr>
      </w:pPr>
      <w:hyperlink w:anchor="_Toc6329798" w:history="1">
        <w:r>
          <w:rPr>
            <w:rStyle w:val="Collegamentoipertestuale"/>
          </w:rPr>
          <w:t>Il modello per la dichiarazione delle retribuzioni (modello 1031)</w:t>
        </w:r>
        <w:r>
          <w:rPr>
            <w:webHidden/>
          </w:rPr>
          <w:tab/>
        </w:r>
        <w:r>
          <w:rPr>
            <w:webHidden/>
          </w:rPr>
          <w:fldChar w:fldCharType="begin"/>
        </w:r>
        <w:r>
          <w:rPr>
            <w:webHidden/>
          </w:rPr>
          <w:instrText xml:space="preserve"> PAGEREF _Toc6329798 \h </w:instrText>
        </w:r>
        <w:r>
          <w:rPr>
            <w:webHidden/>
          </w:rPr>
        </w:r>
        <w:r>
          <w:rPr>
            <w:webHidden/>
          </w:rPr>
          <w:fldChar w:fldCharType="separate"/>
        </w:r>
        <w:r>
          <w:rPr>
            <w:webHidden/>
          </w:rPr>
          <w:t>3</w:t>
        </w:r>
        <w:r>
          <w:rPr>
            <w:webHidden/>
          </w:rPr>
          <w:fldChar w:fldCharType="end"/>
        </w:r>
      </w:hyperlink>
    </w:p>
    <w:p>
      <w:pPr>
        <w:pStyle w:val="Sommario4"/>
        <w:rPr>
          <w:rFonts w:asciiTheme="minorHAnsi" w:eastAsiaTheme="minorEastAsia" w:hAnsiTheme="minorHAnsi" w:cstheme="minorBidi"/>
          <w:i w:val="0"/>
          <w:sz w:val="22"/>
          <w:szCs w:val="22"/>
        </w:rPr>
      </w:pPr>
      <w:hyperlink w:anchor="_Toc6329799" w:history="1">
        <w:r>
          <w:rPr>
            <w:rStyle w:val="Collegamentoipertestuale"/>
          </w:rPr>
          <w:t>Criteri di arrotondamento</w:t>
        </w:r>
        <w:r>
          <w:rPr>
            <w:webHidden/>
          </w:rPr>
          <w:tab/>
        </w:r>
        <w:r>
          <w:rPr>
            <w:webHidden/>
          </w:rPr>
          <w:fldChar w:fldCharType="begin"/>
        </w:r>
        <w:r>
          <w:rPr>
            <w:webHidden/>
          </w:rPr>
          <w:instrText xml:space="preserve"> PAGEREF _Toc6329799 \h </w:instrText>
        </w:r>
        <w:r>
          <w:rPr>
            <w:webHidden/>
          </w:rPr>
        </w:r>
        <w:r>
          <w:rPr>
            <w:webHidden/>
          </w:rPr>
          <w:fldChar w:fldCharType="separate"/>
        </w:r>
        <w:r>
          <w:rPr>
            <w:webHidden/>
          </w:rPr>
          <w:t>4</w:t>
        </w:r>
        <w:r>
          <w:rPr>
            <w:webHidden/>
          </w:rPr>
          <w:fldChar w:fldCharType="end"/>
        </w:r>
      </w:hyperlink>
    </w:p>
    <w:p>
      <w:pPr>
        <w:pStyle w:val="Sommario4"/>
        <w:rPr>
          <w:rFonts w:asciiTheme="minorHAnsi" w:eastAsiaTheme="minorEastAsia" w:hAnsiTheme="minorHAnsi" w:cstheme="minorBidi"/>
          <w:i w:val="0"/>
          <w:sz w:val="22"/>
          <w:szCs w:val="22"/>
        </w:rPr>
      </w:pPr>
      <w:hyperlink w:anchor="_Toc6329800" w:history="1">
        <w:r>
          <w:rPr>
            <w:rStyle w:val="Collegamentoipertestuale"/>
          </w:rPr>
          <w:t>Versamento premi</w:t>
        </w:r>
        <w:r>
          <w:rPr>
            <w:webHidden/>
          </w:rPr>
          <w:tab/>
        </w:r>
        <w:r>
          <w:rPr>
            <w:webHidden/>
          </w:rPr>
          <w:fldChar w:fldCharType="begin"/>
        </w:r>
        <w:r>
          <w:rPr>
            <w:webHidden/>
          </w:rPr>
          <w:instrText xml:space="preserve"> PAGEREF _Toc6329800 \h </w:instrText>
        </w:r>
        <w:r>
          <w:rPr>
            <w:webHidden/>
          </w:rPr>
        </w:r>
        <w:r>
          <w:rPr>
            <w:webHidden/>
          </w:rPr>
          <w:fldChar w:fldCharType="separate"/>
        </w:r>
        <w:r>
          <w:rPr>
            <w:webHidden/>
          </w:rPr>
          <w:t>4</w:t>
        </w:r>
        <w:r>
          <w:rPr>
            <w:webHidden/>
          </w:rPr>
          <w:fldChar w:fldCharType="end"/>
        </w:r>
      </w:hyperlink>
    </w:p>
    <w:p>
      <w:pPr>
        <w:pStyle w:val="Sommario4"/>
        <w:rPr>
          <w:rFonts w:asciiTheme="minorHAnsi" w:eastAsiaTheme="minorEastAsia" w:hAnsiTheme="minorHAnsi" w:cstheme="minorBidi"/>
          <w:i w:val="0"/>
          <w:sz w:val="22"/>
          <w:szCs w:val="22"/>
        </w:rPr>
      </w:pPr>
      <w:hyperlink w:anchor="_Toc6329801" w:history="1">
        <w:r>
          <w:rPr>
            <w:rStyle w:val="Collegamentoipertestuale"/>
          </w:rPr>
          <w:t>Rateazione del premio da autoliquidazione</w:t>
        </w:r>
        <w:r>
          <w:rPr>
            <w:webHidden/>
          </w:rPr>
          <w:tab/>
        </w:r>
        <w:r>
          <w:rPr>
            <w:webHidden/>
          </w:rPr>
          <w:fldChar w:fldCharType="begin"/>
        </w:r>
        <w:r>
          <w:rPr>
            <w:webHidden/>
          </w:rPr>
          <w:instrText xml:space="preserve"> PAGEREF _Toc6329801 \h </w:instrText>
        </w:r>
        <w:r>
          <w:rPr>
            <w:webHidden/>
          </w:rPr>
        </w:r>
        <w:r>
          <w:rPr>
            <w:webHidden/>
          </w:rPr>
          <w:fldChar w:fldCharType="separate"/>
        </w:r>
        <w:r>
          <w:rPr>
            <w:webHidden/>
          </w:rPr>
          <w:t>4</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02" w:history="1">
        <w:r>
          <w:rPr>
            <w:rStyle w:val="Collegamentoipertestuale"/>
            <w:noProof/>
          </w:rPr>
          <w:t>Compensazioni</w:t>
        </w:r>
        <w:r>
          <w:rPr>
            <w:noProof/>
            <w:webHidden/>
          </w:rPr>
          <w:tab/>
        </w:r>
        <w:r>
          <w:rPr>
            <w:noProof/>
            <w:webHidden/>
          </w:rPr>
          <w:fldChar w:fldCharType="begin"/>
        </w:r>
        <w:r>
          <w:rPr>
            <w:noProof/>
            <w:webHidden/>
          </w:rPr>
          <w:instrText xml:space="preserve"> PAGEREF _Toc6329802 \h </w:instrText>
        </w:r>
        <w:r>
          <w:rPr>
            <w:noProof/>
            <w:webHidden/>
          </w:rPr>
        </w:r>
        <w:r>
          <w:rPr>
            <w:noProof/>
            <w:webHidden/>
          </w:rPr>
          <w:fldChar w:fldCharType="separate"/>
        </w:r>
        <w:r>
          <w:rPr>
            <w:noProof/>
            <w:webHidden/>
          </w:rPr>
          <w:t>5</w:t>
        </w:r>
        <w:r>
          <w:rPr>
            <w:noProof/>
            <w:webHidden/>
          </w:rPr>
          <w:fldChar w:fldCharType="end"/>
        </w:r>
      </w:hyperlink>
    </w:p>
    <w:p>
      <w:pPr>
        <w:pStyle w:val="Sommario4"/>
        <w:rPr>
          <w:rFonts w:asciiTheme="minorHAnsi" w:eastAsiaTheme="minorEastAsia" w:hAnsiTheme="minorHAnsi" w:cstheme="minorBidi"/>
          <w:i w:val="0"/>
          <w:sz w:val="22"/>
          <w:szCs w:val="22"/>
        </w:rPr>
      </w:pPr>
      <w:hyperlink w:anchor="_Toc6329803" w:history="1">
        <w:r>
          <w:rPr>
            <w:rStyle w:val="Collegamentoipertestuale"/>
          </w:rPr>
          <w:t>Dichiarazione delle retribuzioni</w:t>
        </w:r>
        <w:r>
          <w:rPr>
            <w:webHidden/>
          </w:rPr>
          <w:tab/>
        </w:r>
        <w:r>
          <w:rPr>
            <w:webHidden/>
          </w:rPr>
          <w:fldChar w:fldCharType="begin"/>
        </w:r>
        <w:r>
          <w:rPr>
            <w:webHidden/>
          </w:rPr>
          <w:instrText xml:space="preserve"> PAGEREF _Toc6329803 \h </w:instrText>
        </w:r>
        <w:r>
          <w:rPr>
            <w:webHidden/>
          </w:rPr>
        </w:r>
        <w:r>
          <w:rPr>
            <w:webHidden/>
          </w:rPr>
          <w:fldChar w:fldCharType="separate"/>
        </w:r>
        <w:r>
          <w:rPr>
            <w:webHidden/>
          </w:rPr>
          <w:t>5</w:t>
        </w:r>
        <w:r>
          <w:rPr>
            <w:webHidden/>
          </w:rPr>
          <w:fldChar w:fldCharType="end"/>
        </w:r>
      </w:hyperlink>
    </w:p>
    <w:p>
      <w:pPr>
        <w:pStyle w:val="Sommario4"/>
        <w:rPr>
          <w:rFonts w:asciiTheme="minorHAnsi" w:eastAsiaTheme="minorEastAsia" w:hAnsiTheme="minorHAnsi" w:cstheme="minorBidi"/>
          <w:i w:val="0"/>
          <w:sz w:val="22"/>
          <w:szCs w:val="22"/>
        </w:rPr>
      </w:pPr>
      <w:hyperlink w:anchor="_Toc6329804" w:history="1">
        <w:r>
          <w:rPr>
            <w:rStyle w:val="Collegamentoipertestuale"/>
          </w:rPr>
          <w:t>Soggetti esonerati dall’obbligo della dichiarazione delle retribuzioni</w:t>
        </w:r>
        <w:r>
          <w:rPr>
            <w:webHidden/>
          </w:rPr>
          <w:tab/>
        </w:r>
        <w:r>
          <w:rPr>
            <w:webHidden/>
          </w:rPr>
          <w:fldChar w:fldCharType="begin"/>
        </w:r>
        <w:r>
          <w:rPr>
            <w:webHidden/>
          </w:rPr>
          <w:instrText xml:space="preserve"> PAGEREF _Toc6329804 \h </w:instrText>
        </w:r>
        <w:r>
          <w:rPr>
            <w:webHidden/>
          </w:rPr>
        </w:r>
        <w:r>
          <w:rPr>
            <w:webHidden/>
          </w:rPr>
          <w:fldChar w:fldCharType="separate"/>
        </w:r>
        <w:r>
          <w:rPr>
            <w:webHidden/>
          </w:rPr>
          <w:t>5</w:t>
        </w:r>
        <w:r>
          <w:rPr>
            <w:webHidden/>
          </w:rPr>
          <w:fldChar w:fldCharType="end"/>
        </w:r>
      </w:hyperlink>
    </w:p>
    <w:p>
      <w:pPr>
        <w:pStyle w:val="Sommario4"/>
        <w:rPr>
          <w:rFonts w:asciiTheme="minorHAnsi" w:eastAsiaTheme="minorEastAsia" w:hAnsiTheme="minorHAnsi" w:cstheme="minorBidi"/>
          <w:i w:val="0"/>
          <w:sz w:val="22"/>
          <w:szCs w:val="22"/>
        </w:rPr>
      </w:pPr>
      <w:hyperlink w:anchor="_Toc6329805" w:history="1">
        <w:r>
          <w:rPr>
            <w:rStyle w:val="Collegamentoipertestuale"/>
          </w:rPr>
          <w:t>Modalità di presentazione delle dichiarazioni</w:t>
        </w:r>
        <w:r>
          <w:rPr>
            <w:webHidden/>
          </w:rPr>
          <w:tab/>
        </w:r>
        <w:r>
          <w:rPr>
            <w:webHidden/>
          </w:rPr>
          <w:fldChar w:fldCharType="begin"/>
        </w:r>
        <w:r>
          <w:rPr>
            <w:webHidden/>
          </w:rPr>
          <w:instrText xml:space="preserve"> PAGEREF _Toc6329805 \h </w:instrText>
        </w:r>
        <w:r>
          <w:rPr>
            <w:webHidden/>
          </w:rPr>
        </w:r>
        <w:r>
          <w:rPr>
            <w:webHidden/>
          </w:rPr>
          <w:fldChar w:fldCharType="separate"/>
        </w:r>
        <w:r>
          <w:rPr>
            <w:webHidden/>
          </w:rPr>
          <w:t>5</w:t>
        </w:r>
        <w:r>
          <w:rPr>
            <w:webHidden/>
          </w:rPr>
          <w:fldChar w:fldCharType="end"/>
        </w:r>
      </w:hyperlink>
    </w:p>
    <w:p>
      <w:pPr>
        <w:pStyle w:val="Sommario4"/>
        <w:rPr>
          <w:rFonts w:asciiTheme="minorHAnsi" w:eastAsiaTheme="minorEastAsia" w:hAnsiTheme="minorHAnsi" w:cstheme="minorBidi"/>
          <w:i w:val="0"/>
          <w:sz w:val="22"/>
          <w:szCs w:val="22"/>
        </w:rPr>
      </w:pPr>
      <w:hyperlink w:anchor="_Toc6329806" w:history="1">
        <w:r>
          <w:rPr>
            <w:rStyle w:val="Collegamentoipertestuale"/>
          </w:rPr>
          <w:t>Invio telematico delle dichiarazioni delle retribuzioni</w:t>
        </w:r>
        <w:r>
          <w:rPr>
            <w:webHidden/>
          </w:rPr>
          <w:tab/>
        </w:r>
        <w:r>
          <w:rPr>
            <w:webHidden/>
          </w:rPr>
          <w:fldChar w:fldCharType="begin"/>
        </w:r>
        <w:r>
          <w:rPr>
            <w:webHidden/>
          </w:rPr>
          <w:instrText xml:space="preserve"> PAGEREF _Toc6329806 \h </w:instrText>
        </w:r>
        <w:r>
          <w:rPr>
            <w:webHidden/>
          </w:rPr>
        </w:r>
        <w:r>
          <w:rPr>
            <w:webHidden/>
          </w:rPr>
          <w:fldChar w:fldCharType="separate"/>
        </w:r>
        <w:r>
          <w:rPr>
            <w:webHidden/>
          </w:rPr>
          <w:t>6</w:t>
        </w:r>
        <w:r>
          <w:rPr>
            <w:webHidden/>
          </w:rPr>
          <w:fldChar w:fldCharType="end"/>
        </w:r>
      </w:hyperlink>
    </w:p>
    <w:p>
      <w:pPr>
        <w:pStyle w:val="Sommario4"/>
        <w:rPr>
          <w:rFonts w:asciiTheme="minorHAnsi" w:eastAsiaTheme="minorEastAsia" w:hAnsiTheme="minorHAnsi" w:cstheme="minorBidi"/>
          <w:i w:val="0"/>
          <w:sz w:val="22"/>
          <w:szCs w:val="22"/>
        </w:rPr>
      </w:pPr>
      <w:hyperlink w:anchor="_Toc6329807" w:history="1">
        <w:r>
          <w:rPr>
            <w:rStyle w:val="Collegamentoipertestuale"/>
          </w:rPr>
          <w:t>Comunicazione della riduzione delle retribuzioni presunte</w:t>
        </w:r>
        <w:r>
          <w:rPr>
            <w:webHidden/>
          </w:rPr>
          <w:tab/>
        </w:r>
        <w:r>
          <w:rPr>
            <w:webHidden/>
          </w:rPr>
          <w:fldChar w:fldCharType="begin"/>
        </w:r>
        <w:r>
          <w:rPr>
            <w:webHidden/>
          </w:rPr>
          <w:instrText xml:space="preserve"> PAGEREF _Toc6329807 \h </w:instrText>
        </w:r>
        <w:r>
          <w:rPr>
            <w:webHidden/>
          </w:rPr>
        </w:r>
        <w:r>
          <w:rPr>
            <w:webHidden/>
          </w:rPr>
          <w:fldChar w:fldCharType="separate"/>
        </w:r>
        <w:r>
          <w:rPr>
            <w:webHidden/>
          </w:rPr>
          <w:t>6</w:t>
        </w:r>
        <w:r>
          <w:rPr>
            <w:webHidden/>
          </w:rPr>
          <w:fldChar w:fldCharType="end"/>
        </w:r>
      </w:hyperlink>
    </w:p>
    <w:p>
      <w:pPr>
        <w:pStyle w:val="Sommario1"/>
        <w:rPr>
          <w:rFonts w:asciiTheme="minorHAnsi" w:eastAsiaTheme="minorEastAsia" w:hAnsiTheme="minorHAnsi" w:cstheme="minorBidi"/>
          <w:b w:val="0"/>
          <w:color w:val="auto"/>
          <w:sz w:val="22"/>
          <w:szCs w:val="22"/>
        </w:rPr>
      </w:pPr>
      <w:hyperlink w:anchor="_Toc6329808" w:history="1">
        <w:r>
          <w:rPr>
            <w:rStyle w:val="Collegamentoipertestuale"/>
          </w:rPr>
          <w:t>Gestione Software</w:t>
        </w:r>
        <w:r>
          <w:rPr>
            <w:webHidden/>
          </w:rPr>
          <w:tab/>
        </w:r>
        <w:r>
          <w:rPr>
            <w:webHidden/>
          </w:rPr>
          <w:fldChar w:fldCharType="begin"/>
        </w:r>
        <w:r>
          <w:rPr>
            <w:webHidden/>
          </w:rPr>
          <w:instrText xml:space="preserve"> PAGEREF _Toc6329808 \h </w:instrText>
        </w:r>
        <w:r>
          <w:rPr>
            <w:webHidden/>
          </w:rPr>
        </w:r>
        <w:r>
          <w:rPr>
            <w:webHidden/>
          </w:rPr>
          <w:fldChar w:fldCharType="separate"/>
        </w:r>
        <w:r>
          <w:rPr>
            <w:webHidden/>
          </w:rPr>
          <w:t>7</w:t>
        </w:r>
        <w:r>
          <w:rPr>
            <w:webHidden/>
          </w:rPr>
          <w:fldChar w:fldCharType="end"/>
        </w:r>
      </w:hyperlink>
    </w:p>
    <w:p>
      <w:pPr>
        <w:pStyle w:val="Sommario4"/>
        <w:rPr>
          <w:rFonts w:asciiTheme="minorHAnsi" w:eastAsiaTheme="minorEastAsia" w:hAnsiTheme="minorHAnsi" w:cstheme="minorBidi"/>
          <w:i w:val="0"/>
          <w:sz w:val="22"/>
          <w:szCs w:val="22"/>
        </w:rPr>
      </w:pPr>
      <w:hyperlink w:anchor="_Toc6329809" w:history="1">
        <w:r>
          <w:rPr>
            <w:rStyle w:val="Collegamentoipertestuale"/>
          </w:rPr>
          <w:t>Gestione riduzioni contributive</w:t>
        </w:r>
        <w:r>
          <w:rPr>
            <w:webHidden/>
          </w:rPr>
          <w:tab/>
        </w:r>
        <w:r>
          <w:rPr>
            <w:webHidden/>
          </w:rPr>
          <w:fldChar w:fldCharType="begin"/>
        </w:r>
        <w:r>
          <w:rPr>
            <w:webHidden/>
          </w:rPr>
          <w:instrText xml:space="preserve"> PAGEREF _Toc6329809 \h </w:instrText>
        </w:r>
        <w:r>
          <w:rPr>
            <w:webHidden/>
          </w:rPr>
        </w:r>
        <w:r>
          <w:rPr>
            <w:webHidden/>
          </w:rPr>
          <w:fldChar w:fldCharType="separate"/>
        </w:r>
        <w:r>
          <w:rPr>
            <w:webHidden/>
          </w:rPr>
          <w:t>7</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10" w:history="1">
        <w:r>
          <w:rPr>
            <w:rStyle w:val="Collegamentoipertestuale"/>
            <w:noProof/>
          </w:rPr>
          <w:t>Riduzione ex L. 147/2013 (art. 1, co. 128)</w:t>
        </w:r>
        <w:r>
          <w:rPr>
            <w:noProof/>
            <w:webHidden/>
          </w:rPr>
          <w:tab/>
        </w:r>
        <w:r>
          <w:rPr>
            <w:noProof/>
            <w:webHidden/>
          </w:rPr>
          <w:fldChar w:fldCharType="begin"/>
        </w:r>
        <w:r>
          <w:rPr>
            <w:noProof/>
            <w:webHidden/>
          </w:rPr>
          <w:instrText xml:space="preserve"> PAGEREF _Toc6329810 \h </w:instrText>
        </w:r>
        <w:r>
          <w:rPr>
            <w:noProof/>
            <w:webHidden/>
          </w:rPr>
        </w:r>
        <w:r>
          <w:rPr>
            <w:noProof/>
            <w:webHidden/>
          </w:rPr>
          <w:fldChar w:fldCharType="separate"/>
        </w:r>
        <w:r>
          <w:rPr>
            <w:noProof/>
            <w:webHidden/>
          </w:rPr>
          <w:t>7</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11" w:history="1">
        <w:r>
          <w:rPr>
            <w:rStyle w:val="Collegamentoipertestuale"/>
            <w:noProof/>
          </w:rPr>
          <w:t>Imprese artigiane</w:t>
        </w:r>
        <w:r>
          <w:rPr>
            <w:noProof/>
            <w:webHidden/>
          </w:rPr>
          <w:tab/>
        </w:r>
        <w:r>
          <w:rPr>
            <w:noProof/>
            <w:webHidden/>
          </w:rPr>
          <w:fldChar w:fldCharType="begin"/>
        </w:r>
        <w:r>
          <w:rPr>
            <w:noProof/>
            <w:webHidden/>
          </w:rPr>
          <w:instrText xml:space="preserve"> PAGEREF _Toc6329811 \h </w:instrText>
        </w:r>
        <w:r>
          <w:rPr>
            <w:noProof/>
            <w:webHidden/>
          </w:rPr>
        </w:r>
        <w:r>
          <w:rPr>
            <w:noProof/>
            <w:webHidden/>
          </w:rPr>
          <w:fldChar w:fldCharType="separate"/>
        </w:r>
        <w:r>
          <w:rPr>
            <w:noProof/>
            <w:webHidden/>
          </w:rPr>
          <w:t>10</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12" w:history="1">
        <w:r>
          <w:rPr>
            <w:rStyle w:val="Collegamentoipertestuale"/>
            <w:noProof/>
          </w:rPr>
          <w:t>Settore edile</w:t>
        </w:r>
        <w:r>
          <w:rPr>
            <w:noProof/>
            <w:webHidden/>
          </w:rPr>
          <w:tab/>
        </w:r>
        <w:r>
          <w:rPr>
            <w:noProof/>
            <w:webHidden/>
          </w:rPr>
          <w:fldChar w:fldCharType="begin"/>
        </w:r>
        <w:r>
          <w:rPr>
            <w:noProof/>
            <w:webHidden/>
          </w:rPr>
          <w:instrText xml:space="preserve"> PAGEREF _Toc6329812 \h </w:instrText>
        </w:r>
        <w:r>
          <w:rPr>
            <w:noProof/>
            <w:webHidden/>
          </w:rPr>
        </w:r>
        <w:r>
          <w:rPr>
            <w:noProof/>
            <w:webHidden/>
          </w:rPr>
          <w:fldChar w:fldCharType="separate"/>
        </w:r>
        <w:r>
          <w:rPr>
            <w:noProof/>
            <w:webHidden/>
          </w:rPr>
          <w:t>10</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13" w:history="1">
        <w:r>
          <w:rPr>
            <w:rStyle w:val="Collegamentoipertestuale"/>
            <w:noProof/>
          </w:rPr>
          <w:t>Settore della pesca</w:t>
        </w:r>
        <w:r>
          <w:rPr>
            <w:noProof/>
            <w:webHidden/>
          </w:rPr>
          <w:tab/>
        </w:r>
        <w:r>
          <w:rPr>
            <w:noProof/>
            <w:webHidden/>
          </w:rPr>
          <w:fldChar w:fldCharType="begin"/>
        </w:r>
        <w:r>
          <w:rPr>
            <w:noProof/>
            <w:webHidden/>
          </w:rPr>
          <w:instrText xml:space="preserve"> PAGEREF _Toc6329813 \h </w:instrText>
        </w:r>
        <w:r>
          <w:rPr>
            <w:noProof/>
            <w:webHidden/>
          </w:rPr>
        </w:r>
        <w:r>
          <w:rPr>
            <w:noProof/>
            <w:webHidden/>
          </w:rPr>
          <w:fldChar w:fldCharType="separate"/>
        </w:r>
        <w:r>
          <w:rPr>
            <w:noProof/>
            <w:webHidden/>
          </w:rPr>
          <w:t>11</w:t>
        </w:r>
        <w:r>
          <w:rPr>
            <w:noProof/>
            <w:webHidden/>
          </w:rPr>
          <w:fldChar w:fldCharType="end"/>
        </w:r>
      </w:hyperlink>
    </w:p>
    <w:p>
      <w:pPr>
        <w:pStyle w:val="Sommario2"/>
        <w:rPr>
          <w:rFonts w:asciiTheme="minorHAnsi" w:eastAsiaTheme="minorEastAsia" w:hAnsiTheme="minorHAnsi" w:cstheme="minorBidi"/>
          <w:b w:val="0"/>
          <w:color w:val="auto"/>
          <w:sz w:val="22"/>
          <w:szCs w:val="22"/>
        </w:rPr>
      </w:pPr>
      <w:hyperlink w:anchor="_Toc6329814" w:history="1">
        <w:r>
          <w:rPr>
            <w:rStyle w:val="Collegamentoipertestuale"/>
          </w:rPr>
          <w:t>AGGTAS</w:t>
        </w:r>
        <w:r>
          <w:rPr>
            <w:webHidden/>
          </w:rPr>
          <w:tab/>
        </w:r>
        <w:r>
          <w:rPr>
            <w:webHidden/>
          </w:rPr>
          <w:fldChar w:fldCharType="begin"/>
        </w:r>
        <w:r>
          <w:rPr>
            <w:webHidden/>
          </w:rPr>
          <w:instrText xml:space="preserve"> PAGEREF _Toc6329814 \h </w:instrText>
        </w:r>
        <w:r>
          <w:rPr>
            <w:webHidden/>
          </w:rPr>
        </w:r>
        <w:r>
          <w:rPr>
            <w:webHidden/>
          </w:rPr>
          <w:fldChar w:fldCharType="separate"/>
        </w:r>
        <w:r>
          <w:rPr>
            <w:webHidden/>
          </w:rPr>
          <w:t>12</w:t>
        </w:r>
        <w:r>
          <w:rPr>
            <w:webHidden/>
          </w:rPr>
          <w:fldChar w:fldCharType="end"/>
        </w:r>
      </w:hyperlink>
    </w:p>
    <w:p>
      <w:pPr>
        <w:pStyle w:val="Sommario4"/>
        <w:rPr>
          <w:rFonts w:asciiTheme="minorHAnsi" w:eastAsiaTheme="minorEastAsia" w:hAnsiTheme="minorHAnsi" w:cstheme="minorBidi"/>
          <w:i w:val="0"/>
          <w:sz w:val="22"/>
          <w:szCs w:val="22"/>
        </w:rPr>
      </w:pPr>
      <w:hyperlink w:anchor="_Toc6329815" w:history="1">
        <w:r>
          <w:rPr>
            <w:rStyle w:val="Collegamentoipertestuale"/>
          </w:rPr>
          <w:t>Verifica e aggiornamento basi di calcolo INAIL</w:t>
        </w:r>
        <w:r>
          <w:rPr>
            <w:webHidden/>
          </w:rPr>
          <w:tab/>
        </w:r>
        <w:r>
          <w:rPr>
            <w:webHidden/>
          </w:rPr>
          <w:fldChar w:fldCharType="begin"/>
        </w:r>
        <w:r>
          <w:rPr>
            <w:webHidden/>
          </w:rPr>
          <w:instrText xml:space="preserve"> PAGEREF _Toc6329815 \h </w:instrText>
        </w:r>
        <w:r>
          <w:rPr>
            <w:webHidden/>
          </w:rPr>
        </w:r>
        <w:r>
          <w:rPr>
            <w:webHidden/>
          </w:rPr>
          <w:fldChar w:fldCharType="separate"/>
        </w:r>
        <w:r>
          <w:rPr>
            <w:webHidden/>
          </w:rPr>
          <w:t>12</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16" w:history="1">
        <w:r>
          <w:rPr>
            <w:rStyle w:val="Collegamentoipertestuale"/>
            <w:noProof/>
          </w:rPr>
          <w:t>Verifica basi di calcolo</w:t>
        </w:r>
        <w:r>
          <w:rPr>
            <w:noProof/>
            <w:webHidden/>
          </w:rPr>
          <w:tab/>
        </w:r>
        <w:r>
          <w:rPr>
            <w:noProof/>
            <w:webHidden/>
          </w:rPr>
          <w:fldChar w:fldCharType="begin"/>
        </w:r>
        <w:r>
          <w:rPr>
            <w:noProof/>
            <w:webHidden/>
          </w:rPr>
          <w:instrText xml:space="preserve"> PAGEREF _Toc6329816 \h </w:instrText>
        </w:r>
        <w:r>
          <w:rPr>
            <w:noProof/>
            <w:webHidden/>
          </w:rPr>
        </w:r>
        <w:r>
          <w:rPr>
            <w:noProof/>
            <w:webHidden/>
          </w:rPr>
          <w:fldChar w:fldCharType="separate"/>
        </w:r>
        <w:r>
          <w:rPr>
            <w:noProof/>
            <w:webHidden/>
          </w:rPr>
          <w:t>12</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17" w:history="1">
        <w:r>
          <w:rPr>
            <w:rStyle w:val="Collegamentoipertestuale"/>
            <w:noProof/>
          </w:rPr>
          <w:t>Aggiornamento</w:t>
        </w:r>
        <w:r>
          <w:rPr>
            <w:noProof/>
            <w:webHidden/>
          </w:rPr>
          <w:tab/>
        </w:r>
        <w:r>
          <w:rPr>
            <w:noProof/>
            <w:webHidden/>
          </w:rPr>
          <w:fldChar w:fldCharType="begin"/>
        </w:r>
        <w:r>
          <w:rPr>
            <w:noProof/>
            <w:webHidden/>
          </w:rPr>
          <w:instrText xml:space="preserve"> PAGEREF _Toc6329817 \h </w:instrText>
        </w:r>
        <w:r>
          <w:rPr>
            <w:noProof/>
            <w:webHidden/>
          </w:rPr>
        </w:r>
        <w:r>
          <w:rPr>
            <w:noProof/>
            <w:webHidden/>
          </w:rPr>
          <w:fldChar w:fldCharType="separate"/>
        </w:r>
        <w:r>
          <w:rPr>
            <w:noProof/>
            <w:webHidden/>
          </w:rPr>
          <w:t>15</w:t>
        </w:r>
        <w:r>
          <w:rPr>
            <w:noProof/>
            <w:webHidden/>
          </w:rPr>
          <w:fldChar w:fldCharType="end"/>
        </w:r>
      </w:hyperlink>
    </w:p>
    <w:p>
      <w:pPr>
        <w:pStyle w:val="Sommario2"/>
        <w:rPr>
          <w:rFonts w:asciiTheme="minorHAnsi" w:eastAsiaTheme="minorEastAsia" w:hAnsiTheme="minorHAnsi" w:cstheme="minorBidi"/>
          <w:b w:val="0"/>
          <w:color w:val="auto"/>
          <w:sz w:val="22"/>
          <w:szCs w:val="22"/>
        </w:rPr>
      </w:pPr>
      <w:hyperlink w:anchor="_Toc6329818" w:history="1">
        <w:r>
          <w:rPr>
            <w:rStyle w:val="Collegamentoipertestuale"/>
          </w:rPr>
          <w:t>10SM</w:t>
        </w:r>
        <w:r>
          <w:rPr>
            <w:webHidden/>
          </w:rPr>
          <w:tab/>
        </w:r>
        <w:r>
          <w:rPr>
            <w:webHidden/>
          </w:rPr>
          <w:fldChar w:fldCharType="begin"/>
        </w:r>
        <w:r>
          <w:rPr>
            <w:webHidden/>
          </w:rPr>
          <w:instrText xml:space="preserve"> PAGEREF _Toc6329818 \h </w:instrText>
        </w:r>
        <w:r>
          <w:rPr>
            <w:webHidden/>
          </w:rPr>
        </w:r>
        <w:r>
          <w:rPr>
            <w:webHidden/>
          </w:rPr>
          <w:fldChar w:fldCharType="separate"/>
        </w:r>
        <w:r>
          <w:rPr>
            <w:webHidden/>
          </w:rPr>
          <w:t>16</w:t>
        </w:r>
        <w:r>
          <w:rPr>
            <w:webHidden/>
          </w:rPr>
          <w:fldChar w:fldCharType="end"/>
        </w:r>
      </w:hyperlink>
    </w:p>
    <w:p>
      <w:pPr>
        <w:pStyle w:val="Sommario4"/>
        <w:rPr>
          <w:rFonts w:asciiTheme="minorHAnsi" w:eastAsiaTheme="minorEastAsia" w:hAnsiTheme="minorHAnsi" w:cstheme="minorBidi"/>
          <w:i w:val="0"/>
          <w:sz w:val="22"/>
          <w:szCs w:val="22"/>
        </w:rPr>
      </w:pPr>
      <w:hyperlink w:anchor="_Toc6329819" w:history="1">
        <w:r>
          <w:rPr>
            <w:rStyle w:val="Collegamentoipertestuale"/>
          </w:rPr>
          <w:t>Gestione Autoliquidazione INAIL</w:t>
        </w:r>
        <w:r>
          <w:rPr>
            <w:webHidden/>
          </w:rPr>
          <w:tab/>
        </w:r>
        <w:r>
          <w:rPr>
            <w:webHidden/>
          </w:rPr>
          <w:fldChar w:fldCharType="begin"/>
        </w:r>
        <w:r>
          <w:rPr>
            <w:webHidden/>
          </w:rPr>
          <w:instrText xml:space="preserve"> PAGEREF _Toc6329819 \h </w:instrText>
        </w:r>
        <w:r>
          <w:rPr>
            <w:webHidden/>
          </w:rPr>
        </w:r>
        <w:r>
          <w:rPr>
            <w:webHidden/>
          </w:rPr>
          <w:fldChar w:fldCharType="separate"/>
        </w:r>
        <w:r>
          <w:rPr>
            <w:webHidden/>
          </w:rPr>
          <w:t>16</w:t>
        </w:r>
        <w:r>
          <w:rPr>
            <w:webHidden/>
          </w:rPr>
          <w:fldChar w:fldCharType="end"/>
        </w:r>
      </w:hyperlink>
    </w:p>
    <w:p>
      <w:pPr>
        <w:pStyle w:val="Sommario4"/>
        <w:rPr>
          <w:rFonts w:asciiTheme="minorHAnsi" w:eastAsiaTheme="minorEastAsia" w:hAnsiTheme="minorHAnsi" w:cstheme="minorBidi"/>
          <w:i w:val="0"/>
          <w:sz w:val="22"/>
          <w:szCs w:val="22"/>
        </w:rPr>
      </w:pPr>
      <w:hyperlink w:anchor="_Toc6329820" w:history="1">
        <w:r>
          <w:rPr>
            <w:rStyle w:val="Collegamentoipertestuale"/>
          </w:rPr>
          <w:t>Gestione PAT: Dettaglio operazioni sulle singole PAT</w:t>
        </w:r>
        <w:r>
          <w:rPr>
            <w:webHidden/>
          </w:rPr>
          <w:tab/>
        </w:r>
        <w:r>
          <w:rPr>
            <w:webHidden/>
          </w:rPr>
          <w:fldChar w:fldCharType="begin"/>
        </w:r>
        <w:r>
          <w:rPr>
            <w:webHidden/>
          </w:rPr>
          <w:instrText xml:space="preserve"> PAGEREF _Toc6329820 \h </w:instrText>
        </w:r>
        <w:r>
          <w:rPr>
            <w:webHidden/>
          </w:rPr>
        </w:r>
        <w:r>
          <w:rPr>
            <w:webHidden/>
          </w:rPr>
          <w:fldChar w:fldCharType="separate"/>
        </w:r>
        <w:r>
          <w:rPr>
            <w:webHidden/>
          </w:rPr>
          <w:t>20</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21" w:history="1">
        <w:r>
          <w:rPr>
            <w:rStyle w:val="Collegamentoipertestuale"/>
            <w:noProof/>
          </w:rPr>
          <w:t>Tabella INAIL azienda</w:t>
        </w:r>
        <w:r>
          <w:rPr>
            <w:noProof/>
            <w:webHidden/>
          </w:rPr>
          <w:tab/>
        </w:r>
        <w:r>
          <w:rPr>
            <w:noProof/>
            <w:webHidden/>
          </w:rPr>
          <w:fldChar w:fldCharType="begin"/>
        </w:r>
        <w:r>
          <w:rPr>
            <w:noProof/>
            <w:webHidden/>
          </w:rPr>
          <w:instrText xml:space="preserve"> PAGEREF _Toc6329821 \h </w:instrText>
        </w:r>
        <w:r>
          <w:rPr>
            <w:noProof/>
            <w:webHidden/>
          </w:rPr>
        </w:r>
        <w:r>
          <w:rPr>
            <w:noProof/>
            <w:webHidden/>
          </w:rPr>
          <w:fldChar w:fldCharType="separate"/>
        </w:r>
        <w:r>
          <w:rPr>
            <w:noProof/>
            <w:webHidden/>
          </w:rPr>
          <w:t>20</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22" w:history="1">
        <w:r>
          <w:rPr>
            <w:rStyle w:val="Collegamentoipertestuale"/>
            <w:noProof/>
          </w:rPr>
          <w:t>Tasso INAIL e periodi</w:t>
        </w:r>
        <w:r>
          <w:rPr>
            <w:noProof/>
            <w:webHidden/>
          </w:rPr>
          <w:tab/>
        </w:r>
        <w:r>
          <w:rPr>
            <w:noProof/>
            <w:webHidden/>
          </w:rPr>
          <w:fldChar w:fldCharType="begin"/>
        </w:r>
        <w:r>
          <w:rPr>
            <w:noProof/>
            <w:webHidden/>
          </w:rPr>
          <w:instrText xml:space="preserve"> PAGEREF _Toc6329822 \h </w:instrText>
        </w:r>
        <w:r>
          <w:rPr>
            <w:noProof/>
            <w:webHidden/>
          </w:rPr>
        </w:r>
        <w:r>
          <w:rPr>
            <w:noProof/>
            <w:webHidden/>
          </w:rPr>
          <w:fldChar w:fldCharType="separate"/>
        </w:r>
        <w:r>
          <w:rPr>
            <w:noProof/>
            <w:webHidden/>
          </w:rPr>
          <w:t>21</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23" w:history="1">
        <w:r>
          <w:rPr>
            <w:rStyle w:val="Collegamentoipertestuale"/>
            <w:noProof/>
          </w:rPr>
          <w:t>Composizione nucleo artigiano</w:t>
        </w:r>
        <w:r>
          <w:rPr>
            <w:noProof/>
            <w:webHidden/>
          </w:rPr>
          <w:tab/>
        </w:r>
        <w:r>
          <w:rPr>
            <w:noProof/>
            <w:webHidden/>
          </w:rPr>
          <w:fldChar w:fldCharType="begin"/>
        </w:r>
        <w:r>
          <w:rPr>
            <w:noProof/>
            <w:webHidden/>
          </w:rPr>
          <w:instrText xml:space="preserve"> PAGEREF _Toc6329823 \h </w:instrText>
        </w:r>
        <w:r>
          <w:rPr>
            <w:noProof/>
            <w:webHidden/>
          </w:rPr>
        </w:r>
        <w:r>
          <w:rPr>
            <w:noProof/>
            <w:webHidden/>
          </w:rPr>
          <w:fldChar w:fldCharType="separate"/>
        </w:r>
        <w:r>
          <w:rPr>
            <w:noProof/>
            <w:webHidden/>
          </w:rPr>
          <w:t>23</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24" w:history="1">
        <w:r>
          <w:rPr>
            <w:rStyle w:val="Collegamentoipertestuale"/>
            <w:noProof/>
          </w:rPr>
          <w:t>Denuncia delle retribuzioni corrisposte</w:t>
        </w:r>
        <w:r>
          <w:rPr>
            <w:noProof/>
            <w:webHidden/>
          </w:rPr>
          <w:tab/>
        </w:r>
        <w:r>
          <w:rPr>
            <w:noProof/>
            <w:webHidden/>
          </w:rPr>
          <w:fldChar w:fldCharType="begin"/>
        </w:r>
        <w:r>
          <w:rPr>
            <w:noProof/>
            <w:webHidden/>
          </w:rPr>
          <w:instrText xml:space="preserve"> PAGEREF _Toc6329824 \h </w:instrText>
        </w:r>
        <w:r>
          <w:rPr>
            <w:noProof/>
            <w:webHidden/>
          </w:rPr>
        </w:r>
        <w:r>
          <w:rPr>
            <w:noProof/>
            <w:webHidden/>
          </w:rPr>
          <w:fldChar w:fldCharType="separate"/>
        </w:r>
        <w:r>
          <w:rPr>
            <w:noProof/>
            <w:webHidden/>
          </w:rPr>
          <w:t>25</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25" w:history="1">
        <w:r>
          <w:rPr>
            <w:rStyle w:val="Collegamentoipertestuale"/>
            <w:noProof/>
          </w:rPr>
          <w:t>Totali</w:t>
        </w:r>
        <w:r>
          <w:rPr>
            <w:noProof/>
            <w:webHidden/>
          </w:rPr>
          <w:tab/>
        </w:r>
        <w:r>
          <w:rPr>
            <w:noProof/>
            <w:webHidden/>
          </w:rPr>
          <w:fldChar w:fldCharType="begin"/>
        </w:r>
        <w:r>
          <w:rPr>
            <w:noProof/>
            <w:webHidden/>
          </w:rPr>
          <w:instrText xml:space="preserve"> PAGEREF _Toc6329825 \h </w:instrText>
        </w:r>
        <w:r>
          <w:rPr>
            <w:noProof/>
            <w:webHidden/>
          </w:rPr>
        </w:r>
        <w:r>
          <w:rPr>
            <w:noProof/>
            <w:webHidden/>
          </w:rPr>
          <w:fldChar w:fldCharType="separate"/>
        </w:r>
        <w:r>
          <w:rPr>
            <w:noProof/>
            <w:webHidden/>
          </w:rPr>
          <w:t>27</w:t>
        </w:r>
        <w:r>
          <w:rPr>
            <w:noProof/>
            <w:webHidden/>
          </w:rPr>
          <w:fldChar w:fldCharType="end"/>
        </w:r>
      </w:hyperlink>
    </w:p>
    <w:p>
      <w:pPr>
        <w:pStyle w:val="Sommario4"/>
        <w:rPr>
          <w:rFonts w:asciiTheme="minorHAnsi" w:eastAsiaTheme="minorEastAsia" w:hAnsiTheme="minorHAnsi" w:cstheme="minorBidi"/>
          <w:i w:val="0"/>
          <w:sz w:val="22"/>
          <w:szCs w:val="22"/>
        </w:rPr>
      </w:pPr>
      <w:hyperlink w:anchor="_Toc6329826" w:history="1">
        <w:r>
          <w:rPr>
            <w:rStyle w:val="Collegamentoipertestuale"/>
          </w:rPr>
          <w:t>Gestione liquidazioni: dettaglio operazioni su riepilogo premi per azienda</w:t>
        </w:r>
        <w:r>
          <w:rPr>
            <w:webHidden/>
          </w:rPr>
          <w:tab/>
        </w:r>
        <w:r>
          <w:rPr>
            <w:webHidden/>
          </w:rPr>
          <w:fldChar w:fldCharType="begin"/>
        </w:r>
        <w:r>
          <w:rPr>
            <w:webHidden/>
          </w:rPr>
          <w:instrText xml:space="preserve"> PAGEREF _Toc6329826 \h </w:instrText>
        </w:r>
        <w:r>
          <w:rPr>
            <w:webHidden/>
          </w:rPr>
        </w:r>
        <w:r>
          <w:rPr>
            <w:webHidden/>
          </w:rPr>
          <w:fldChar w:fldCharType="separate"/>
        </w:r>
        <w:r>
          <w:rPr>
            <w:webHidden/>
          </w:rPr>
          <w:t>29</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27" w:history="1">
        <w:r>
          <w:rPr>
            <w:rStyle w:val="Collegamentoipertestuale"/>
            <w:noProof/>
          </w:rPr>
          <w:t>Gestione contributi associativi</w:t>
        </w:r>
        <w:r>
          <w:rPr>
            <w:noProof/>
            <w:webHidden/>
          </w:rPr>
          <w:tab/>
        </w:r>
        <w:r>
          <w:rPr>
            <w:noProof/>
            <w:webHidden/>
          </w:rPr>
          <w:fldChar w:fldCharType="begin"/>
        </w:r>
        <w:r>
          <w:rPr>
            <w:noProof/>
            <w:webHidden/>
          </w:rPr>
          <w:instrText xml:space="preserve"> PAGEREF _Toc6329827 \h </w:instrText>
        </w:r>
        <w:r>
          <w:rPr>
            <w:noProof/>
            <w:webHidden/>
          </w:rPr>
        </w:r>
        <w:r>
          <w:rPr>
            <w:noProof/>
            <w:webHidden/>
          </w:rPr>
          <w:fldChar w:fldCharType="separate"/>
        </w:r>
        <w:r>
          <w:rPr>
            <w:noProof/>
            <w:webHidden/>
          </w:rPr>
          <w:t>29</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28" w:history="1">
        <w:r>
          <w:rPr>
            <w:rStyle w:val="Collegamentoipertestuale"/>
            <w:noProof/>
          </w:rPr>
          <w:t>Liquidazione dei premi</w:t>
        </w:r>
        <w:r>
          <w:rPr>
            <w:noProof/>
            <w:webHidden/>
          </w:rPr>
          <w:tab/>
        </w:r>
        <w:r>
          <w:rPr>
            <w:noProof/>
            <w:webHidden/>
          </w:rPr>
          <w:fldChar w:fldCharType="begin"/>
        </w:r>
        <w:r>
          <w:rPr>
            <w:noProof/>
            <w:webHidden/>
          </w:rPr>
          <w:instrText xml:space="preserve"> PAGEREF _Toc6329828 \h </w:instrText>
        </w:r>
        <w:r>
          <w:rPr>
            <w:noProof/>
            <w:webHidden/>
          </w:rPr>
        </w:r>
        <w:r>
          <w:rPr>
            <w:noProof/>
            <w:webHidden/>
          </w:rPr>
          <w:fldChar w:fldCharType="separate"/>
        </w:r>
        <w:r>
          <w:rPr>
            <w:noProof/>
            <w:webHidden/>
          </w:rPr>
          <w:t>30</w:t>
        </w:r>
        <w:r>
          <w:rPr>
            <w:noProof/>
            <w:webHidden/>
          </w:rPr>
          <w:fldChar w:fldCharType="end"/>
        </w:r>
      </w:hyperlink>
    </w:p>
    <w:p>
      <w:pPr>
        <w:pStyle w:val="Sommario4"/>
        <w:rPr>
          <w:rFonts w:asciiTheme="minorHAnsi" w:eastAsiaTheme="minorEastAsia" w:hAnsiTheme="minorHAnsi" w:cstheme="minorBidi"/>
          <w:i w:val="0"/>
          <w:sz w:val="22"/>
          <w:szCs w:val="22"/>
        </w:rPr>
      </w:pPr>
      <w:hyperlink w:anchor="_Toc6329829" w:history="1">
        <w:r>
          <w:rPr>
            <w:rStyle w:val="Collegamentoipertestuale"/>
          </w:rPr>
          <w:t>Sequenza operativa Autoliquidazione INAIL 2019</w:t>
        </w:r>
        <w:r>
          <w:rPr>
            <w:webHidden/>
          </w:rPr>
          <w:tab/>
        </w:r>
        <w:r>
          <w:rPr>
            <w:webHidden/>
          </w:rPr>
          <w:fldChar w:fldCharType="begin"/>
        </w:r>
        <w:r>
          <w:rPr>
            <w:webHidden/>
          </w:rPr>
          <w:instrText xml:space="preserve"> PAGEREF _Toc6329829 \h </w:instrText>
        </w:r>
        <w:r>
          <w:rPr>
            <w:webHidden/>
          </w:rPr>
        </w:r>
        <w:r>
          <w:rPr>
            <w:webHidden/>
          </w:rPr>
          <w:fldChar w:fldCharType="separate"/>
        </w:r>
        <w:r>
          <w:rPr>
            <w:webHidden/>
          </w:rPr>
          <w:t>32</w:t>
        </w:r>
        <w:r>
          <w:rPr>
            <w:webHidden/>
          </w:rPr>
          <w:fldChar w:fldCharType="end"/>
        </w:r>
      </w:hyperlink>
    </w:p>
    <w:p>
      <w:pPr>
        <w:pStyle w:val="Sommario4"/>
        <w:rPr>
          <w:rFonts w:asciiTheme="minorHAnsi" w:eastAsiaTheme="minorEastAsia" w:hAnsiTheme="minorHAnsi" w:cstheme="minorBidi"/>
          <w:i w:val="0"/>
          <w:sz w:val="22"/>
          <w:szCs w:val="22"/>
        </w:rPr>
      </w:pPr>
      <w:hyperlink w:anchor="_Toc6329830" w:history="1">
        <w:r>
          <w:rPr>
            <w:rStyle w:val="Collegamentoipertestuale"/>
          </w:rPr>
          <w:t>Appendice 1: Gestione soci, collab. familiari, associati, quadri e tirocinanti</w:t>
        </w:r>
        <w:r>
          <w:rPr>
            <w:webHidden/>
          </w:rPr>
          <w:tab/>
        </w:r>
        <w:r>
          <w:rPr>
            <w:webHidden/>
          </w:rPr>
          <w:fldChar w:fldCharType="begin"/>
        </w:r>
        <w:r>
          <w:rPr>
            <w:webHidden/>
          </w:rPr>
          <w:instrText xml:space="preserve"> PAGEREF _Toc6329830 \h </w:instrText>
        </w:r>
        <w:r>
          <w:rPr>
            <w:webHidden/>
          </w:rPr>
        </w:r>
        <w:r>
          <w:rPr>
            <w:webHidden/>
          </w:rPr>
          <w:fldChar w:fldCharType="separate"/>
        </w:r>
        <w:r>
          <w:rPr>
            <w:webHidden/>
          </w:rPr>
          <w:t>36</w:t>
        </w:r>
        <w:r>
          <w:rPr>
            <w:webHidden/>
          </w:rPr>
          <w:fldChar w:fldCharType="end"/>
        </w:r>
      </w:hyperlink>
    </w:p>
    <w:p>
      <w:pPr>
        <w:pStyle w:val="Sommario4"/>
        <w:rPr>
          <w:rFonts w:asciiTheme="minorHAnsi" w:eastAsiaTheme="minorEastAsia" w:hAnsiTheme="minorHAnsi" w:cstheme="minorBidi"/>
          <w:i w:val="0"/>
          <w:sz w:val="22"/>
          <w:szCs w:val="22"/>
        </w:rPr>
      </w:pPr>
      <w:hyperlink w:anchor="_Toc6329831" w:history="1">
        <w:r>
          <w:rPr>
            <w:rStyle w:val="Collegamentoipertestuale"/>
          </w:rPr>
          <w:t>Appendice 2: Struttura autoliquidazione INAIL</w:t>
        </w:r>
        <w:r>
          <w:rPr>
            <w:webHidden/>
          </w:rPr>
          <w:tab/>
        </w:r>
        <w:r>
          <w:rPr>
            <w:webHidden/>
          </w:rPr>
          <w:fldChar w:fldCharType="begin"/>
        </w:r>
        <w:r>
          <w:rPr>
            <w:webHidden/>
          </w:rPr>
          <w:instrText xml:space="preserve"> PAGEREF _Toc6329831 \h </w:instrText>
        </w:r>
        <w:r>
          <w:rPr>
            <w:webHidden/>
          </w:rPr>
        </w:r>
        <w:r>
          <w:rPr>
            <w:webHidden/>
          </w:rPr>
          <w:fldChar w:fldCharType="separate"/>
        </w:r>
        <w:r>
          <w:rPr>
            <w:webHidden/>
          </w:rPr>
          <w:t>40</w:t>
        </w:r>
        <w:r>
          <w:rPr>
            <w:webHidden/>
          </w:rPr>
          <w:fldChar w:fldCharType="end"/>
        </w:r>
      </w:hyperlink>
    </w:p>
    <w:p>
      <w:pPr>
        <w:pStyle w:val="Sommario4"/>
        <w:rPr>
          <w:rFonts w:asciiTheme="minorHAnsi" w:eastAsiaTheme="minorEastAsia" w:hAnsiTheme="minorHAnsi" w:cstheme="minorBidi"/>
          <w:i w:val="0"/>
          <w:sz w:val="22"/>
          <w:szCs w:val="22"/>
        </w:rPr>
      </w:pPr>
      <w:hyperlink w:anchor="_Toc6329832" w:history="1">
        <w:r>
          <w:rPr>
            <w:rStyle w:val="Collegamentoipertestuale"/>
          </w:rPr>
          <w:t>Appendice 3: Riduzioni dei premi</w:t>
        </w:r>
        <w:r>
          <w:rPr>
            <w:webHidden/>
          </w:rPr>
          <w:tab/>
        </w:r>
        <w:r>
          <w:rPr>
            <w:webHidden/>
          </w:rPr>
          <w:fldChar w:fldCharType="begin"/>
        </w:r>
        <w:r>
          <w:rPr>
            <w:webHidden/>
          </w:rPr>
          <w:instrText xml:space="preserve"> PAGEREF _Toc6329832 \h </w:instrText>
        </w:r>
        <w:r>
          <w:rPr>
            <w:webHidden/>
          </w:rPr>
        </w:r>
        <w:r>
          <w:rPr>
            <w:webHidden/>
          </w:rPr>
          <w:fldChar w:fldCharType="separate"/>
        </w:r>
        <w:r>
          <w:rPr>
            <w:webHidden/>
          </w:rPr>
          <w:t>41</w:t>
        </w:r>
        <w:r>
          <w:rPr>
            <w:webHidden/>
          </w:rPr>
          <w:fldChar w:fldCharType="end"/>
        </w:r>
      </w:hyperlink>
    </w:p>
    <w:p>
      <w:pPr>
        <w:pStyle w:val="Sommario4"/>
        <w:rPr>
          <w:rFonts w:asciiTheme="minorHAnsi" w:eastAsiaTheme="minorEastAsia" w:hAnsiTheme="minorHAnsi" w:cstheme="minorBidi"/>
          <w:i w:val="0"/>
          <w:sz w:val="22"/>
          <w:szCs w:val="22"/>
        </w:rPr>
      </w:pPr>
      <w:hyperlink w:anchor="_Toc6329833" w:history="1">
        <w:r>
          <w:rPr>
            <w:rStyle w:val="Collegamentoipertestuale"/>
          </w:rPr>
          <w:t>Appendice 4: Correlazione Basi di calcolo / Gestione 10SM</w:t>
        </w:r>
        <w:r>
          <w:rPr>
            <w:webHidden/>
          </w:rPr>
          <w:tab/>
        </w:r>
        <w:r>
          <w:rPr>
            <w:webHidden/>
          </w:rPr>
          <w:fldChar w:fldCharType="begin"/>
        </w:r>
        <w:r>
          <w:rPr>
            <w:webHidden/>
          </w:rPr>
          <w:instrText xml:space="preserve"> PAGEREF _Toc6329833 \h </w:instrText>
        </w:r>
        <w:r>
          <w:rPr>
            <w:webHidden/>
          </w:rPr>
        </w:r>
        <w:r>
          <w:rPr>
            <w:webHidden/>
          </w:rPr>
          <w:fldChar w:fldCharType="separate"/>
        </w:r>
        <w:r>
          <w:rPr>
            <w:webHidden/>
          </w:rPr>
          <w:t>44</w:t>
        </w:r>
        <w:r>
          <w:rPr>
            <w:webHidden/>
          </w:rPr>
          <w:fldChar w:fldCharType="end"/>
        </w:r>
      </w:hyperlink>
    </w:p>
    <w:p>
      <w:pPr>
        <w:pStyle w:val="Sommario4"/>
        <w:rPr>
          <w:rFonts w:asciiTheme="minorHAnsi" w:eastAsiaTheme="minorEastAsia" w:hAnsiTheme="minorHAnsi" w:cstheme="minorBidi"/>
          <w:i w:val="0"/>
          <w:sz w:val="22"/>
          <w:szCs w:val="22"/>
        </w:rPr>
      </w:pPr>
      <w:hyperlink w:anchor="_Toc6329834" w:history="1">
        <w:r>
          <w:rPr>
            <w:rStyle w:val="Collegamentoipertestuale"/>
          </w:rPr>
          <w:t>Stampe autoliquidazione</w:t>
        </w:r>
        <w:r>
          <w:rPr>
            <w:webHidden/>
          </w:rPr>
          <w:tab/>
        </w:r>
        <w:r>
          <w:rPr>
            <w:webHidden/>
          </w:rPr>
          <w:fldChar w:fldCharType="begin"/>
        </w:r>
        <w:r>
          <w:rPr>
            <w:webHidden/>
          </w:rPr>
          <w:instrText xml:space="preserve"> PAGEREF _Toc6329834 \h </w:instrText>
        </w:r>
        <w:r>
          <w:rPr>
            <w:webHidden/>
          </w:rPr>
        </w:r>
        <w:r>
          <w:rPr>
            <w:webHidden/>
          </w:rPr>
          <w:fldChar w:fldCharType="separate"/>
        </w:r>
        <w:r>
          <w:rPr>
            <w:webHidden/>
          </w:rPr>
          <w:t>48</w:t>
        </w:r>
        <w:r>
          <w:rPr>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35" w:history="1">
        <w:r>
          <w:rPr>
            <w:rStyle w:val="Collegamentoipertestuale"/>
            <w:noProof/>
          </w:rPr>
          <w:t>Stampa modello su carta bianca</w:t>
        </w:r>
        <w:r>
          <w:rPr>
            <w:noProof/>
            <w:webHidden/>
          </w:rPr>
          <w:tab/>
        </w:r>
        <w:r>
          <w:rPr>
            <w:noProof/>
            <w:webHidden/>
          </w:rPr>
          <w:fldChar w:fldCharType="begin"/>
        </w:r>
        <w:r>
          <w:rPr>
            <w:noProof/>
            <w:webHidden/>
          </w:rPr>
          <w:instrText xml:space="preserve"> PAGEREF _Toc6329835 \h </w:instrText>
        </w:r>
        <w:r>
          <w:rPr>
            <w:noProof/>
            <w:webHidden/>
          </w:rPr>
        </w:r>
        <w:r>
          <w:rPr>
            <w:noProof/>
            <w:webHidden/>
          </w:rPr>
          <w:fldChar w:fldCharType="separate"/>
        </w:r>
        <w:r>
          <w:rPr>
            <w:noProof/>
            <w:webHidden/>
          </w:rPr>
          <w:t>48</w:t>
        </w:r>
        <w:r>
          <w:rPr>
            <w:noProof/>
            <w:webHidden/>
          </w:rPr>
          <w:fldChar w:fldCharType="end"/>
        </w:r>
      </w:hyperlink>
    </w:p>
    <w:p>
      <w:pPr>
        <w:pStyle w:val="Sommario5"/>
        <w:tabs>
          <w:tab w:val="right" w:leader="dot" w:pos="9629"/>
        </w:tabs>
        <w:rPr>
          <w:rFonts w:asciiTheme="minorHAnsi" w:eastAsiaTheme="minorEastAsia" w:hAnsiTheme="minorHAnsi" w:cstheme="minorBidi"/>
          <w:i w:val="0"/>
          <w:noProof/>
          <w:sz w:val="22"/>
          <w:szCs w:val="22"/>
        </w:rPr>
      </w:pPr>
      <w:hyperlink w:anchor="_Toc6329836" w:history="1">
        <w:r>
          <w:rPr>
            <w:rStyle w:val="Collegamentoipertestuale"/>
            <w:noProof/>
          </w:rPr>
          <w:t>Stampa lettere (10SM &gt; scelta 5)</w:t>
        </w:r>
        <w:r>
          <w:rPr>
            <w:noProof/>
            <w:webHidden/>
          </w:rPr>
          <w:tab/>
        </w:r>
        <w:r>
          <w:rPr>
            <w:noProof/>
            <w:webHidden/>
          </w:rPr>
          <w:fldChar w:fldCharType="begin"/>
        </w:r>
        <w:r>
          <w:rPr>
            <w:noProof/>
            <w:webHidden/>
          </w:rPr>
          <w:instrText xml:space="preserve"> PAGEREF _Toc6329836 \h </w:instrText>
        </w:r>
        <w:r>
          <w:rPr>
            <w:noProof/>
            <w:webHidden/>
          </w:rPr>
        </w:r>
        <w:r>
          <w:rPr>
            <w:noProof/>
            <w:webHidden/>
          </w:rPr>
          <w:fldChar w:fldCharType="separate"/>
        </w:r>
        <w:r>
          <w:rPr>
            <w:noProof/>
            <w:webHidden/>
          </w:rPr>
          <w:t>48</w:t>
        </w:r>
        <w:r>
          <w:rPr>
            <w:noProof/>
            <w:webHidden/>
          </w:rPr>
          <w:fldChar w:fldCharType="end"/>
        </w:r>
      </w:hyperlink>
    </w:p>
    <w:p>
      <w:pPr>
        <w:pStyle w:val="Sommario4"/>
        <w:rPr>
          <w:rFonts w:asciiTheme="minorHAnsi" w:eastAsiaTheme="minorEastAsia" w:hAnsiTheme="minorHAnsi" w:cstheme="minorBidi"/>
          <w:i w:val="0"/>
          <w:sz w:val="22"/>
          <w:szCs w:val="22"/>
        </w:rPr>
      </w:pPr>
      <w:hyperlink w:anchor="_Toc6329837" w:history="1">
        <w:r>
          <w:rPr>
            <w:rStyle w:val="Collegamentoipertestuale"/>
          </w:rPr>
          <w:t>Invio telematico della denuncia salari</w:t>
        </w:r>
        <w:r>
          <w:rPr>
            <w:webHidden/>
          </w:rPr>
          <w:tab/>
        </w:r>
        <w:r>
          <w:rPr>
            <w:webHidden/>
          </w:rPr>
          <w:fldChar w:fldCharType="begin"/>
        </w:r>
        <w:r>
          <w:rPr>
            <w:webHidden/>
          </w:rPr>
          <w:instrText xml:space="preserve"> PAGEREF _Toc6329837 \h </w:instrText>
        </w:r>
        <w:r>
          <w:rPr>
            <w:webHidden/>
          </w:rPr>
        </w:r>
        <w:r>
          <w:rPr>
            <w:webHidden/>
          </w:rPr>
          <w:fldChar w:fldCharType="separate"/>
        </w:r>
        <w:r>
          <w:rPr>
            <w:webHidden/>
          </w:rPr>
          <w:t>58</w:t>
        </w:r>
        <w:r>
          <w:rPr>
            <w:webHidden/>
          </w:rPr>
          <w:fldChar w:fldCharType="end"/>
        </w:r>
      </w:hyperlink>
    </w:p>
    <w:p>
      <w:pPr>
        <w:pStyle w:val="Sommario4"/>
        <w:rPr>
          <w:rFonts w:asciiTheme="minorHAnsi" w:eastAsiaTheme="minorEastAsia" w:hAnsiTheme="minorHAnsi" w:cstheme="minorBidi"/>
          <w:i w:val="0"/>
          <w:sz w:val="22"/>
          <w:szCs w:val="22"/>
        </w:rPr>
      </w:pPr>
      <w:hyperlink w:anchor="_Toc6329838" w:history="1">
        <w:r>
          <w:rPr>
            <w:rStyle w:val="Collegamentoipertestuale"/>
          </w:rPr>
          <w:t>Stampa modello 10SM</w:t>
        </w:r>
        <w:r>
          <w:rPr>
            <w:webHidden/>
          </w:rPr>
          <w:tab/>
        </w:r>
        <w:r>
          <w:rPr>
            <w:webHidden/>
          </w:rPr>
          <w:fldChar w:fldCharType="begin"/>
        </w:r>
        <w:r>
          <w:rPr>
            <w:webHidden/>
          </w:rPr>
          <w:instrText xml:space="preserve"> PAGEREF _Toc6329838 \h </w:instrText>
        </w:r>
        <w:r>
          <w:rPr>
            <w:webHidden/>
          </w:rPr>
        </w:r>
        <w:r>
          <w:rPr>
            <w:webHidden/>
          </w:rPr>
          <w:fldChar w:fldCharType="separate"/>
        </w:r>
        <w:r>
          <w:rPr>
            <w:webHidden/>
          </w:rPr>
          <w:t>59</w:t>
        </w:r>
        <w:r>
          <w:rPr>
            <w:webHidden/>
          </w:rPr>
          <w:fldChar w:fldCharType="end"/>
        </w:r>
      </w:hyperlink>
    </w:p>
    <w:p>
      <w:pPr>
        <w:pStyle w:val="CorpoAltF0"/>
        <w:rPr>
          <w:rStyle w:val="Collegamentoipertestuale"/>
          <w:color w:val="auto"/>
          <w:highlight w:val="yellow"/>
          <w:u w:val="none"/>
        </w:rPr>
      </w:pPr>
      <w:r>
        <w:rPr>
          <w:rStyle w:val="Collegamentoipertestuale"/>
          <w:i/>
          <w:iCs/>
          <w:noProof/>
          <w:color w:val="auto"/>
          <w:spacing w:val="-20"/>
          <w:szCs w:val="28"/>
          <w:highlight w:val="yellow"/>
          <w:u w:val="none"/>
        </w:rPr>
        <w:fldChar w:fldCharType="end"/>
      </w:r>
    </w:p>
    <w:p>
      <w:pPr>
        <w:pStyle w:val="Ignora"/>
        <w:rPr>
          <w:highlight w:val="yellow"/>
        </w:rPr>
        <w:sectPr>
          <w:headerReference w:type="default" r:id="rId10"/>
          <w:footerReference w:type="default" r:id="rId11"/>
          <w:pgSz w:w="11907" w:h="16840" w:code="9"/>
          <w:pgMar w:top="567" w:right="1134" w:bottom="1134" w:left="1134" w:header="397" w:footer="397" w:gutter="0"/>
          <w:pgNumType w:chapSep="period"/>
          <w:cols w:space="720"/>
          <w:noEndnote/>
        </w:sectPr>
      </w:pPr>
    </w:p>
    <w:p>
      <w:pPr>
        <w:pStyle w:val="CorpoAltF0"/>
        <w:rPr>
          <w:highlight w:val="yellow"/>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790"/>
        <w:gridCol w:w="2849"/>
      </w:tblGrid>
      <w:tr>
        <w:trPr>
          <w:trHeight w:val="558"/>
        </w:trPr>
        <w:tc>
          <w:tcPr>
            <w:tcW w:w="6874" w:type="dxa"/>
            <w:tcBorders>
              <w:top w:val="nil"/>
              <w:left w:val="nil"/>
              <w:bottom w:val="single" w:sz="12" w:space="0" w:color="auto"/>
              <w:right w:val="nil"/>
            </w:tcBorders>
            <w:vAlign w:val="center"/>
          </w:tcPr>
          <w:p>
            <w:pPr>
              <w:pStyle w:val="TS-titolo-01"/>
              <w:outlineLvl w:val="0"/>
            </w:pPr>
            <w:bookmarkStart w:id="3" w:name="_Toc6329796"/>
            <w:r>
              <w:t>Autoliquidazione INAIL 2018 / 2019</w:t>
            </w:r>
            <w:bookmarkEnd w:id="3"/>
          </w:p>
        </w:tc>
        <w:tc>
          <w:tcPr>
            <w:tcW w:w="290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rPr>
          <w:highlight w:val="yellow"/>
        </w:rPr>
      </w:pPr>
    </w:p>
    <w:p>
      <w:pPr>
        <w:pStyle w:val="TS-titolo-04"/>
      </w:pPr>
      <w:bookmarkStart w:id="4" w:name="_Toc6329797"/>
      <w:r>
        <w:t>Generalità</w:t>
      </w:r>
      <w:bookmarkEnd w:id="4"/>
    </w:p>
    <w:p>
      <w:pPr>
        <w:pStyle w:val="CorpoAltF0"/>
        <w:spacing w:before="120"/>
      </w:pPr>
      <w:r>
        <w:t xml:space="preserve">L’autoliquidazione è accentrata ad un soggetto (cliente) datore di lavoro, a cui corrispondono una o più PAT (posizioni assicurative territoriali). </w:t>
      </w:r>
    </w:p>
    <w:p>
      <w:pPr>
        <w:pStyle w:val="CorpoAltF0"/>
        <w:spacing w:before="120"/>
      </w:pPr>
      <w:r>
        <w:t>Nell’ambito di ciascuna PAT ogni azienda/cliente può stipulare una o più tipologie di assicurazioni denominate polizze. Le polizze sono così denominate:</w:t>
      </w:r>
    </w:p>
    <w:p>
      <w:pPr>
        <w:pStyle w:val="CorpoAltF0"/>
        <w:numPr>
          <w:ilvl w:val="0"/>
          <w:numId w:val="4"/>
        </w:numPr>
        <w:spacing w:before="60"/>
        <w:ind w:left="426" w:hanging="357"/>
      </w:pPr>
      <w:r>
        <w:t>lavoratori dipendenti</w:t>
      </w:r>
    </w:p>
    <w:p>
      <w:pPr>
        <w:pStyle w:val="CorpoAltF0"/>
        <w:numPr>
          <w:ilvl w:val="0"/>
          <w:numId w:val="4"/>
        </w:numPr>
        <w:spacing w:before="60"/>
        <w:ind w:left="426" w:hanging="357"/>
      </w:pPr>
      <w:r>
        <w:t>lavoratori autonomi</w:t>
      </w:r>
    </w:p>
    <w:p>
      <w:pPr>
        <w:pStyle w:val="CorpoAltF0"/>
        <w:numPr>
          <w:ilvl w:val="0"/>
          <w:numId w:val="4"/>
        </w:numPr>
        <w:spacing w:before="60"/>
        <w:ind w:left="426" w:hanging="357"/>
      </w:pPr>
      <w:r>
        <w:t>volontari (cooperative sociali, no profit)</w:t>
      </w:r>
    </w:p>
    <w:p>
      <w:pPr>
        <w:pStyle w:val="CorpoAltF0"/>
        <w:numPr>
          <w:ilvl w:val="0"/>
          <w:numId w:val="4"/>
        </w:numPr>
        <w:spacing w:before="60"/>
        <w:ind w:left="426" w:hanging="357"/>
      </w:pPr>
      <w:r>
        <w:t>varie (contributi associativi, particolari assicurazioni)</w:t>
      </w:r>
    </w:p>
    <w:p>
      <w:pPr>
        <w:pStyle w:val="CorpoAltF0"/>
        <w:spacing w:before="120"/>
      </w:pPr>
      <w:r>
        <w:t>Nella polizza dipendenti confluiscono anche i lavoratori parasubordinati e i dirigenti.</w:t>
      </w:r>
    </w:p>
    <w:p>
      <w:pPr>
        <w:pStyle w:val="CorpoAltF0"/>
      </w:pPr>
      <w:r>
        <w:t xml:space="preserve">All’interno della polizza il tasso e quindi il calcolo del premio sono associati alle voci di tariffa corrispondenti alle lavorazioni svolte dai dipendenti. </w:t>
      </w:r>
    </w:p>
    <w:p>
      <w:pPr>
        <w:pStyle w:val="CorpoAltF0"/>
      </w:pPr>
    </w:p>
    <w:p>
      <w:pPr>
        <w:pStyle w:val="CorpoAltF0"/>
      </w:pPr>
      <w:r>
        <w:t>La dichiarazione delle retribuzioni deve essere presentata esclusivamente per via telematica (Circolare Inail n. 1/2012).</w:t>
      </w:r>
    </w:p>
    <w:p>
      <w:pPr>
        <w:pStyle w:val="CorpoAltF0"/>
      </w:pPr>
      <w:r>
        <w:t>L’esclusività della modalità telematica riguarda soltanto le ditte attive. Infatti, per le aziende che hanno cessato l’attività, la denuncia delle retribuzioni continuerà ad essere effettuata con il modulo cartaceo.</w:t>
      </w:r>
    </w:p>
    <w:p>
      <w:pPr>
        <w:pStyle w:val="CorpoAltF0"/>
        <w:spacing w:before="120"/>
      </w:pPr>
      <w:r>
        <w:t xml:space="preserve">Il termine di presentazione della dichiarazione delle retribuzioni effettivamente corrisposte nel 2018 è il </w:t>
      </w:r>
      <w:r>
        <w:rPr>
          <w:b/>
        </w:rPr>
        <w:t>16 maggio 2019</w:t>
      </w:r>
      <w:r>
        <w:t>.</w:t>
      </w:r>
    </w:p>
    <w:p>
      <w:pPr>
        <w:pStyle w:val="CorpoAltF0"/>
        <w:spacing w:before="120"/>
      </w:pPr>
      <w:r>
        <w:t xml:space="preserve">Entro il </w:t>
      </w:r>
      <w:r>
        <w:rPr>
          <w:b/>
        </w:rPr>
        <w:t xml:space="preserve">16 maggio </w:t>
      </w:r>
      <w:r>
        <w:t>il datore di lavoro deve:</w:t>
      </w:r>
    </w:p>
    <w:p>
      <w:pPr>
        <w:pStyle w:val="CorpoAltF0"/>
        <w:numPr>
          <w:ilvl w:val="0"/>
          <w:numId w:val="4"/>
        </w:numPr>
        <w:spacing w:before="60"/>
        <w:ind w:left="425" w:hanging="357"/>
      </w:pPr>
      <w:r>
        <w:t>calcolare il premio anticipato per l’anno in corso (rata) e il conguaglio per l’anno precedente (regolazione);</w:t>
      </w:r>
    </w:p>
    <w:p>
      <w:pPr>
        <w:pStyle w:val="CorpoAltF0"/>
        <w:numPr>
          <w:ilvl w:val="0"/>
          <w:numId w:val="4"/>
        </w:numPr>
        <w:spacing w:before="60"/>
        <w:ind w:left="425" w:hanging="357"/>
      </w:pPr>
      <w:r>
        <w:t>conteggiare il premio di autoliquidazione dato dalla somma algebrica della rata e della regolazione;</w:t>
      </w:r>
    </w:p>
    <w:p>
      <w:pPr>
        <w:pStyle w:val="CorpoAltF0"/>
        <w:numPr>
          <w:ilvl w:val="0"/>
          <w:numId w:val="4"/>
        </w:numPr>
        <w:spacing w:before="60"/>
        <w:ind w:left="425" w:hanging="357"/>
      </w:pPr>
      <w:r>
        <w:t>pagare il premio di autoliquidazione utilizzando il modello di pagamento F24 (se il termine scade di sabato o di giorno festivo il versamento è tempestivo se effettuato il primo giorno lavorativo successivo).</w:t>
      </w:r>
    </w:p>
    <w:p>
      <w:pPr>
        <w:pStyle w:val="CorpoAltF0"/>
      </w:pPr>
    </w:p>
    <w:p>
      <w:pPr>
        <w:pStyle w:val="CorpoAltF0"/>
        <w:rPr>
          <w:highlight w:val="yellow"/>
        </w:rPr>
      </w:pPr>
    </w:p>
    <w:p>
      <w:pPr>
        <w:pStyle w:val="TS-titolo-04"/>
      </w:pPr>
      <w:bookmarkStart w:id="5" w:name="_Toc471235843"/>
      <w:bookmarkStart w:id="6" w:name="_Toc6329798"/>
      <w:r>
        <w:t>Il modello per la dichiarazione delle retribuzioni (modello 1031)</w:t>
      </w:r>
      <w:bookmarkEnd w:id="5"/>
      <w:bookmarkEnd w:id="6"/>
    </w:p>
    <w:p>
      <w:pPr>
        <w:pStyle w:val="CorpoAltF0"/>
        <w:spacing w:before="120"/>
      </w:pPr>
      <w:r>
        <w:t xml:space="preserve">Il modello è composto da due sezioni verticali, ciascuna corrispondente ad una PAT. Il calcolo del premio viene sviluppato dall’alto verso il basso partendo dalle retribuzioni inquadrate per periodo e per voce di tariffa, applicando gli eventuali sconti e ottenendo così il premio da sommare a quelli determinati nelle colonne successive. </w:t>
      </w:r>
    </w:p>
    <w:p>
      <w:pPr>
        <w:pStyle w:val="CorpoAltF0"/>
      </w:pPr>
    </w:p>
    <w:p>
      <w:pPr>
        <w:pStyle w:val="CorpoAltF0"/>
      </w:pPr>
      <w:r>
        <w:t xml:space="preserve">Nelle due sezioni del modello sono presenti </w:t>
      </w:r>
      <w:proofErr w:type="gramStart"/>
      <w:r>
        <w:t>4</w:t>
      </w:r>
      <w:proofErr w:type="gramEnd"/>
      <w:r>
        <w:t xml:space="preserve"> riquadri:</w:t>
      </w:r>
    </w:p>
    <w:p>
      <w:pPr>
        <w:pStyle w:val="CorpoAltF0"/>
      </w:pPr>
    </w:p>
    <w:p>
      <w:pPr>
        <w:pStyle w:val="CorpoAltF0"/>
        <w:spacing w:before="60"/>
        <w:rPr>
          <w:u w:val="single"/>
        </w:rPr>
      </w:pPr>
      <w:r>
        <w:rPr>
          <w:u w:val="single"/>
        </w:rPr>
        <w:t xml:space="preserve">1 - Retribuzioni </w:t>
      </w:r>
    </w:p>
    <w:p>
      <w:pPr>
        <w:pStyle w:val="CorpoAltF0"/>
        <w:spacing w:before="120"/>
      </w:pPr>
      <w:r>
        <w:t>Nel primo riquadro vanno indicate le retribuzioni complessive (importo A), le quote di retribuzione parzialmente esenti (importo B) e le retribuzioni per silicosi/asbestosi (importo C). Gli importi B e C sono inclusi nelle retribuzioni complessive A.</w:t>
      </w:r>
    </w:p>
    <w:p>
      <w:pPr>
        <w:pStyle w:val="CorpoAltF0"/>
        <w:spacing w:before="120"/>
      </w:pPr>
      <w:r>
        <w:t>Nelle retribuzioni complessive (importo A) vanno indicate le retribuzioni erogate ai dipendenti, i compensi erogati ai collaboratori coordinati e continuativi e ai collaboratori a progetto e le retribuzioni dei soci e collaboratori familiari, ancorché convenzionali o di ragguaglio, di aziende non artigiane.</w:t>
      </w:r>
    </w:p>
    <w:p>
      <w:pPr>
        <w:pStyle w:val="CorpoAltF0"/>
      </w:pPr>
      <w:r>
        <w:t>Le retribuzioni relative ai rapporti di lavoro per i quali il datore di lavoro fruisce dell’esenzione parziale del premio devono essere incluse in tale campo nella misura del 100%.</w:t>
      </w:r>
    </w:p>
    <w:p>
      <w:pPr>
        <w:pStyle w:val="CorpoAltF0"/>
      </w:pPr>
      <w:r>
        <w:t>Non vanno incluse in tale campo le retribuzioni:</w:t>
      </w:r>
    </w:p>
    <w:p>
      <w:pPr>
        <w:pStyle w:val="CorpoAltF0"/>
        <w:numPr>
          <w:ilvl w:val="0"/>
          <w:numId w:val="5"/>
        </w:numPr>
        <w:spacing w:before="60"/>
        <w:ind w:left="284" w:hanging="284"/>
      </w:pPr>
      <w:r>
        <w:t>degli apprendisti;</w:t>
      </w:r>
    </w:p>
    <w:p>
      <w:pPr>
        <w:pStyle w:val="CorpoAltF0"/>
        <w:numPr>
          <w:ilvl w:val="0"/>
          <w:numId w:val="5"/>
        </w:numPr>
        <w:spacing w:before="60"/>
        <w:ind w:left="284" w:hanging="284"/>
      </w:pPr>
      <w:r>
        <w:t>del titolare, dei soci e dei collaboratori familiari di ditte artigiane;</w:t>
      </w:r>
    </w:p>
    <w:p>
      <w:pPr>
        <w:pStyle w:val="CorpoAltF0"/>
        <w:numPr>
          <w:ilvl w:val="0"/>
          <w:numId w:val="5"/>
        </w:numPr>
        <w:spacing w:before="60"/>
        <w:ind w:left="284" w:hanging="284"/>
      </w:pPr>
      <w:r>
        <w:t>dei lavoratori per i quali il datore di lavoro fruisce dell’esenzione totale del premio.</w:t>
      </w:r>
    </w:p>
    <w:p>
      <w:pPr>
        <w:pStyle w:val="CorpoAltF0"/>
      </w:pPr>
    </w:p>
    <w:p>
      <w:pPr>
        <w:pStyle w:val="CorpoAltF0"/>
        <w:rPr>
          <w:u w:val="single"/>
        </w:rPr>
      </w:pPr>
      <w:r>
        <w:rPr>
          <w:u w:val="single"/>
        </w:rPr>
        <w:t>2 - Retribuzioni soggette a sconto</w:t>
      </w:r>
    </w:p>
    <w:p>
      <w:pPr>
        <w:pStyle w:val="CorpoAltF0"/>
        <w:spacing w:before="120"/>
      </w:pPr>
      <w:r>
        <w:t>Vanno indicate le retribuzioni sulle quali va effettuato lo sconto sul premio.</w:t>
      </w:r>
    </w:p>
    <w:p>
      <w:pPr>
        <w:pStyle w:val="CorpoAltF0"/>
      </w:pPr>
      <w:r>
        <w:t>Riguardano le retribuzioni relative a dipendenti del settore edile e del settore della pesca, e a dipendenti assunti in sostituzione di dipendenti assenti per maternità/paternità.</w:t>
      </w:r>
    </w:p>
    <w:p>
      <w:pPr>
        <w:pStyle w:val="CorpoAltF0"/>
      </w:pPr>
    </w:p>
    <w:p>
      <w:pPr>
        <w:pStyle w:val="CorpoAltF0"/>
        <w:spacing w:before="60"/>
        <w:rPr>
          <w:u w:val="single"/>
        </w:rPr>
      </w:pPr>
      <w:r>
        <w:rPr>
          <w:u w:val="single"/>
        </w:rPr>
        <w:t>3 - Dettaglio quote di retribuzioni parzialmente esenti</w:t>
      </w:r>
    </w:p>
    <w:p>
      <w:pPr>
        <w:pStyle w:val="CorpoAltF0"/>
        <w:spacing w:before="120"/>
      </w:pPr>
      <w:r>
        <w:t xml:space="preserve">Vanno dettagliate le retribuzioni che confluiscono nel totale delle quote di retribuzioni parzialmente esenti (importo B) con l’indicazione della relativa tipologia di esenzione. Riguardano le tipologie di agevolazioni di tipo contributivo indicate nelle istruzioni fornite dall’Inail (v. pag. </w:t>
      </w:r>
      <w:r>
        <w:fldChar w:fldCharType="begin"/>
      </w:r>
      <w:r>
        <w:instrText xml:space="preserve"> PAGEREF CodiciRiduzioni \h </w:instrText>
      </w:r>
      <w:r>
        <w:fldChar w:fldCharType="separate"/>
      </w:r>
      <w:r>
        <w:rPr>
          <w:noProof/>
        </w:rPr>
        <w:t>41</w:t>
      </w:r>
      <w:r>
        <w:fldChar w:fldCharType="end"/>
      </w:r>
      <w:r>
        <w:t>).</w:t>
      </w:r>
    </w:p>
    <w:p>
      <w:pPr>
        <w:pStyle w:val="CorpoAltF0"/>
      </w:pPr>
    </w:p>
    <w:p>
      <w:pPr>
        <w:pStyle w:val="CorpoAltF0"/>
        <w:spacing w:before="60"/>
        <w:rPr>
          <w:u w:val="single"/>
        </w:rPr>
      </w:pPr>
      <w:r>
        <w:rPr>
          <w:u w:val="single"/>
        </w:rPr>
        <w:t>4 - Dettaglio retribuzioni esenti al 100%</w:t>
      </w:r>
    </w:p>
    <w:p>
      <w:pPr>
        <w:pStyle w:val="CorpoAltF0"/>
        <w:spacing w:before="120"/>
      </w:pPr>
      <w:r>
        <w:t xml:space="preserve">Vanno dettagliate le retribuzioni esenti al 100% con la relativa tipologia di esenzione (attualmente non previste; v. pag. </w:t>
      </w:r>
      <w:r>
        <w:fldChar w:fldCharType="begin"/>
      </w:r>
      <w:r>
        <w:instrText xml:space="preserve"> PAGEREF CodiciRiduzioni \h </w:instrText>
      </w:r>
      <w:r>
        <w:fldChar w:fldCharType="separate"/>
      </w:r>
      <w:r>
        <w:rPr>
          <w:noProof/>
        </w:rPr>
        <w:t>41</w:t>
      </w:r>
      <w:r>
        <w:fldChar w:fldCharType="end"/>
      </w:r>
      <w:r>
        <w:t>).</w:t>
      </w:r>
    </w:p>
    <w:p>
      <w:pPr>
        <w:pStyle w:val="CorpoAltF0"/>
        <w:rPr>
          <w:highlight w:val="yellow"/>
        </w:rPr>
      </w:pPr>
    </w:p>
    <w:p>
      <w:pPr>
        <w:pStyle w:val="CorpoAltF0"/>
      </w:pPr>
    </w:p>
    <w:p>
      <w:pPr>
        <w:pStyle w:val="TS-titolo-04"/>
      </w:pPr>
      <w:bookmarkStart w:id="7" w:name="_Toc471235844"/>
      <w:bookmarkStart w:id="8" w:name="_Toc6329799"/>
      <w:r>
        <w:t>Criteri di arrotondamento</w:t>
      </w:r>
      <w:bookmarkEnd w:id="7"/>
      <w:bookmarkEnd w:id="8"/>
      <w:r>
        <w:t xml:space="preserve"> </w:t>
      </w:r>
    </w:p>
    <w:p>
      <w:pPr>
        <w:pStyle w:val="CorpoAltF0"/>
        <w:spacing w:before="120"/>
      </w:pPr>
      <w:r>
        <w:t>Il premio si determinerà calcolando l’importo dei vari addendi che lo compongono; ciascun addendo, in quanto valore intermedio, dovrà essere calcolato con cinque cifre decimali.</w:t>
      </w:r>
    </w:p>
    <w:p>
      <w:pPr>
        <w:pStyle w:val="CorpoAltF0"/>
        <w:spacing w:before="60"/>
        <w:rPr>
          <w:rFonts w:ascii="Tahoma" w:hAnsi="Tahoma"/>
        </w:rPr>
      </w:pPr>
      <w:r>
        <w:t>La sommatoria di tali addendi, effettuata con cinque cifre decimali, darà luogo all'importo del premio che verrà arrotondato alla seconda cifra decimale (es.: 2.043,36500 va arrotondato a 2.043,37 - 2.043,36400 va arrotondato a 2.043,36 considerando la terza cifra decimale superiore o inferiore a 5) ovvero potrà essere arrotondato all’unità di euro.</w:t>
      </w:r>
    </w:p>
    <w:p>
      <w:pPr>
        <w:pStyle w:val="CorpoAltF0"/>
      </w:pPr>
    </w:p>
    <w:p>
      <w:pPr>
        <w:pStyle w:val="CorpoAltF0"/>
      </w:pPr>
    </w:p>
    <w:p>
      <w:pPr>
        <w:pStyle w:val="TS-titolo-04"/>
      </w:pPr>
      <w:bookmarkStart w:id="9" w:name="_Toc471235845"/>
      <w:bookmarkStart w:id="10" w:name="_Toc6329800"/>
      <w:r>
        <w:t>Versamento premi</w:t>
      </w:r>
      <w:bookmarkEnd w:id="9"/>
      <w:bookmarkEnd w:id="10"/>
      <w:r>
        <w:t xml:space="preserve"> </w:t>
      </w:r>
    </w:p>
    <w:p>
      <w:pPr>
        <w:pStyle w:val="CorpoAltF0"/>
        <w:spacing w:before="120"/>
      </w:pPr>
      <w:r>
        <w:t>Il calcolo viene effettuato rispettando la struttura in PAT evidenziate nelle sezioni del modello 10SM. Le situazioni a debito e a credito delle diverse PAT dell’azienda vengono ricondotte in un unico risultato e quindi ad un solo versamento da effettuare utilizzando il codice cliente.</w:t>
      </w:r>
    </w:p>
    <w:p>
      <w:pPr>
        <w:pStyle w:val="CorpoAltF0"/>
      </w:pPr>
      <w:r>
        <w:t xml:space="preserve">I contributi associativi vanno versati nel modello F24 con appositi codici separatamente dai premi. </w:t>
      </w:r>
    </w:p>
    <w:p>
      <w:pPr>
        <w:pStyle w:val="CorpoAltF0"/>
        <w:spacing w:before="120"/>
      </w:pPr>
      <w:r>
        <w:t xml:space="preserve">Il versamento del premio (in unica soluzione o come prima rata) deve avvenire entro il </w:t>
      </w:r>
      <w:r>
        <w:rPr>
          <w:b/>
        </w:rPr>
        <w:t>16 maggio 2019</w:t>
      </w:r>
      <w:r>
        <w:t>.</w:t>
      </w:r>
    </w:p>
    <w:p>
      <w:pPr>
        <w:pStyle w:val="CorpoAltF0"/>
      </w:pPr>
    </w:p>
    <w:p>
      <w:pPr>
        <w:pStyle w:val="CorpoAltF0"/>
      </w:pPr>
    </w:p>
    <w:p>
      <w:pPr>
        <w:pStyle w:val="TS-titolo-04"/>
      </w:pPr>
      <w:bookmarkStart w:id="11" w:name="_Toc471235846"/>
      <w:bookmarkStart w:id="12" w:name="_Toc6329801"/>
      <w:r>
        <w:t>Rateazione del premio da autoliquidazione</w:t>
      </w:r>
      <w:bookmarkEnd w:id="11"/>
      <w:bookmarkEnd w:id="12"/>
    </w:p>
    <w:p>
      <w:pPr>
        <w:pStyle w:val="CorpoAltF0"/>
        <w:spacing w:before="120"/>
      </w:pPr>
      <w:r>
        <w:t>Il premio di autoliquidazione può essere pagato in quattro rate di uguale importo, con applicazione di interessi. Il datore di lavoro deve manifestare la volontà di avvalersi del beneficio della rateazione, barrando casella “SI” nell’apposito campo,</w:t>
      </w:r>
      <w:r>
        <w:rPr>
          <w:sz w:val="19"/>
          <w:szCs w:val="19"/>
        </w:rPr>
        <w:t xml:space="preserve"> </w:t>
      </w:r>
      <w:r>
        <w:t>solo se accede per la prima volta a tale beneficio e comunque se non ha già espresso tale volontà nella precedente Autoliquidazione.</w:t>
      </w:r>
    </w:p>
    <w:p>
      <w:pPr>
        <w:pStyle w:val="CorpoAltF0"/>
      </w:pPr>
      <w:r>
        <w:t>Il datore di lavoro che non intende più pagare in quattro rate, deve manifestare tale volontà barrando la casella “NO”. Non barrando alcuna casella, verrà confermata la modalità già applicata nella precedente autoliquidazione.</w:t>
      </w:r>
    </w:p>
    <w:p>
      <w:pPr>
        <w:pStyle w:val="CorpoAltF0"/>
      </w:pPr>
      <w:r>
        <w:t xml:space="preserve">Per l’Autoliquidazione 2018 / 2019, in funzione del differimento dei termini di versamento, il pagamento della </w:t>
      </w:r>
      <w:proofErr w:type="gramStart"/>
      <w:r>
        <w:t>1^</w:t>
      </w:r>
      <w:proofErr w:type="gramEnd"/>
      <w:r>
        <w:t xml:space="preserve"> e della 2^ rata deve essere effettuato entro il 16 maggio 2019, versando il 50% dell’importo complessivamente dovuto, comprensivo di ANMIL.</w:t>
      </w:r>
    </w:p>
    <w:p>
      <w:pPr>
        <w:pStyle w:val="CorpoAltF0"/>
      </w:pPr>
      <w:r>
        <w:t xml:space="preserve">La 3^ e 4^ rata, ognuna pari al 25% del premio annuale, devono essere versate entro il giorno 20 agosto 2019 (art. 3-quater del </w:t>
      </w:r>
      <w:proofErr w:type="spellStart"/>
      <w:r>
        <w:t>d.l.</w:t>
      </w:r>
      <w:proofErr w:type="spellEnd"/>
      <w:r>
        <w:t xml:space="preserve"> 16/2012 convertito dalla l. 44/2012) e 18 novembre 2019, maggiorate degli interessi calcolati applicando il tasso medio di interesse dei titoli di Stato per l’anno 2018 (determinato dal MEF e pubblicato in </w:t>
      </w:r>
      <w:hyperlink r:id="rId12" w:history="1">
        <w:r>
          <w:rPr>
            <w:rStyle w:val="Collegamentoipertestuale"/>
          </w:rPr>
          <w:t>http://www.dt.tesoro.it/it/debito_pubblico/dati_statistici/principali_tassi_di_interesse</w:t>
        </w:r>
      </w:hyperlink>
      <w:r>
        <w:t xml:space="preserve"> ).</w:t>
      </w:r>
    </w:p>
    <w:p>
      <w:pPr>
        <w:pStyle w:val="CorpoAltF0"/>
      </w:pPr>
    </w:p>
    <w:p>
      <w:pPr>
        <w:pStyle w:val="CorpoAltF0"/>
      </w:pPr>
      <w:r>
        <w:br w:type="page"/>
      </w:r>
    </w:p>
    <w:p>
      <w:pPr>
        <w:pStyle w:val="CorpoAltF0"/>
        <w:rPr>
          <w:highlight w:val="yellow"/>
        </w:rPr>
      </w:pPr>
    </w:p>
    <w:p>
      <w:pPr>
        <w:pStyle w:val="TS-titolo-05"/>
      </w:pPr>
      <w:bookmarkStart w:id="13" w:name="_Toc471235847"/>
      <w:bookmarkStart w:id="14" w:name="_Toc6329802"/>
      <w:r>
        <w:t>Compensazioni</w:t>
      </w:r>
      <w:bookmarkEnd w:id="13"/>
      <w:bookmarkEnd w:id="14"/>
    </w:p>
    <w:p>
      <w:pPr>
        <w:pStyle w:val="CorpoAltF0"/>
        <w:spacing w:before="120"/>
      </w:pPr>
      <w:r>
        <w:t>Ai sensi dell’art. 44 del T.U. 30/6/1965 n. 1124, il datore di lavoro può detrarre l’importo dovuto a titolo di premio anticipato per l’anno in corso dall’eventuale credito risultante dalla regolazione dei premi dell’esercizio precedente. In tal caso nello spazio previsto sul modello F24 e designato dalla dicitura “importi a debito versati” dovrà essere indicato il risultato netto della compensazione. Qualora si intenda compensare quanto dovuto per autoliquidazione con un credito preesistente, si dovrà compilare due righe della sezione INAIL del modello F24 indicando, nella prima, il progressivo dell’autoliquidazione e il relativo importo nel campo “importi a debito versati”, nella seconda il progressivo del credito indicando il relativo importo nel campo “importi a credito compensati”. Per avvalersi di tale ultima modalità è necessario acquisire il preventivo assenso della Sede Inail competente in ordine alla effettiva sussistenza del credito medesimo. Tale modalità di compensazione in F24 è manuale.</w:t>
      </w:r>
    </w:p>
    <w:p>
      <w:pPr>
        <w:pStyle w:val="CorpoAltF0"/>
      </w:pPr>
    </w:p>
    <w:p>
      <w:pPr>
        <w:pStyle w:val="CorpoAltF0"/>
      </w:pPr>
    </w:p>
    <w:p>
      <w:pPr>
        <w:pStyle w:val="TS-titolo-04"/>
      </w:pPr>
      <w:bookmarkStart w:id="15" w:name="_Toc471235848"/>
      <w:bookmarkStart w:id="16" w:name="_Toc6329803"/>
      <w:r>
        <w:t>Dichiarazione delle retribuzioni</w:t>
      </w:r>
      <w:bookmarkEnd w:id="15"/>
      <w:bookmarkEnd w:id="16"/>
    </w:p>
    <w:p>
      <w:pPr>
        <w:pStyle w:val="CorpoAltF0"/>
        <w:spacing w:before="120"/>
      </w:pPr>
      <w:r>
        <w:t xml:space="preserve">La dichiarazione delle retribuzioni deve essere presentata e compilata in tutti i suoi campi. </w:t>
      </w:r>
    </w:p>
    <w:p>
      <w:pPr>
        <w:pStyle w:val="CorpoAltF0"/>
        <w:spacing w:before="120"/>
      </w:pPr>
      <w:r>
        <w:t>Le aziende artigiane senza dipendenti, per le quali dalle basi di calcolo del premio risulta una rata anticipata 2018, comprensiva di premio artigiani e premio dipendenti, nonché le aziende non artigiane che hanno occupato solo apprendisti nell’anno precedente, devono indicare il valore “0” nel campo “</w:t>
      </w:r>
      <w:r>
        <w:rPr>
          <w:i/>
        </w:rPr>
        <w:t>Retribuzioni complessive</w:t>
      </w:r>
      <w:r>
        <w:t>”.</w:t>
      </w:r>
    </w:p>
    <w:p>
      <w:pPr>
        <w:pStyle w:val="CorpoAltF0"/>
      </w:pPr>
    </w:p>
    <w:p>
      <w:pPr>
        <w:pStyle w:val="CorpoAltF0"/>
      </w:pPr>
    </w:p>
    <w:p>
      <w:pPr>
        <w:pStyle w:val="TS-titolo-04"/>
      </w:pPr>
      <w:bookmarkStart w:id="17" w:name="_Toc471235849"/>
      <w:bookmarkStart w:id="18" w:name="_Toc6329804"/>
      <w:r>
        <w:t>Soggetti esonerati dall’obbligo della dichiarazione delle retribuzioni</w:t>
      </w:r>
      <w:bookmarkEnd w:id="17"/>
      <w:bookmarkEnd w:id="18"/>
    </w:p>
    <w:p>
      <w:pPr>
        <w:pStyle w:val="CorpoAltF0"/>
        <w:spacing w:before="120"/>
      </w:pPr>
      <w:r>
        <w:t xml:space="preserve">Sono esonerate dall’obbligo di dichiarazione le aziende artigiane che non hanno occupato dipendenti nell’anno precedente ovvero abbiano occupato solo lavoratori con qualifica di apprendista. </w:t>
      </w:r>
    </w:p>
    <w:p>
      <w:pPr>
        <w:pStyle w:val="CorpoAltF0"/>
      </w:pPr>
      <w:r>
        <w:t>Le aziende artigiane che presentano tali caratteristiche non devono pertanto presentare il file telematico.</w:t>
      </w:r>
    </w:p>
    <w:p>
      <w:pPr>
        <w:pStyle w:val="CorpoAltF0"/>
      </w:pPr>
      <w:r>
        <w:t>Nella sezione “</w:t>
      </w:r>
      <w:r>
        <w:rPr>
          <w:i/>
        </w:rPr>
        <w:t>10SM</w:t>
      </w:r>
      <w:r>
        <w:t>” della tabella “</w:t>
      </w:r>
      <w:r>
        <w:rPr>
          <w:i/>
        </w:rPr>
        <w:t>Personalizzazione procedura</w:t>
      </w:r>
      <w:r>
        <w:t>” (</w:t>
      </w:r>
      <w:r>
        <w:rPr>
          <w:b/>
        </w:rPr>
        <w:t>TB1203</w:t>
      </w:r>
      <w:r>
        <w:t>), è presente il campo “</w:t>
      </w:r>
      <w:r>
        <w:rPr>
          <w:b/>
          <w:i/>
        </w:rPr>
        <w:t>Generazione telematico ditte artigiane senza dipendenti</w:t>
      </w:r>
      <w:r>
        <w:t>” (cod. 107) che se compilato a “</w:t>
      </w:r>
      <w:r>
        <w:rPr>
          <w:b/>
        </w:rPr>
        <w:t>S</w:t>
      </w:r>
      <w:r>
        <w:t>” consente comunque di generare il telematico anche per tali aziende.</w:t>
      </w:r>
    </w:p>
    <w:p>
      <w:pPr>
        <w:pStyle w:val="CorpoAltF0"/>
        <w:spacing w:before="120"/>
      </w:pPr>
      <w:r>
        <w:t>L’esonero non si applica alle aziende artigiane che hanno pagato (in sede di autoliquidazione dell’anno precedente) un premio anticipato per i dipendenti.</w:t>
      </w:r>
    </w:p>
    <w:p>
      <w:pPr>
        <w:pStyle w:val="CorpoAltF0"/>
        <w:spacing w:before="60"/>
      </w:pPr>
      <w:r>
        <w:t>Nel caso in cui l’azienda artigiana senza dipendenti intenda avvalersi della rateazione dei premi, dovrà comunque presentare la dichiarazione delle retribuzioni al fine di manifestare tale volontà, barrando la casella “SI” nel campo relativo alla rateazione.</w:t>
      </w:r>
    </w:p>
    <w:p>
      <w:pPr>
        <w:pStyle w:val="CorpoAltF0"/>
        <w:spacing w:before="60"/>
      </w:pPr>
      <w:r>
        <w:t>Allo stesso modo, l’azienda artigiana senza dipendenti che intende fruire della riduzione prevista dall’art.1, commi 780 e781, della legge n. 296/2006, deve ugualmente presentare la dichiarazione delle retribuzioni, barrando la casella “</w:t>
      </w:r>
      <w:r>
        <w:rPr>
          <w:i/>
        </w:rPr>
        <w:t>SI – Certifico di essere in possesso dei requisiti ex lege 296/2006, art. 1, commi 780 e 781</w:t>
      </w:r>
      <w:r>
        <w:t xml:space="preserve">”. </w:t>
      </w:r>
    </w:p>
    <w:p>
      <w:pPr>
        <w:pStyle w:val="CorpoAltF0"/>
        <w:spacing w:before="60"/>
      </w:pPr>
      <w:r>
        <w:t>Il programma controlla per le aziende artigiane la presenza di un importo anticipato e/o del flag di rateizzazione e/o la valorizzazione del campo “</w:t>
      </w:r>
      <w:r>
        <w:rPr>
          <w:i/>
        </w:rPr>
        <w:t>Requisiti ex l.296/06 art. 1 c. 780/781</w:t>
      </w:r>
      <w:r>
        <w:t>” della scheda “</w:t>
      </w:r>
      <w:r>
        <w:rPr>
          <w:i/>
        </w:rPr>
        <w:t>Dati contributivi</w:t>
      </w:r>
      <w:r>
        <w:t xml:space="preserve">” di </w:t>
      </w:r>
      <w:r>
        <w:rPr>
          <w:b/>
        </w:rPr>
        <w:t>AZIE</w:t>
      </w:r>
      <w:r>
        <w:t>.</w:t>
      </w:r>
    </w:p>
    <w:p>
      <w:pPr>
        <w:pStyle w:val="CorpoAltF0"/>
        <w:rPr>
          <w:highlight w:val="yellow"/>
        </w:rPr>
      </w:pPr>
    </w:p>
    <w:p>
      <w:pPr>
        <w:pStyle w:val="CorpoAltF0"/>
      </w:pPr>
    </w:p>
    <w:p>
      <w:pPr>
        <w:pStyle w:val="TS-titolo-04"/>
      </w:pPr>
      <w:bookmarkStart w:id="19" w:name="_Toc471235850"/>
      <w:bookmarkStart w:id="20" w:name="_Toc6329805"/>
      <w:r>
        <w:t>Modalità di presentazione delle dichiarazioni</w:t>
      </w:r>
      <w:bookmarkEnd w:id="19"/>
      <w:bookmarkEnd w:id="20"/>
    </w:p>
    <w:p>
      <w:pPr>
        <w:pStyle w:val="CorpoAltF0"/>
        <w:spacing w:before="120"/>
      </w:pPr>
      <w:r>
        <w:t>La presentazione della denuncia salari può avvenire tramite:</w:t>
      </w:r>
    </w:p>
    <w:p>
      <w:pPr>
        <w:pStyle w:val="CorpoAltF0"/>
        <w:numPr>
          <w:ilvl w:val="0"/>
          <w:numId w:val="6"/>
        </w:numPr>
        <w:spacing w:before="60"/>
        <w:ind w:left="426" w:hanging="284"/>
      </w:pPr>
      <w:r>
        <w:t xml:space="preserve">invio telematico della dichiarazione in formato elettronico attraverso il servizio “Autoliquidazione: Invio Telematico Dichiarazione Salari” sul portale INAIL (entro il </w:t>
      </w:r>
      <w:r>
        <w:rPr>
          <w:b/>
        </w:rPr>
        <w:t>16 maggio 2019</w:t>
      </w:r>
      <w:r>
        <w:t>).</w:t>
      </w:r>
    </w:p>
    <w:p>
      <w:pPr>
        <w:pStyle w:val="CorpoAltF0"/>
        <w:numPr>
          <w:ilvl w:val="0"/>
          <w:numId w:val="6"/>
        </w:numPr>
        <w:spacing w:before="60"/>
        <w:ind w:left="426" w:hanging="284"/>
      </w:pPr>
      <w:r>
        <w:t xml:space="preserve">modello cartaceo presso la sede </w:t>
      </w:r>
      <w:proofErr w:type="spellStart"/>
      <w:r>
        <w:t>inail</w:t>
      </w:r>
      <w:proofErr w:type="spellEnd"/>
      <w:r>
        <w:t xml:space="preserve">, per le sole aziende che hanno cessato l’attività; </w:t>
      </w:r>
    </w:p>
    <w:p>
      <w:pPr>
        <w:pStyle w:val="CorpoAltF0"/>
      </w:pPr>
    </w:p>
    <w:p>
      <w:pPr>
        <w:pStyle w:val="CorpoAltF0"/>
      </w:pPr>
      <w:r>
        <w:br w:type="page"/>
      </w:r>
    </w:p>
    <w:p>
      <w:pPr>
        <w:pStyle w:val="CorpoAltF0"/>
        <w:rPr>
          <w:highlight w:val="yellow"/>
        </w:rPr>
      </w:pPr>
    </w:p>
    <w:p>
      <w:pPr>
        <w:pStyle w:val="TS-titolo-04"/>
      </w:pPr>
      <w:bookmarkStart w:id="21" w:name="_Toc471235851"/>
      <w:bookmarkStart w:id="22" w:name="_Toc6329806"/>
      <w:r>
        <w:t>Invio telematico delle dichiarazioni delle retribuzioni</w:t>
      </w:r>
      <w:bookmarkEnd w:id="21"/>
      <w:bookmarkEnd w:id="22"/>
    </w:p>
    <w:p>
      <w:pPr>
        <w:pStyle w:val="CorpoAltF0"/>
        <w:spacing w:before="120"/>
      </w:pPr>
      <w:r>
        <w:t>I soggetti che dovessero fare uso di procedure proprietarie per la determinazione del premio potranno comunque usufruire delle funzioni on line anche se solo per inviare le dichiarazioni in formato elettronico. In questo caso, una volta espletata la procedura di riconoscimento, dovranno far uso della funzione “Invio telematico dichiarazione salari”. La procedura chiederà di specificare il percorso di memorizzazione del file e, confermando, la dichiarazione sarà inoltrata verso gli archivi dell’Istituto. Al momento dell’invio il file viene sottoposto a controlli formali e sostanziali e dell’esito dell’operazione viene dato immediato riscontro con una ricevuta a video, copia della quale, insieme alla riproduzione dell’immagine delle dichiarazioni appena trasmesse, verrà inviata tramite posta elettronica al soggetto che ha compiuto l’operazione.</w:t>
      </w:r>
    </w:p>
    <w:p>
      <w:pPr>
        <w:pStyle w:val="CorpoAltF0"/>
      </w:pPr>
      <w:r>
        <w:t>Nel caso in cui la ditta possa usufruire di più di tre sconti (numero massimo che può essere inserito nel file telematico) non è possibile presentare tale denuncia tramite l’invio telematico, ma dovrà essere presentata esclusivamente con il modello cartaceo.</w:t>
      </w:r>
    </w:p>
    <w:p>
      <w:pPr>
        <w:pStyle w:val="CorpoAltF0"/>
      </w:pPr>
    </w:p>
    <w:p>
      <w:pPr>
        <w:pStyle w:val="CorpoAltF0"/>
        <w:rPr>
          <w:highlight w:val="yellow"/>
        </w:rPr>
      </w:pPr>
    </w:p>
    <w:p>
      <w:pPr>
        <w:pStyle w:val="TS-titolo-04"/>
      </w:pPr>
      <w:bookmarkStart w:id="23" w:name="_Toc471235852"/>
      <w:bookmarkStart w:id="24" w:name="_Toc6329807"/>
      <w:r>
        <w:t>Comunicazione della riduzione delle retribuzioni presunte</w:t>
      </w:r>
      <w:bookmarkEnd w:id="23"/>
      <w:bookmarkEnd w:id="24"/>
    </w:p>
    <w:p>
      <w:pPr>
        <w:pStyle w:val="CorpoAltF0"/>
        <w:spacing w:before="120"/>
      </w:pPr>
      <w:r>
        <w:t>Un ulteriore servizio telematico riguarda la possibilità data ai datori di lavoro di ridurre le retribuzioni presunte da utilizzare per il calcolo del premio anticipato. Ove ne ricorrano i motivi (diminuzione del personale per licenziamenti o dimissioni volontarie, ricorso alla cassa integrazione guadagni, ridimensionamento della forza lavoro o altro) ed entro il termine fissato per il pagamento dei premi INAIL (16 maggio) è possibile operare comunicando la riduzione in via telematica.</w:t>
      </w:r>
    </w:p>
    <w:p>
      <w:pPr>
        <w:pStyle w:val="CorpoAltF0"/>
        <w:rPr>
          <w:highlight w:val="yellow"/>
        </w:rPr>
      </w:pPr>
    </w:p>
    <w:p>
      <w:pPr>
        <w:pStyle w:val="CorpoAltF0"/>
        <w:rPr>
          <w:highlight w:val="yellow"/>
        </w:rPr>
      </w:pPr>
      <w:r>
        <w:rPr>
          <w:highlight w:val="yellow"/>
        </w:rPr>
        <w:br w:type="page"/>
      </w:r>
    </w:p>
    <w:p>
      <w:pPr>
        <w:pStyle w:val="CorpoAltF0"/>
        <w:rPr>
          <w:highlight w:val="yellow"/>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783"/>
        <w:gridCol w:w="2856"/>
      </w:tblGrid>
      <w:tr>
        <w:trPr>
          <w:trHeight w:val="558"/>
        </w:trPr>
        <w:tc>
          <w:tcPr>
            <w:tcW w:w="6874" w:type="dxa"/>
            <w:tcBorders>
              <w:top w:val="nil"/>
              <w:left w:val="nil"/>
              <w:bottom w:val="single" w:sz="12" w:space="0" w:color="auto"/>
              <w:right w:val="nil"/>
            </w:tcBorders>
            <w:vAlign w:val="center"/>
          </w:tcPr>
          <w:p>
            <w:pPr>
              <w:pStyle w:val="TS-titolo-01"/>
              <w:outlineLvl w:val="0"/>
            </w:pPr>
            <w:bookmarkStart w:id="25" w:name="_Toc6329808"/>
            <w:r>
              <w:t>Gestione Software</w:t>
            </w:r>
            <w:bookmarkEnd w:id="25"/>
          </w:p>
        </w:tc>
        <w:tc>
          <w:tcPr>
            <w:tcW w:w="2901" w:type="dxa"/>
            <w:tcBorders>
              <w:top w:val="single" w:sz="4" w:space="0" w:color="auto"/>
              <w:left w:val="nil"/>
              <w:bottom w:val="single" w:sz="4" w:space="0" w:color="auto"/>
              <w:right w:val="nil"/>
            </w:tcBorders>
            <w:shd w:val="clear" w:color="auto" w:fill="000000"/>
            <w:vAlign w:val="center"/>
          </w:tcPr>
          <w:p>
            <w:pPr>
              <w:pStyle w:val="TS-titolo-02"/>
              <w:outlineLvl w:val="0"/>
            </w:pPr>
          </w:p>
        </w:tc>
      </w:tr>
    </w:tbl>
    <w:p>
      <w:pPr>
        <w:pStyle w:val="CorpoAltF0"/>
        <w:rPr>
          <w:highlight w:val="yellow"/>
        </w:rPr>
      </w:pPr>
    </w:p>
    <w:p>
      <w:pPr>
        <w:pStyle w:val="TS-titolo-04"/>
      </w:pPr>
      <w:bookmarkStart w:id="26" w:name="_Toc471235833"/>
      <w:bookmarkStart w:id="27" w:name="_Toc6329809"/>
      <w:r>
        <w:t>Gestione riduzioni contributive</w:t>
      </w:r>
      <w:bookmarkEnd w:id="26"/>
      <w:bookmarkEnd w:id="27"/>
    </w:p>
    <w:p>
      <w:pPr>
        <w:pStyle w:val="TS-titolo-05"/>
      </w:pPr>
      <w:bookmarkStart w:id="28" w:name="_Toc471235834"/>
      <w:bookmarkStart w:id="29" w:name="_Toc6329810"/>
      <w:r>
        <w:t>Riduzione ex L. 147/2013 (art. 1, co. 128)</w:t>
      </w:r>
      <w:bookmarkEnd w:id="28"/>
      <w:bookmarkEnd w:id="29"/>
    </w:p>
    <w:p>
      <w:pPr>
        <w:pStyle w:val="CorpoAltF0"/>
        <w:spacing w:before="120"/>
      </w:pPr>
      <w:r>
        <w:t>Con riferimento all’autoliquidazione 2018/2019, la riduzione in oggetto risulta applicabile al solo premio di regolazione 2018, nella misura del 15,81%.</w:t>
      </w:r>
    </w:p>
    <w:p>
      <w:pPr>
        <w:pStyle w:val="CorpoAltF0"/>
        <w:spacing w:before="120"/>
      </w:pPr>
      <w:r>
        <w:t>All’interno delle basi di calcolo predisposte dall’INAIL, per ciascuna PAT/Voce e ciascun soggetto autonomo artigiano presente, viene evidenziata la spettanza o meno della riduzione in questione con riferimento alla sola regolazione 2018; in caso di spettanza, nel campo “</w:t>
      </w:r>
      <w:r>
        <w:rPr>
          <w:i/>
        </w:rPr>
        <w:t>Riduzione legge 147/2013</w:t>
      </w:r>
      <w:r>
        <w:t>” delle basi di calcolo risulterà evidenziata la percentuale di riduzione da applicare (15,81%).</w:t>
      </w:r>
    </w:p>
    <w:p>
      <w:pPr>
        <w:pStyle w:val="CorpoAltF0"/>
      </w:pPr>
    </w:p>
    <w:p>
      <w:pPr>
        <w:pStyle w:val="CorpoAltF0"/>
      </w:pPr>
      <w:r>
        <w:t>Ai fini della gestione della riduzione in oggetto, sono previste le impostazioni di seguito riepilogate.</w:t>
      </w:r>
    </w:p>
    <w:p>
      <w:pPr>
        <w:pStyle w:val="CorpoAltF0"/>
        <w:rPr>
          <w:highlight w:val="yellow"/>
        </w:rPr>
      </w:pPr>
    </w:p>
    <w:p>
      <w:pPr>
        <w:pStyle w:val="CorpoAltF0"/>
        <w:numPr>
          <w:ilvl w:val="0"/>
          <w:numId w:val="24"/>
        </w:numPr>
        <w:ind w:left="284" w:hanging="284"/>
        <w:rPr>
          <w:b/>
          <w:u w:val="single"/>
        </w:rPr>
      </w:pPr>
      <w:r>
        <w:rPr>
          <w:b/>
          <w:u w:val="single"/>
        </w:rPr>
        <w:t xml:space="preserve">TB0703 – Tabella </w:t>
      </w:r>
      <w:r>
        <w:rPr>
          <w:b/>
          <w:i/>
          <w:u w:val="single"/>
        </w:rPr>
        <w:t>Classe di rischio e parametri</w:t>
      </w:r>
    </w:p>
    <w:p>
      <w:pPr>
        <w:pStyle w:val="CorpoAltF0"/>
        <w:spacing w:before="60"/>
        <w:ind w:left="284"/>
      </w:pPr>
      <w:r>
        <w:t>Nella tabella in oggetto, relativa al 2018, risulta indicata la suddetta percentuale di riduzione del 15,81% con riferimento alla riduzione L. 147/13 su regolazione:</w:t>
      </w:r>
    </w:p>
    <w:p>
      <w:pPr>
        <w:pStyle w:val="CorpoAltF0"/>
        <w:spacing w:before="120"/>
        <w:ind w:left="284"/>
        <w:jc w:val="center"/>
        <w:rPr>
          <w:highlight w:val="yellow"/>
        </w:rPr>
      </w:pPr>
      <w:r>
        <w:rPr>
          <w:noProof/>
        </w:rPr>
        <w:drawing>
          <wp:inline distT="0" distB="0" distL="0" distR="0">
            <wp:extent cx="5760000" cy="2829505"/>
            <wp:effectExtent l="0" t="0" r="0" b="952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000" cy="2829505"/>
                    </a:xfrm>
                    <a:prstGeom prst="rect">
                      <a:avLst/>
                    </a:prstGeom>
                  </pic:spPr>
                </pic:pic>
              </a:graphicData>
            </a:graphic>
          </wp:inline>
        </w:drawing>
      </w:r>
    </w:p>
    <w:p>
      <w:pPr>
        <w:pStyle w:val="CorpoAltF0"/>
        <w:ind w:left="284"/>
        <w:rPr>
          <w:highlight w:val="yellow"/>
        </w:rPr>
      </w:pPr>
    </w:p>
    <w:p>
      <w:pPr>
        <w:pStyle w:val="CorpoAltF0"/>
        <w:ind w:left="284"/>
        <w:rPr>
          <w:highlight w:val="yellow"/>
        </w:rPr>
      </w:pPr>
    </w:p>
    <w:p>
      <w:pPr>
        <w:pStyle w:val="CorpoAltF0"/>
        <w:numPr>
          <w:ilvl w:val="0"/>
          <w:numId w:val="24"/>
        </w:numPr>
        <w:ind w:left="284" w:hanging="284"/>
        <w:rPr>
          <w:b/>
          <w:u w:val="single"/>
        </w:rPr>
      </w:pPr>
      <w:r>
        <w:rPr>
          <w:b/>
          <w:u w:val="single"/>
        </w:rPr>
        <w:t>AZIE – Posizioni INAIL</w:t>
      </w:r>
    </w:p>
    <w:p>
      <w:pPr>
        <w:pStyle w:val="CorpoAltF0"/>
        <w:spacing w:before="60"/>
        <w:ind w:left="284"/>
        <w:rPr>
          <w:highlight w:val="yellow"/>
        </w:rPr>
      </w:pPr>
      <w:r>
        <w:t>Ai fini dell’applicazione della riduzione in oggetto, il programma verifica la compilazione del campo “</w:t>
      </w:r>
      <w:r>
        <w:rPr>
          <w:i/>
        </w:rPr>
        <w:t>L. 147/13</w:t>
      </w:r>
      <w:r>
        <w:t>” presente nella gestione delle singole PAT/Voci relative alle posizioni INAIL azienda del 2018 per applicazione della riduzione sulla regolazione (con riferimento al 2019, tale campo risulta disabilitato).</w:t>
      </w:r>
    </w:p>
    <w:p>
      <w:pPr>
        <w:pStyle w:val="CorpoAltF0"/>
        <w:ind w:left="284"/>
        <w:rPr>
          <w:highlight w:val="yellow"/>
        </w:rPr>
      </w:pPr>
    </w:p>
    <w:p>
      <w:pPr>
        <w:pStyle w:val="CorpoAltF0"/>
        <w:ind w:left="284"/>
      </w:pPr>
      <w:r>
        <w:t>Nella sezione relativa ai soci artigiani (pulsante “</w:t>
      </w:r>
      <w:r>
        <w:rPr>
          <w:i/>
        </w:rPr>
        <w:t>Funzioni &gt; Soci</w:t>
      </w:r>
      <w:r>
        <w:t>” della singola posizione INAIL azienda) e nella sezione relativa agli associati in partecipazione (sez. “</w:t>
      </w:r>
      <w:r>
        <w:rPr>
          <w:i/>
        </w:rPr>
        <w:t>Progressivi &gt; Associati in partecipazione</w:t>
      </w:r>
      <w:r>
        <w:t xml:space="preserve">” di </w:t>
      </w:r>
      <w:r>
        <w:rPr>
          <w:b/>
        </w:rPr>
        <w:t>DIPE</w:t>
      </w:r>
      <w:r>
        <w:t>), non essendo associate all’anno di riferimento, è necessario selezionare l’opzione “</w:t>
      </w:r>
      <w:r>
        <w:rPr>
          <w:i/>
        </w:rPr>
        <w:t>Regolazione</w:t>
      </w:r>
      <w:r>
        <w:t>” al campo “</w:t>
      </w:r>
      <w:r>
        <w:rPr>
          <w:i/>
        </w:rPr>
        <w:t>L. 147/13</w:t>
      </w:r>
      <w:r>
        <w:t>” (si precisa comunque che, indipendentemente dalla compilazione di tale campo, il programma non procederà al calcolo della riduzione in oggetto con riferimento all’importo dei rata 2019):</w:t>
      </w:r>
    </w:p>
    <w:p>
      <w:pPr>
        <w:pStyle w:val="CorpoAltF0"/>
        <w:ind w:left="284"/>
      </w:pPr>
    </w:p>
    <w:p>
      <w:pPr>
        <w:pStyle w:val="CorpoAltF0"/>
        <w:spacing w:before="120"/>
        <w:ind w:left="284"/>
        <w:jc w:val="center"/>
        <w:rPr>
          <w:highlight w:val="yellow"/>
        </w:rPr>
      </w:pPr>
      <w:r>
        <w:rPr>
          <w:noProof/>
        </w:rPr>
        <w:lastRenderedPageBreak/>
        <w:drawing>
          <wp:inline distT="0" distB="0" distL="0" distR="0">
            <wp:extent cx="5760000" cy="2901811"/>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000" cy="2901811"/>
                    </a:xfrm>
                    <a:prstGeom prst="rect">
                      <a:avLst/>
                    </a:prstGeom>
                  </pic:spPr>
                </pic:pic>
              </a:graphicData>
            </a:graphic>
          </wp:inline>
        </w:drawing>
      </w:r>
      <w:r>
        <w:rPr>
          <w:noProof/>
        </w:rPr>
        <w:t xml:space="preserve"> </w:t>
      </w:r>
    </w:p>
    <w:p>
      <w:pPr>
        <w:pStyle w:val="CorpoAltF0"/>
        <w:ind w:left="284"/>
      </w:pPr>
    </w:p>
    <w:p>
      <w:pPr>
        <w:pStyle w:val="CorpoAltF0"/>
        <w:numPr>
          <w:ilvl w:val="0"/>
          <w:numId w:val="24"/>
        </w:numPr>
        <w:spacing w:before="60"/>
        <w:ind w:left="284" w:hanging="284"/>
        <w:rPr>
          <w:b/>
          <w:u w:val="single"/>
        </w:rPr>
      </w:pPr>
      <w:r>
        <w:rPr>
          <w:b/>
          <w:u w:val="single"/>
        </w:rPr>
        <w:t>AGGTAS – Aggiornamento da file basi di calcolo INAIL</w:t>
      </w:r>
    </w:p>
    <w:p>
      <w:pPr>
        <w:pStyle w:val="CorpoAltF0"/>
        <w:spacing w:before="60"/>
        <w:ind w:left="284"/>
      </w:pPr>
      <w:r>
        <w:t xml:space="preserve">Il comando </w:t>
      </w:r>
      <w:r>
        <w:rPr>
          <w:b/>
        </w:rPr>
        <w:t>AGGTAS</w:t>
      </w:r>
      <w:r>
        <w:t xml:space="preserve"> (v. pag. </w:t>
      </w:r>
      <w:r>
        <w:fldChar w:fldCharType="begin"/>
      </w:r>
      <w:r>
        <w:instrText xml:space="preserve"> PAGEREF AGGTAS \h </w:instrText>
      </w:r>
      <w:r>
        <w:fldChar w:fldCharType="separate"/>
      </w:r>
      <w:r>
        <w:rPr>
          <w:noProof/>
        </w:rPr>
        <w:t>12</w:t>
      </w:r>
      <w:r>
        <w:fldChar w:fldCharType="end"/>
      </w:r>
      <w:r>
        <w:t>) consente la verifica e l’eventuale aggiornamento dei suddetti campi relativi all’applicazione della riduzione L. 147/2013 con riferimento alla regolazione, sulla base del corrispondente campo “</w:t>
      </w:r>
      <w:r>
        <w:rPr>
          <w:i/>
        </w:rPr>
        <w:t>Riduzione legge 147/2013</w:t>
      </w:r>
      <w:r>
        <w:t>” presente nel file delle basi di calcolo INAIL.</w:t>
      </w:r>
    </w:p>
    <w:p>
      <w:pPr>
        <w:pStyle w:val="CorpoAltF0"/>
        <w:ind w:left="284"/>
      </w:pPr>
    </w:p>
    <w:p>
      <w:pPr>
        <w:pStyle w:val="CorpoAltF0"/>
        <w:numPr>
          <w:ilvl w:val="0"/>
          <w:numId w:val="24"/>
        </w:numPr>
        <w:spacing w:before="60"/>
        <w:ind w:left="284" w:hanging="284"/>
        <w:rPr>
          <w:b/>
          <w:u w:val="single"/>
        </w:rPr>
      </w:pPr>
      <w:r>
        <w:rPr>
          <w:b/>
          <w:u w:val="single"/>
        </w:rPr>
        <w:t>10SM – Gestione PAT</w:t>
      </w:r>
    </w:p>
    <w:p>
      <w:pPr>
        <w:pStyle w:val="CorpoAltF0"/>
        <w:spacing w:before="60"/>
        <w:ind w:left="284"/>
      </w:pPr>
      <w:r>
        <w:t>Nella sezione “</w:t>
      </w:r>
      <w:r>
        <w:rPr>
          <w:i/>
        </w:rPr>
        <w:t>Gestione PAT</w:t>
      </w:r>
      <w:r>
        <w:t>” viene evidenziata l’applicazione o meno della riduzione in oggetto:</w:t>
      </w:r>
    </w:p>
    <w:p>
      <w:pPr>
        <w:pStyle w:val="CorpoAltF0"/>
        <w:numPr>
          <w:ilvl w:val="0"/>
          <w:numId w:val="25"/>
        </w:numPr>
        <w:spacing w:before="60"/>
        <w:ind w:left="709" w:hanging="283"/>
      </w:pPr>
      <w:r>
        <w:t>nella sezione “</w:t>
      </w:r>
      <w:r>
        <w:rPr>
          <w:b/>
          <w:i/>
        </w:rPr>
        <w:t>Tasso Inail e periodi</w:t>
      </w:r>
      <w:r>
        <w:t>” della gestione della PAT è presente il campo “</w:t>
      </w:r>
      <w:r>
        <w:rPr>
          <w:i/>
        </w:rPr>
        <w:t>Sconto L. 147/13</w:t>
      </w:r>
      <w:r>
        <w:t>”:</w:t>
      </w:r>
    </w:p>
    <w:p>
      <w:pPr>
        <w:pStyle w:val="CorpoAltF0"/>
        <w:spacing w:before="120"/>
        <w:ind w:left="284"/>
        <w:jc w:val="center"/>
        <w:rPr>
          <w:highlight w:val="yellow"/>
        </w:rPr>
      </w:pPr>
      <w:r>
        <w:rPr>
          <w:noProof/>
        </w:rPr>
        <w:drawing>
          <wp:inline distT="0" distB="0" distL="0" distR="0">
            <wp:extent cx="5760000" cy="2884482"/>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000" cy="2884482"/>
                    </a:xfrm>
                    <a:prstGeom prst="rect">
                      <a:avLst/>
                    </a:prstGeom>
                  </pic:spPr>
                </pic:pic>
              </a:graphicData>
            </a:graphic>
          </wp:inline>
        </w:drawing>
      </w:r>
    </w:p>
    <w:p>
      <w:pPr>
        <w:pStyle w:val="CorpoAltF0"/>
        <w:rPr>
          <w:highlight w:val="yellow"/>
        </w:rPr>
      </w:pPr>
    </w:p>
    <w:p>
      <w:pPr>
        <w:pStyle w:val="CorpoAltF0"/>
        <w:numPr>
          <w:ilvl w:val="0"/>
          <w:numId w:val="25"/>
        </w:numPr>
        <w:spacing w:before="60"/>
        <w:ind w:left="709" w:hanging="284"/>
      </w:pPr>
      <w:r>
        <w:t>nella sezione “</w:t>
      </w:r>
      <w:r>
        <w:rPr>
          <w:b/>
          <w:i/>
        </w:rPr>
        <w:t>Composizione nucleo artigiani</w:t>
      </w:r>
      <w:r>
        <w:t>”, è presente la casella “</w:t>
      </w:r>
      <w:r>
        <w:rPr>
          <w:i/>
        </w:rPr>
        <w:t>Sconto L. 147/13</w:t>
      </w:r>
      <w:r>
        <w:t>” in cui, con riferimento agli importi del premio speciale artigiani, viene evidenziato distintamente l’importo di riduzione calcolato.</w:t>
      </w:r>
    </w:p>
    <w:p>
      <w:pPr>
        <w:pStyle w:val="CorpoAltF0"/>
        <w:spacing w:before="60"/>
        <w:ind w:left="709"/>
      </w:pPr>
      <w:r>
        <w:t xml:space="preserve">Tale importo viene determinato applicando la percentuale indicata nella tabella </w:t>
      </w:r>
      <w:r>
        <w:rPr>
          <w:b/>
        </w:rPr>
        <w:t>TB0703</w:t>
      </w:r>
      <w:r>
        <w:t xml:space="preserve"> relativa al 2018 (15,81% su regolazione) sugli importi di premio relativo ai soggetti/classi di rischio per cui spetta tale agevolazione; si precisa che l’importo della riduzione L. 147/13 relativo al premio speciale artigiani viene calcolato sul premio al netto dell’eventuale riduzione (su regolazione) prevista per le imprese artigiane ex L. 296/2006, art. 1, commi 780 e 781 (7,09% per il 2018), evidenziata nelle relative caselle “</w:t>
      </w:r>
      <w:r>
        <w:rPr>
          <w:i/>
        </w:rPr>
        <w:t>Sconto artigiani</w:t>
      </w:r>
      <w:r>
        <w:t>”.</w:t>
      </w:r>
    </w:p>
    <w:p>
      <w:pPr>
        <w:pStyle w:val="CorpoAltF0"/>
        <w:rPr>
          <w:highlight w:val="yellow"/>
        </w:rPr>
      </w:pPr>
      <w:r>
        <w:rPr>
          <w:highlight w:val="yellow"/>
        </w:rPr>
        <w:br w:type="page"/>
      </w:r>
    </w:p>
    <w:p>
      <w:pPr>
        <w:pStyle w:val="CorpoAltF0"/>
        <w:rPr>
          <w:highlight w:val="yellow"/>
        </w:rPr>
      </w:pPr>
    </w:p>
    <w:p>
      <w:pPr>
        <w:pStyle w:val="CorpoAltF0"/>
        <w:numPr>
          <w:ilvl w:val="0"/>
          <w:numId w:val="24"/>
        </w:numPr>
        <w:spacing w:before="60"/>
        <w:ind w:left="284" w:hanging="284"/>
        <w:rPr>
          <w:b/>
          <w:u w:val="single"/>
        </w:rPr>
      </w:pPr>
      <w:r>
        <w:rPr>
          <w:b/>
          <w:u w:val="single"/>
        </w:rPr>
        <w:t>10SM – Totali PAT</w:t>
      </w:r>
    </w:p>
    <w:p>
      <w:pPr>
        <w:pStyle w:val="CorpoAltF0"/>
        <w:spacing w:before="120"/>
        <w:ind w:left="284"/>
      </w:pPr>
      <w:r>
        <w:t>Nella sezione “</w:t>
      </w:r>
      <w:r>
        <w:rPr>
          <w:i/>
        </w:rPr>
        <w:t>Totali</w:t>
      </w:r>
      <w:r>
        <w:t>” della gestione della PAT sono presenti i campi “</w:t>
      </w:r>
      <w:r>
        <w:rPr>
          <w:i/>
        </w:rPr>
        <w:t>Sconto L. 147/2013</w:t>
      </w:r>
      <w:r>
        <w:t xml:space="preserve"> </w:t>
      </w:r>
      <w:r>
        <w:rPr>
          <w:i/>
        </w:rPr>
        <w:t>reg.</w:t>
      </w:r>
      <w:r>
        <w:t>” per evidenziare la riduzione L. 147/2013 spettante.</w:t>
      </w:r>
    </w:p>
    <w:p>
      <w:pPr>
        <w:pStyle w:val="CorpoAltF0"/>
        <w:spacing w:before="120"/>
        <w:ind w:left="284"/>
      </w:pPr>
      <w:r>
        <w:t>Si precisa che, l’importo evidenziato nei campi “</w:t>
      </w:r>
      <w:r>
        <w:rPr>
          <w:i/>
        </w:rPr>
        <w:t>Sconto L. 147/2013</w:t>
      </w:r>
      <w:r>
        <w:t>”, suddiviso fra importo relativo al premio dipendenti (</w:t>
      </w:r>
      <w:proofErr w:type="gramStart"/>
      <w:r>
        <w:t>1°</w:t>
      </w:r>
      <w:proofErr w:type="gramEnd"/>
      <w:r>
        <w:t xml:space="preserve"> campo) ed importo relativo al premio speciale artigiani (2° campo), sono un “</w:t>
      </w:r>
      <w:r>
        <w:rPr>
          <w:i/>
          <w:iCs/>
        </w:rPr>
        <w:t>di cui</w:t>
      </w:r>
      <w:r>
        <w:t>” del rispettivo campo “</w:t>
      </w:r>
      <w:r>
        <w:rPr>
          <w:i/>
          <w:iCs/>
        </w:rPr>
        <w:t>Riduzioni contributive</w:t>
      </w:r>
      <w:r>
        <w:t>” (in quest’ultimo campo vengono riportati anche gli eventuali sconti relativi al settore edile, al settore della pesca, all’inserimento di disabili ed al sostegno maternità/paternità).</w:t>
      </w:r>
    </w:p>
    <w:p>
      <w:pPr>
        <w:pStyle w:val="CorpoAltF0"/>
        <w:spacing w:before="120"/>
        <w:ind w:left="284"/>
        <w:jc w:val="center"/>
        <w:rPr>
          <w:highlight w:val="yellow"/>
        </w:rPr>
      </w:pPr>
      <w:r>
        <w:rPr>
          <w:noProof/>
        </w:rPr>
        <w:drawing>
          <wp:inline distT="0" distB="0" distL="0" distR="0">
            <wp:extent cx="5760000" cy="2873725"/>
            <wp:effectExtent l="0" t="0" r="0" b="3175"/>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000" cy="2873725"/>
                    </a:xfrm>
                    <a:prstGeom prst="rect">
                      <a:avLst/>
                    </a:prstGeom>
                  </pic:spPr>
                </pic:pic>
              </a:graphicData>
            </a:graphic>
          </wp:inline>
        </w:drawing>
      </w:r>
    </w:p>
    <w:p>
      <w:pPr>
        <w:pStyle w:val="CorpoAltF0"/>
      </w:pPr>
    </w:p>
    <w:p>
      <w:pPr>
        <w:pStyle w:val="CorpoAltF0"/>
        <w:spacing w:before="60"/>
        <w:ind w:left="284"/>
      </w:pPr>
      <w:r>
        <w:t>Di seguito si riepilogano le modalità di calcolo della riduzione L. 147/13, con riferimento all’importo spettante sulla regolazione 2018.</w:t>
      </w:r>
    </w:p>
    <w:p>
      <w:pPr>
        <w:pStyle w:val="CorpoAltF0"/>
        <w:ind w:left="284"/>
        <w:rPr>
          <w:b/>
        </w:rPr>
      </w:pPr>
      <w:r>
        <w:t xml:space="preserve">Con riferimento alla </w:t>
      </w:r>
      <w:r>
        <w:rPr>
          <w:u w:val="single"/>
        </w:rPr>
        <w:t>polizza dipendenti</w:t>
      </w:r>
      <w:r>
        <w:t xml:space="preserve">, la riduzione L. 147/2013 si applica sul </w:t>
      </w:r>
      <w:r>
        <w:rPr>
          <w:b/>
        </w:rPr>
        <w:t>premio infortuni e M/P</w:t>
      </w:r>
      <w:r>
        <w:t xml:space="preserve"> (retribuzioni totali meno le quote di retribuzioni parzialmente esenti per il tasso applicato) </w:t>
      </w:r>
      <w:r>
        <w:rPr>
          <w:b/>
        </w:rPr>
        <w:t>al netto dell’importo degli eventuali sconti (edilizia, pesca, disabili e sostegno maternità/paternità) e riduzioni (Campione d’Italia, cooperative L. 240/84 operanti in zone montane o svantaggiate), nonché dell’eventuale riduzione artigiani L. 296/2006 (7,09% su regolazione).</w:t>
      </w:r>
    </w:p>
    <w:p>
      <w:pPr>
        <w:pStyle w:val="CorpoAltF0"/>
        <w:ind w:left="284"/>
        <w:rPr>
          <w:highlight w:val="yellow"/>
        </w:rPr>
      </w:pPr>
    </w:p>
    <w:p>
      <w:pPr>
        <w:pStyle w:val="CorpoAltF0"/>
        <w:ind w:left="284"/>
      </w:pPr>
      <w:r>
        <w:t>In presenza di premio per rischio silicosi/asbestosi, la riduzione L. 147/2013 viene calcolata anche su tale premio (sempre al netto dei relativi sconti).</w:t>
      </w:r>
    </w:p>
    <w:p>
      <w:pPr>
        <w:pStyle w:val="CorpoAltF0"/>
        <w:spacing w:before="120"/>
        <w:ind w:left="284"/>
        <w:rPr>
          <w:b/>
        </w:rPr>
      </w:pPr>
      <w:r>
        <w:t xml:space="preserve">Con riferimento alla </w:t>
      </w:r>
      <w:r>
        <w:rPr>
          <w:u w:val="single"/>
        </w:rPr>
        <w:t>polizza artigiani</w:t>
      </w:r>
      <w:r>
        <w:t>, la riduzione L. 147/2013 relativa al premio speciale artigiani viene determinata applicando la percentuale prevista sull’importo dovuto a titolo di regolazione per le classi di rischio rientranti nell’agevolazione (v. sezione “</w:t>
      </w:r>
      <w:r>
        <w:rPr>
          <w:i/>
          <w:iCs/>
        </w:rPr>
        <w:t>Composizione nucleo artigiano</w:t>
      </w:r>
      <w:r>
        <w:t xml:space="preserve">”), </w:t>
      </w:r>
      <w:r>
        <w:rPr>
          <w:b/>
        </w:rPr>
        <w:t>al netto della eventuale riduzione artigiani L. 296/2006</w:t>
      </w:r>
      <w:r>
        <w:t>.</w:t>
      </w:r>
    </w:p>
    <w:p>
      <w:pPr>
        <w:pStyle w:val="CorpoAltF0"/>
        <w:spacing w:before="120"/>
        <w:ind w:left="284"/>
        <w:rPr>
          <w:b/>
        </w:rPr>
      </w:pPr>
      <w:r>
        <w:t>Il contributo addizionale ANMIL ex art. 181 DPR 1124/65 (1%) viene applicato sul totale premio dovuto, al netto della riduzione L. 147/13.</w:t>
      </w:r>
    </w:p>
    <w:p>
      <w:pPr>
        <w:pStyle w:val="CorpoAltF0"/>
      </w:pPr>
    </w:p>
    <w:p>
      <w:pPr>
        <w:pStyle w:val="CorpoAltF0"/>
      </w:pPr>
      <w:r>
        <w:br w:type="page"/>
      </w:r>
    </w:p>
    <w:p>
      <w:pPr>
        <w:pStyle w:val="CorpoAltF0"/>
      </w:pPr>
    </w:p>
    <w:p>
      <w:pPr>
        <w:pStyle w:val="TS-titolo-05"/>
      </w:pPr>
      <w:bookmarkStart w:id="30" w:name="_Toc471235835"/>
      <w:bookmarkStart w:id="31" w:name="_Toc6329811"/>
      <w:r>
        <w:t>Imprese artigiane</w:t>
      </w:r>
      <w:bookmarkEnd w:id="30"/>
      <w:bookmarkEnd w:id="31"/>
    </w:p>
    <w:p>
      <w:pPr>
        <w:pStyle w:val="CorpoAltF0"/>
        <w:spacing w:before="120"/>
      </w:pPr>
      <w:r>
        <w:t xml:space="preserve">Con riferimento alla riduzione prevista dall’art. 1, c. 780 e 781, L. 296/2006 a favore delle imprese iscritte alla gestione Artigianato, la percentuale di riduzione applicabile alla regolazione 2018 è stata fissata nella misura del </w:t>
      </w:r>
      <w:r>
        <w:rPr>
          <w:b/>
        </w:rPr>
        <w:t>7,09%</w:t>
      </w:r>
      <w:r>
        <w:t xml:space="preserve"> (DM 11 ottobre 2018).</w:t>
      </w:r>
    </w:p>
    <w:p>
      <w:pPr>
        <w:pStyle w:val="CorpoAltF0"/>
        <w:spacing w:before="120"/>
      </w:pPr>
      <w:r>
        <w:t xml:space="preserve">Con l’installazione della versione </w:t>
      </w:r>
      <w:r>
        <w:rPr>
          <w:b/>
        </w:rPr>
        <w:t>PAGHE 2019.1.2</w:t>
      </w:r>
      <w:r>
        <w:t>, tale percentuale viene automaticamente inserita al campo “</w:t>
      </w:r>
      <w:r>
        <w:rPr>
          <w:i/>
        </w:rPr>
        <w:t>Calcolo sconto premio artigiani su regolazioni</w:t>
      </w:r>
      <w:r>
        <w:t xml:space="preserve">” della tabella </w:t>
      </w:r>
      <w:r>
        <w:rPr>
          <w:b/>
        </w:rPr>
        <w:t>TB0703</w:t>
      </w:r>
      <w:r>
        <w:t>, con riferimento al 2018.</w:t>
      </w:r>
    </w:p>
    <w:p>
      <w:pPr>
        <w:pStyle w:val="CorpoAltF0"/>
      </w:pPr>
    </w:p>
    <w:p>
      <w:pPr>
        <w:pStyle w:val="CorpoAltF0"/>
      </w:pPr>
      <w:r>
        <w:t xml:space="preserve">Si ricorda che tale riduzione può essere applicata se, in occasione dell’Autoliquidazione dell’anno precedente, l’azienda ha certificato di essere in possesso dei requisiti richiesti dalla legge 296/2006 barrando la relativa casella presente nella dichiarazione delle retribuzioni. </w:t>
      </w:r>
    </w:p>
    <w:p>
      <w:pPr>
        <w:pStyle w:val="CorpoAltF0"/>
        <w:spacing w:before="120"/>
      </w:pPr>
      <w:r>
        <w:t xml:space="preserve">Per verificare tale ipotesi e procedere quindi all’applicazione dell’eventuale percentuale di riduzione indicata in </w:t>
      </w:r>
      <w:r>
        <w:rPr>
          <w:b/>
        </w:rPr>
        <w:t>TB0703</w:t>
      </w:r>
      <w:r>
        <w:t xml:space="preserve"> con riferimento alla regolazione, il programma controlla che sia compilato il campo “</w:t>
      </w:r>
      <w:r>
        <w:rPr>
          <w:b/>
          <w:i/>
        </w:rPr>
        <w:t>Requisiti ex l. 296/2006 art.1 c. 780/781</w:t>
      </w:r>
      <w:r>
        <w:t xml:space="preserve"> </w:t>
      </w:r>
      <w:r>
        <w:rPr>
          <w:b/>
        </w:rPr>
        <w:t xml:space="preserve">- </w:t>
      </w:r>
      <w:r>
        <w:rPr>
          <w:b/>
          <w:i/>
        </w:rPr>
        <w:t>Anno prec.</w:t>
      </w:r>
      <w:r>
        <w:t>” presente nella scheda “</w:t>
      </w:r>
      <w:r>
        <w:rPr>
          <w:i/>
        </w:rPr>
        <w:t>Dati contributivi</w:t>
      </w:r>
      <w:r>
        <w:t xml:space="preserve">” di </w:t>
      </w:r>
      <w:r>
        <w:rPr>
          <w:b/>
        </w:rPr>
        <w:t>AZIE</w:t>
      </w:r>
      <w:r>
        <w:t>.</w:t>
      </w:r>
    </w:p>
    <w:p>
      <w:pPr>
        <w:pStyle w:val="CorpoAltF0"/>
        <w:spacing w:before="120"/>
        <w:jc w:val="center"/>
        <w:rPr>
          <w:noProof/>
        </w:rPr>
      </w:pPr>
      <w:r>
        <w:rPr>
          <w:noProof/>
        </w:rPr>
        <w:drawing>
          <wp:inline distT="0" distB="0" distL="0" distR="0">
            <wp:extent cx="5400000" cy="1676751"/>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00000" cy="1676751"/>
                    </a:xfrm>
                    <a:prstGeom prst="rect">
                      <a:avLst/>
                    </a:prstGeom>
                  </pic:spPr>
                </pic:pic>
              </a:graphicData>
            </a:graphic>
          </wp:inline>
        </w:drawing>
      </w:r>
    </w:p>
    <w:p>
      <w:pPr>
        <w:pStyle w:val="CorpoAltF0"/>
        <w:rPr>
          <w:highlight w:val="yellow"/>
        </w:rPr>
      </w:pPr>
    </w:p>
    <w:p>
      <w:pPr>
        <w:pStyle w:val="CorpoAltF0"/>
        <w:rPr>
          <w:i/>
        </w:rPr>
      </w:pPr>
      <w:r>
        <w:t xml:space="preserve">Tale campo viene compilato automaticamente in fase di passaggio d’anno dal programma </w:t>
      </w:r>
      <w:r>
        <w:rPr>
          <w:b/>
        </w:rPr>
        <w:t>AZZERA</w:t>
      </w:r>
      <w:r>
        <w:t>, riportando l’impostazione presente nella casella precedente (“</w:t>
      </w:r>
      <w:r>
        <w:rPr>
          <w:i/>
        </w:rPr>
        <w:t>Requisiti ex l. 296/2006 art.1 c. 780/781”).</w:t>
      </w:r>
    </w:p>
    <w:p>
      <w:pPr>
        <w:pStyle w:val="CorpoAltF0"/>
        <w:spacing w:before="120"/>
      </w:pPr>
      <w:r>
        <w:t>Con riferimento alle aziende interessate dalla riduzione (compilazione del suddetto campo “</w:t>
      </w:r>
      <w:r>
        <w:rPr>
          <w:i/>
        </w:rPr>
        <w:t>Requisiti ex l. 296/2006 art.1 c. 780/781</w:t>
      </w:r>
      <w:r>
        <w:t xml:space="preserve"> - </w:t>
      </w:r>
      <w:r>
        <w:rPr>
          <w:i/>
        </w:rPr>
        <w:t>Anno prec.</w:t>
      </w:r>
      <w:r>
        <w:t>”) è possibile escludere una singola PAT / Voce di tariffa dal calcolo della riduzione, indicando “</w:t>
      </w:r>
      <w:r>
        <w:rPr>
          <w:i/>
        </w:rPr>
        <w:t>No</w:t>
      </w:r>
      <w:r>
        <w:t>” al campo “</w:t>
      </w:r>
      <w:r>
        <w:rPr>
          <w:i/>
        </w:rPr>
        <w:t>Riduzione aziende artigiane L. 296/06</w:t>
      </w:r>
      <w:r>
        <w:t>” presente nella gestione della posizione Inail (</w:t>
      </w:r>
      <w:r>
        <w:rPr>
          <w:b/>
        </w:rPr>
        <w:t>AZIE</w:t>
      </w:r>
      <w:r>
        <w:t xml:space="preserve"> &gt; scheda “</w:t>
      </w:r>
      <w:r>
        <w:rPr>
          <w:i/>
        </w:rPr>
        <w:t>INAIL</w:t>
      </w:r>
      <w:r>
        <w:t>”).</w:t>
      </w:r>
    </w:p>
    <w:p>
      <w:pPr>
        <w:pStyle w:val="CorpoAltF0"/>
        <w:spacing w:before="120"/>
      </w:pPr>
      <w:r>
        <w:t>Per compilare l’apposito campo del telematico utile al fine di attestare il possesso dei requisiti e quindi di richiedere l’ammissione al beneficio per l’anno successivo, è necessario contrassegnare il campo “</w:t>
      </w:r>
      <w:r>
        <w:rPr>
          <w:i/>
        </w:rPr>
        <w:t xml:space="preserve">Requisiti ex l. 296/2006 art.1 c. 780/781” </w:t>
      </w:r>
      <w:r>
        <w:t>(</w:t>
      </w:r>
      <w:proofErr w:type="gramStart"/>
      <w:r>
        <w:t>1^</w:t>
      </w:r>
      <w:proofErr w:type="gramEnd"/>
      <w:r>
        <w:t xml:space="preserve"> casella) della scheda “</w:t>
      </w:r>
      <w:r>
        <w:rPr>
          <w:i/>
        </w:rPr>
        <w:t>Dati contributivi</w:t>
      </w:r>
      <w:r>
        <w:t xml:space="preserve">” di </w:t>
      </w:r>
      <w:r>
        <w:rPr>
          <w:b/>
        </w:rPr>
        <w:t>AZIE</w:t>
      </w:r>
      <w:r>
        <w:t>.</w:t>
      </w:r>
    </w:p>
    <w:p>
      <w:pPr>
        <w:pStyle w:val="CorpoAltF0"/>
        <w:rPr>
          <w:highlight w:val="yellow"/>
        </w:rPr>
      </w:pPr>
    </w:p>
    <w:p>
      <w:pPr>
        <w:pStyle w:val="CorpoAltF0"/>
        <w:rPr>
          <w:highlight w:val="yellow"/>
        </w:rPr>
      </w:pPr>
    </w:p>
    <w:p>
      <w:pPr>
        <w:pStyle w:val="TS-titolo-05"/>
      </w:pPr>
      <w:bookmarkStart w:id="32" w:name="_Toc471235836"/>
      <w:bookmarkStart w:id="33" w:name="_Toc6329812"/>
      <w:r>
        <w:t>Settore edile</w:t>
      </w:r>
      <w:bookmarkEnd w:id="32"/>
      <w:bookmarkEnd w:id="33"/>
    </w:p>
    <w:p>
      <w:pPr>
        <w:pStyle w:val="CorpoAltF0"/>
        <w:spacing w:before="120"/>
      </w:pPr>
      <w:r>
        <w:t>L’agevolazione contributiva per il settore edile per l’anno 2018 è stata confermata nella misura dell’11,50% (Decreto del Ministero del Lavoro e delle Politiche Sociali di concerto con il Ministero dell’Economia e delle Finanze, del 4 ottobre 2018) e si applica alla sola regolazione 2018.</w:t>
      </w:r>
    </w:p>
    <w:p>
      <w:pPr>
        <w:pStyle w:val="CorpoAltF0"/>
        <w:spacing w:before="120"/>
      </w:pPr>
      <w:r>
        <w:t>La riduzione spetta ai datori di lavoro che non abbiano riportato condanne passate in giudicato per la violazione della normativa in materia di sicurezza e salute nei luoghi di lavoro per la durata di cinque anni dalla pronuncia della sentenza.</w:t>
      </w:r>
    </w:p>
    <w:p>
      <w:pPr>
        <w:pStyle w:val="CorpoAltF0"/>
      </w:pPr>
      <w:r>
        <w:t>A tal fine, i datori interessati devono trasmettere, entro la data di presentazione della dichiarazione delle retribuzioni, l’apposito modello “autocertificazione per sconto settore edile”; per la stampa di tale dichiarazione è disponibile l’apposita scelta “</w:t>
      </w:r>
      <w:r>
        <w:rPr>
          <w:i/>
        </w:rPr>
        <w:t>Stampa lettera sconto edili</w:t>
      </w:r>
      <w:r>
        <w:t xml:space="preserve">” del comando </w:t>
      </w:r>
      <w:r>
        <w:rPr>
          <w:b/>
        </w:rPr>
        <w:t>10SM</w:t>
      </w:r>
      <w:r>
        <w:t xml:space="preserve"> &gt; “</w:t>
      </w:r>
      <w:r>
        <w:rPr>
          <w:i/>
        </w:rPr>
        <w:t>5-Stampa lettere</w:t>
      </w:r>
      <w:r>
        <w:t>”.</w:t>
      </w:r>
    </w:p>
    <w:p>
      <w:pPr>
        <w:pStyle w:val="CorpoAltF0"/>
        <w:spacing w:before="120"/>
      </w:pPr>
      <w:r>
        <w:t>Il beneficio interessa gli operai con un orario di lavoro di 40 ore settimanali, e non si applica sul premio speciale unitario artigiani.</w:t>
      </w:r>
    </w:p>
    <w:p>
      <w:pPr>
        <w:pStyle w:val="CorpoAltF0"/>
        <w:spacing w:before="120"/>
        <w:rPr>
          <w:bCs/>
        </w:rPr>
      </w:pPr>
      <w:r>
        <w:t xml:space="preserve">Per poter applicare lo sconto è necessario indicare la percentuale dell’11,50% </w:t>
      </w:r>
      <w:r>
        <w:rPr>
          <w:bCs/>
        </w:rPr>
        <w:t>al campo “</w:t>
      </w:r>
      <w:r>
        <w:rPr>
          <w:bCs/>
          <w:i/>
        </w:rPr>
        <w:t>% agevolazioni</w:t>
      </w:r>
      <w:r>
        <w:rPr>
          <w:bCs/>
        </w:rPr>
        <w:t xml:space="preserve">” (edili) della tabella </w:t>
      </w:r>
      <w:r>
        <w:rPr>
          <w:bCs/>
          <w:i/>
        </w:rPr>
        <w:t>“Contributi generali azienda”</w:t>
      </w:r>
      <w:r>
        <w:rPr>
          <w:bCs/>
        </w:rPr>
        <w:t xml:space="preserve"> (</w:t>
      </w:r>
      <w:r>
        <w:rPr>
          <w:b/>
          <w:bCs/>
        </w:rPr>
        <w:t>TB0303</w:t>
      </w:r>
      <w:r>
        <w:rPr>
          <w:bCs/>
        </w:rPr>
        <w:t>) valida per il mese di dicembre 2018.</w:t>
      </w:r>
    </w:p>
    <w:p>
      <w:pPr>
        <w:pStyle w:val="CorpoAltF0"/>
        <w:spacing w:before="60"/>
      </w:pPr>
      <w:r>
        <w:t>Si ricorda che lo sconto viene calcolato per i dipendenti aventi posizione assicurativa 30, associati ad una posizione Inail azienda caratterizzata dal codice “</w:t>
      </w:r>
      <w:r>
        <w:rPr>
          <w:b/>
        </w:rPr>
        <w:t>E</w:t>
      </w:r>
      <w:r>
        <w:t>” al campo “</w:t>
      </w:r>
      <w:r>
        <w:rPr>
          <w:i/>
        </w:rPr>
        <w:t>Sconto</w:t>
      </w:r>
      <w:r>
        <w:t xml:space="preserve">” (v. pag. </w:t>
      </w:r>
      <w:r>
        <w:fldChar w:fldCharType="begin"/>
      </w:r>
      <w:r>
        <w:instrText xml:space="preserve"> PAGEREF ImpostRiduzEdilizia \h </w:instrText>
      </w:r>
      <w:r>
        <w:fldChar w:fldCharType="separate"/>
      </w:r>
      <w:r>
        <w:rPr>
          <w:noProof/>
        </w:rPr>
        <w:t>41</w:t>
      </w:r>
      <w:r>
        <w:fldChar w:fldCharType="end"/>
      </w:r>
      <w:r>
        <w:t>).</w:t>
      </w:r>
    </w:p>
    <w:p>
      <w:pPr>
        <w:pStyle w:val="CorpoAltF0"/>
        <w:rPr>
          <w:highlight w:val="yellow"/>
        </w:rPr>
      </w:pPr>
    </w:p>
    <w:p>
      <w:pPr>
        <w:pStyle w:val="TS-titolo-05"/>
      </w:pPr>
      <w:bookmarkStart w:id="34" w:name="_Toc471235837"/>
      <w:bookmarkStart w:id="35" w:name="_Toc6329813"/>
      <w:r>
        <w:t>Settore della pesca</w:t>
      </w:r>
      <w:bookmarkEnd w:id="34"/>
      <w:bookmarkEnd w:id="35"/>
    </w:p>
    <w:p>
      <w:pPr>
        <w:pStyle w:val="CorpoAltF0"/>
        <w:spacing w:before="120"/>
      </w:pPr>
      <w:r>
        <w:t xml:space="preserve">La riduzione contributiva per il settore della pesca, di cui all’art. 1, c. 74, L. 228/2012, è fissata nella misura del </w:t>
      </w:r>
      <w:r>
        <w:rPr>
          <w:b/>
        </w:rPr>
        <w:t>45,07%</w:t>
      </w:r>
      <w:r>
        <w:t xml:space="preserve"> sia per la regolazione 2018 che per la rata 2019 (articolo 1, comma 693, legge n. 205/2017).</w:t>
      </w:r>
    </w:p>
    <w:p>
      <w:pPr>
        <w:pStyle w:val="CorpoAltF0"/>
        <w:spacing w:before="120"/>
      </w:pPr>
      <w:r>
        <w:t>L'agevolazione si applica alle imprese, con o senza dipendenti (autonomi, cooperative), che esercitano la piccola pesca costiera e la pesca nelle acque interne e lagunari.</w:t>
      </w:r>
    </w:p>
    <w:p>
      <w:pPr>
        <w:pStyle w:val="CorpoAltF0"/>
      </w:pPr>
    </w:p>
    <w:p>
      <w:pPr>
        <w:pStyle w:val="CorpoAltF0"/>
      </w:pPr>
      <w:r>
        <w:t>Nella tabella “</w:t>
      </w:r>
      <w:r>
        <w:rPr>
          <w:i/>
        </w:rPr>
        <w:t>Classi di rischio e parametri</w:t>
      </w:r>
      <w:r>
        <w:t>” (</w:t>
      </w:r>
      <w:r>
        <w:rPr>
          <w:b/>
        </w:rPr>
        <w:t>TB0703</w:t>
      </w:r>
      <w:r>
        <w:t>) sono presenti due appositi campi per la gestione della riduzione, su regolazione e su rata, del premio relativo alle imprese del settore pesca.</w:t>
      </w:r>
    </w:p>
    <w:p>
      <w:pPr>
        <w:pStyle w:val="CorpoAltF0"/>
      </w:pPr>
    </w:p>
    <w:p>
      <w:pPr>
        <w:pStyle w:val="CorpoAltF0"/>
      </w:pPr>
      <w:r>
        <w:t xml:space="preserve">Con l’installazione della versione </w:t>
      </w:r>
      <w:r>
        <w:rPr>
          <w:b/>
        </w:rPr>
        <w:t>PAGHE 2019.1.2</w:t>
      </w:r>
      <w:r>
        <w:t>, la suddetta percentuale viene automaticamente inserita nei rispettivi campi “</w:t>
      </w:r>
      <w:r>
        <w:rPr>
          <w:i/>
        </w:rPr>
        <w:t>Calcolo sconto premio pesca su regolazioni / rata</w:t>
      </w:r>
      <w:r>
        <w:t xml:space="preserve">” della tabella </w:t>
      </w:r>
      <w:r>
        <w:rPr>
          <w:b/>
        </w:rPr>
        <w:t>TB0703</w:t>
      </w:r>
      <w:r>
        <w:t xml:space="preserve"> relativa al 2018.</w:t>
      </w:r>
    </w:p>
    <w:p>
      <w:pPr>
        <w:pStyle w:val="CorpoAltF0"/>
      </w:pPr>
      <w:r>
        <w:br w:type="page"/>
      </w:r>
    </w:p>
    <w:p>
      <w:pPr>
        <w:pStyle w:val="CorpoAltF0"/>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761"/>
        <w:gridCol w:w="2878"/>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36" w:name="AGGTAS"/>
            <w:bookmarkStart w:id="37" w:name="_Toc6329814"/>
            <w:bookmarkEnd w:id="36"/>
            <w:r>
              <w:t>AGGTAS</w:t>
            </w:r>
            <w:bookmarkEnd w:id="37"/>
          </w:p>
        </w:tc>
      </w:tr>
    </w:tbl>
    <w:p>
      <w:pPr>
        <w:pStyle w:val="CorpoAltF0"/>
      </w:pPr>
      <w:bookmarkStart w:id="38" w:name="_Toc313867714"/>
      <w:bookmarkStart w:id="39" w:name="_Toc471235839"/>
    </w:p>
    <w:p>
      <w:pPr>
        <w:pStyle w:val="CorpoAltF0"/>
        <w:rPr>
          <w:b/>
        </w:rPr>
      </w:pPr>
      <w:r>
        <w:rPr>
          <w:b/>
        </w:rPr>
        <w:t>Per la verifica dalle basi di calcolo delle variazioni di voce e di PAT derivanti dalla revisione delle tariffe INAIL e dalla cessazione delle PAT ponderate e per consentire il conseguente aggiornamento delle posizioni INAIL azienda interessate, nel comando AGGTAS è stata implementata l’apposita scelta “</w:t>
      </w:r>
      <w:r>
        <w:rPr>
          <w:b/>
          <w:i/>
        </w:rPr>
        <w:t>Aggiornamento voci 2019</w:t>
      </w:r>
      <w:r>
        <w:rPr>
          <w:b/>
        </w:rPr>
        <w:t>”; per il dettaglio di funzionamento di tale scelta si rinvia a quanto indicato con la versione PAGHE 2019.1.1.</w:t>
      </w:r>
    </w:p>
    <w:p>
      <w:pPr>
        <w:pStyle w:val="CorpoAltF0"/>
        <w:rPr>
          <w:b/>
        </w:rPr>
      </w:pPr>
      <w:r>
        <w:rPr>
          <w:b/>
        </w:rPr>
        <w:t>L’aggiornamento delle voci e PAT deve essere eseguito prima di procedere alla verifica degli altri dati rilevati dalle basi di calcolo (tassi applicati e classi di rischio per soggetti artigiani) mediante la scelta “</w:t>
      </w:r>
      <w:r>
        <w:rPr>
          <w:b/>
          <w:i/>
        </w:rPr>
        <w:t>Aggiornamento tassi</w:t>
      </w:r>
      <w:r>
        <w:rPr>
          <w:b/>
        </w:rPr>
        <w:t>” di AGGTAS. (vedi paragrafo seguente).</w:t>
      </w:r>
    </w:p>
    <w:p>
      <w:pPr>
        <w:pStyle w:val="CorpoAltF0"/>
      </w:pPr>
    </w:p>
    <w:p>
      <w:pPr>
        <w:pStyle w:val="TS-titolo-04"/>
      </w:pPr>
      <w:bookmarkStart w:id="40" w:name="_Toc6329815"/>
      <w:r>
        <w:t>Verifica e aggiornamento basi di calcolo INAIL</w:t>
      </w:r>
      <w:bookmarkEnd w:id="38"/>
      <w:bookmarkEnd w:id="39"/>
      <w:bookmarkEnd w:id="40"/>
    </w:p>
    <w:p>
      <w:pPr>
        <w:pStyle w:val="CorpoAltF0"/>
        <w:spacing w:before="120"/>
      </w:pPr>
      <w:r>
        <w:t>La scelta “</w:t>
      </w:r>
      <w:r>
        <w:rPr>
          <w:i/>
        </w:rPr>
        <w:t>Aggiornamento tassi</w:t>
      </w:r>
      <w:r>
        <w:t xml:space="preserve">” del comando </w:t>
      </w:r>
      <w:r>
        <w:rPr>
          <w:b/>
        </w:rPr>
        <w:t>AGGTAS</w:t>
      </w:r>
      <w:r>
        <w:t xml:space="preserve"> consente di segnalare le differenze tra i dati presenti nel file delle basi di calcolo fornito dall’INAIL (formato </w:t>
      </w:r>
      <w:r>
        <w:rPr>
          <w:i/>
        </w:rPr>
        <w:t>.</w:t>
      </w:r>
      <w:proofErr w:type="spellStart"/>
      <w:r>
        <w:rPr>
          <w:i/>
        </w:rPr>
        <w:t>txt</w:t>
      </w:r>
      <w:proofErr w:type="spellEnd"/>
      <w:r>
        <w:t>) e i dati presenti nell’anagrafica azienda (</w:t>
      </w:r>
      <w:r>
        <w:rPr>
          <w:b/>
        </w:rPr>
        <w:t>AZIE</w:t>
      </w:r>
      <w:r>
        <w:t xml:space="preserve"> &gt; scheda “</w:t>
      </w:r>
      <w:r>
        <w:rPr>
          <w:i/>
        </w:rPr>
        <w:t>Inail</w:t>
      </w:r>
      <w:r>
        <w:t>” &gt; pulsante “</w:t>
      </w:r>
      <w:r>
        <w:rPr>
          <w:i/>
        </w:rPr>
        <w:t>Gestione posizioni Inail</w:t>
      </w:r>
      <w:r>
        <w:t>”).</w:t>
      </w:r>
    </w:p>
    <w:p>
      <w:pPr>
        <w:pStyle w:val="CorpoAltF0"/>
        <w:spacing w:before="120"/>
      </w:pPr>
      <w:r>
        <w:t>Le informazioni che vengono verificate sono le seguenti:</w:t>
      </w:r>
    </w:p>
    <w:p>
      <w:pPr>
        <w:pStyle w:val="CorpoAltF0"/>
        <w:numPr>
          <w:ilvl w:val="0"/>
          <w:numId w:val="1"/>
        </w:numPr>
        <w:spacing w:before="60"/>
        <w:ind w:left="284" w:hanging="284"/>
      </w:pPr>
      <w:r>
        <w:t>tasso per la regolazione e tasso per la rata;</w:t>
      </w:r>
    </w:p>
    <w:p>
      <w:pPr>
        <w:pStyle w:val="CorpoAltF0"/>
        <w:numPr>
          <w:ilvl w:val="0"/>
          <w:numId w:val="1"/>
        </w:numPr>
        <w:spacing w:before="60"/>
        <w:ind w:left="284" w:hanging="284"/>
      </w:pPr>
      <w:r>
        <w:t>imponibile per rata (presunto);</w:t>
      </w:r>
    </w:p>
    <w:p>
      <w:pPr>
        <w:pStyle w:val="CorpoAltF0"/>
        <w:numPr>
          <w:ilvl w:val="0"/>
          <w:numId w:val="1"/>
        </w:numPr>
        <w:spacing w:before="60"/>
        <w:ind w:left="284" w:hanging="284"/>
      </w:pPr>
      <w:r>
        <w:t>importo della rata anticipata anno precedente;</w:t>
      </w:r>
    </w:p>
    <w:p>
      <w:pPr>
        <w:pStyle w:val="CorpoAltF0"/>
        <w:numPr>
          <w:ilvl w:val="0"/>
          <w:numId w:val="1"/>
        </w:numPr>
        <w:spacing w:before="60"/>
        <w:ind w:left="284" w:hanging="284"/>
      </w:pPr>
      <w:r>
        <w:t>presenza di nuove voci di tariffa;</w:t>
      </w:r>
    </w:p>
    <w:p>
      <w:pPr>
        <w:pStyle w:val="CorpoAltF0"/>
        <w:numPr>
          <w:ilvl w:val="0"/>
          <w:numId w:val="1"/>
        </w:numPr>
        <w:spacing w:before="60"/>
        <w:ind w:left="284" w:hanging="284"/>
      </w:pPr>
      <w:r>
        <w:t>soci artigiani e rispettive classi di rischio;</w:t>
      </w:r>
    </w:p>
    <w:p>
      <w:pPr>
        <w:pStyle w:val="CorpoAltF0"/>
        <w:numPr>
          <w:ilvl w:val="0"/>
          <w:numId w:val="1"/>
        </w:numPr>
        <w:spacing w:before="60"/>
        <w:ind w:left="284" w:hanging="284"/>
      </w:pPr>
      <w:r>
        <w:t>applicazione addizionale amianto;</w:t>
      </w:r>
    </w:p>
    <w:p>
      <w:pPr>
        <w:pStyle w:val="CorpoAltF0"/>
        <w:numPr>
          <w:ilvl w:val="0"/>
          <w:numId w:val="1"/>
        </w:numPr>
        <w:spacing w:before="60"/>
        <w:ind w:left="284" w:hanging="284"/>
      </w:pPr>
      <w:r>
        <w:t>applicabilità della riduzione L. 147/2013, art. 1, co. 128 (su regolazione e rata);</w:t>
      </w:r>
    </w:p>
    <w:p>
      <w:pPr>
        <w:pStyle w:val="CorpoAltF0"/>
        <w:numPr>
          <w:ilvl w:val="0"/>
          <w:numId w:val="1"/>
        </w:numPr>
        <w:spacing w:before="60"/>
        <w:ind w:left="284" w:hanging="284"/>
      </w:pPr>
      <w:r>
        <w:t>applicabilità agevolazione L. 296/06, art. 1, co. 780 e 781 (riduzione su regolazione imprese artigiane).</w:t>
      </w:r>
    </w:p>
    <w:p>
      <w:pPr>
        <w:pStyle w:val="CorpoAltF0"/>
        <w:spacing w:before="120"/>
      </w:pPr>
      <w:r>
        <w:t>Sulla base delle informazioni rilevate dalle basi di calcolo, il programma consente di aggiornare i corrispondenti valori indicati nella “</w:t>
      </w:r>
      <w:r>
        <w:rPr>
          <w:i/>
        </w:rPr>
        <w:t>PAT/Voce di tariffa</w:t>
      </w:r>
      <w:r>
        <w:t>” presente in anagrafica azienda.</w:t>
      </w:r>
    </w:p>
    <w:p>
      <w:pPr>
        <w:pStyle w:val="CorpoAltF0"/>
        <w:rPr>
          <w:highlight w:val="yellow"/>
        </w:rPr>
      </w:pPr>
    </w:p>
    <w:p>
      <w:pPr>
        <w:pStyle w:val="CorpoAltF0"/>
        <w:rPr>
          <w:highlight w:val="yellow"/>
        </w:rPr>
      </w:pPr>
    </w:p>
    <w:p>
      <w:pPr>
        <w:pStyle w:val="TS-titolo-05"/>
      </w:pPr>
      <w:bookmarkStart w:id="41" w:name="_Toc313898467"/>
      <w:bookmarkStart w:id="42" w:name="_Toc471235840"/>
      <w:bookmarkStart w:id="43" w:name="_Toc6329816"/>
      <w:r>
        <w:t>Verifica basi di calcolo</w:t>
      </w:r>
      <w:bookmarkEnd w:id="41"/>
      <w:bookmarkEnd w:id="42"/>
      <w:bookmarkEnd w:id="43"/>
    </w:p>
    <w:p>
      <w:pPr>
        <w:pStyle w:val="CorpoAltF0"/>
        <w:spacing w:before="120"/>
      </w:pPr>
      <w:r>
        <w:t>Dopo aver selezionato la scelta “</w:t>
      </w:r>
      <w:r>
        <w:rPr>
          <w:i/>
        </w:rPr>
        <w:t>Aggiornamento tassi</w:t>
      </w:r>
      <w:r>
        <w:t xml:space="preserve">” di </w:t>
      </w:r>
      <w:r>
        <w:rPr>
          <w:b/>
        </w:rPr>
        <w:t>AGGTAS</w:t>
      </w:r>
      <w:r>
        <w:t xml:space="preserve"> è necessario selezionare il file delle basi di calcolo ricevuto dall’Inail.</w:t>
      </w:r>
    </w:p>
    <w:p>
      <w:pPr>
        <w:pStyle w:val="CorpoAltF0"/>
        <w:spacing w:before="60"/>
      </w:pPr>
      <w:r>
        <w:t>Al campo “</w:t>
      </w:r>
      <w:r>
        <w:rPr>
          <w:i/>
        </w:rPr>
        <w:t>Tipo selezione</w:t>
      </w:r>
      <w:r>
        <w:t>” è possibile scegliere quale tipo di verifica effettuare.</w:t>
      </w:r>
    </w:p>
    <w:p>
      <w:pPr>
        <w:pStyle w:val="CorpoAltF0"/>
        <w:spacing w:before="60"/>
      </w:pPr>
      <w:r>
        <w:t>Sono presenti le seguenti opzioni:</w:t>
      </w:r>
    </w:p>
    <w:p>
      <w:pPr>
        <w:pStyle w:val="CorpoAltF0"/>
        <w:numPr>
          <w:ilvl w:val="0"/>
          <w:numId w:val="2"/>
        </w:numPr>
        <w:spacing w:before="60"/>
        <w:ind w:left="426" w:hanging="284"/>
      </w:pPr>
      <w:r>
        <w:t>Tutti;</w:t>
      </w:r>
    </w:p>
    <w:p>
      <w:pPr>
        <w:pStyle w:val="CorpoAltF0"/>
        <w:numPr>
          <w:ilvl w:val="0"/>
          <w:numId w:val="2"/>
        </w:numPr>
        <w:spacing w:before="60"/>
        <w:ind w:left="426" w:hanging="284"/>
      </w:pPr>
      <w:r>
        <w:t>Solo modificati;</w:t>
      </w:r>
    </w:p>
    <w:p>
      <w:pPr>
        <w:pStyle w:val="CorpoAltF0"/>
        <w:numPr>
          <w:ilvl w:val="0"/>
          <w:numId w:val="2"/>
        </w:numPr>
        <w:spacing w:before="60"/>
        <w:ind w:left="426" w:hanging="284"/>
      </w:pPr>
      <w:r>
        <w:t>Rate non corrispondenti;</w:t>
      </w:r>
    </w:p>
    <w:p>
      <w:pPr>
        <w:pStyle w:val="CorpoAltF0"/>
        <w:numPr>
          <w:ilvl w:val="0"/>
          <w:numId w:val="2"/>
        </w:numPr>
        <w:spacing w:before="60"/>
        <w:ind w:left="426" w:hanging="284"/>
      </w:pPr>
      <w:r>
        <w:t>Solo voci non presenti.</w:t>
      </w:r>
    </w:p>
    <w:p>
      <w:pPr>
        <w:pStyle w:val="CorpoAltF0"/>
      </w:pPr>
    </w:p>
    <w:p>
      <w:pPr>
        <w:pStyle w:val="CorpoAltF0"/>
        <w:rPr>
          <w:b/>
          <w:i/>
          <w:u w:val="single"/>
        </w:rPr>
      </w:pPr>
      <w:r>
        <w:rPr>
          <w:b/>
          <w:i/>
          <w:u w:val="single"/>
        </w:rPr>
        <w:t>Tutti</w:t>
      </w:r>
    </w:p>
    <w:p>
      <w:pPr>
        <w:pStyle w:val="CorpoAltF0"/>
        <w:spacing w:before="60"/>
      </w:pPr>
      <w:r>
        <w:t>Vengono visualizzati tutti i dati delle aziende presenti nel file:</w:t>
      </w:r>
    </w:p>
    <w:p>
      <w:pPr>
        <w:pStyle w:val="CorpoAltF0"/>
        <w:spacing w:before="120"/>
        <w:jc w:val="center"/>
      </w:pPr>
      <w:r>
        <w:rPr>
          <w:noProof/>
        </w:rPr>
        <w:drawing>
          <wp:inline distT="0" distB="0" distL="0" distR="0">
            <wp:extent cx="5760000" cy="1242951"/>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000" cy="1242951"/>
                    </a:xfrm>
                    <a:prstGeom prst="rect">
                      <a:avLst/>
                    </a:prstGeom>
                  </pic:spPr>
                </pic:pic>
              </a:graphicData>
            </a:graphic>
          </wp:inline>
        </w:drawing>
      </w:r>
    </w:p>
    <w:p>
      <w:pPr>
        <w:pStyle w:val="CorpoAltF0"/>
        <w:rPr>
          <w:highlight w:val="yellow"/>
        </w:rPr>
      </w:pPr>
      <w:r>
        <w:rPr>
          <w:highlight w:val="yellow"/>
        </w:rPr>
        <w:br w:type="page"/>
      </w:r>
    </w:p>
    <w:p>
      <w:pPr>
        <w:pStyle w:val="CorpoAltF0"/>
        <w:rPr>
          <w:highlight w:val="yellow"/>
        </w:rPr>
      </w:pPr>
    </w:p>
    <w:p>
      <w:pPr>
        <w:pStyle w:val="CorpoAltF0"/>
      </w:pPr>
      <w:r>
        <w:t>Per ogni azienda vengono visualizzate le seguenti informazioni:</w:t>
      </w:r>
    </w:p>
    <w:tbl>
      <w:tblPr>
        <w:tblW w:w="0" w:type="auto"/>
        <w:tblLook w:val="04A0" w:firstRow="1" w:lastRow="0" w:firstColumn="1" w:lastColumn="0" w:noHBand="0" w:noVBand="1"/>
      </w:tblPr>
      <w:tblGrid>
        <w:gridCol w:w="2200"/>
        <w:gridCol w:w="7439"/>
      </w:tblGrid>
      <w:tr>
        <w:tc>
          <w:tcPr>
            <w:tcW w:w="2227" w:type="dxa"/>
            <w:shd w:val="clear" w:color="auto" w:fill="auto"/>
          </w:tcPr>
          <w:p>
            <w:pPr>
              <w:pStyle w:val="CorpoAltF0"/>
              <w:spacing w:before="120"/>
              <w:rPr>
                <w:i/>
              </w:rPr>
            </w:pPr>
            <w:proofErr w:type="spellStart"/>
            <w:r>
              <w:rPr>
                <w:i/>
              </w:rPr>
              <w:t>Azie</w:t>
            </w:r>
            <w:proofErr w:type="spellEnd"/>
            <w:r>
              <w:rPr>
                <w:i/>
              </w:rPr>
              <w:t xml:space="preserve"> / Rag. </w:t>
            </w:r>
            <w:proofErr w:type="spellStart"/>
            <w:r>
              <w:rPr>
                <w:i/>
              </w:rPr>
              <w:t>soc</w:t>
            </w:r>
            <w:proofErr w:type="spellEnd"/>
            <w:r>
              <w:rPr>
                <w:i/>
              </w:rPr>
              <w:t>.:</w:t>
            </w:r>
          </w:p>
        </w:tc>
        <w:tc>
          <w:tcPr>
            <w:tcW w:w="7628" w:type="dxa"/>
            <w:shd w:val="clear" w:color="auto" w:fill="auto"/>
          </w:tcPr>
          <w:p>
            <w:pPr>
              <w:pStyle w:val="CorpoAltF0"/>
              <w:spacing w:before="120"/>
            </w:pPr>
            <w:r>
              <w:t>codice ditta PAGHE e ragione sociale;</w:t>
            </w:r>
          </w:p>
        </w:tc>
      </w:tr>
      <w:tr>
        <w:tc>
          <w:tcPr>
            <w:tcW w:w="2227" w:type="dxa"/>
            <w:shd w:val="clear" w:color="auto" w:fill="auto"/>
          </w:tcPr>
          <w:p>
            <w:pPr>
              <w:pStyle w:val="CorpoAltF0"/>
              <w:spacing w:before="120"/>
              <w:rPr>
                <w:i/>
              </w:rPr>
            </w:pPr>
            <w:r>
              <w:rPr>
                <w:i/>
              </w:rPr>
              <w:t>PAT / Voce:</w:t>
            </w:r>
          </w:p>
        </w:tc>
        <w:tc>
          <w:tcPr>
            <w:tcW w:w="7628" w:type="dxa"/>
            <w:shd w:val="clear" w:color="auto" w:fill="auto"/>
          </w:tcPr>
          <w:p>
            <w:pPr>
              <w:pStyle w:val="CorpoAltF0"/>
              <w:spacing w:before="120"/>
            </w:pPr>
            <w:r>
              <w:t>codice posizione assicurativa e voce di tariffa;</w:t>
            </w:r>
          </w:p>
        </w:tc>
      </w:tr>
      <w:tr>
        <w:tc>
          <w:tcPr>
            <w:tcW w:w="2227" w:type="dxa"/>
            <w:shd w:val="clear" w:color="auto" w:fill="auto"/>
          </w:tcPr>
          <w:p>
            <w:pPr>
              <w:pStyle w:val="CorpoAltF0"/>
              <w:spacing w:before="120"/>
            </w:pPr>
            <w:r>
              <w:rPr>
                <w:i/>
              </w:rPr>
              <w:t xml:space="preserve">% </w:t>
            </w:r>
            <w:r>
              <w:t>‘anno regolazione’:</w:t>
            </w:r>
          </w:p>
          <w:p>
            <w:pPr>
              <w:pStyle w:val="CorpoAltF0"/>
            </w:pPr>
            <w:r>
              <w:rPr>
                <w:i/>
              </w:rPr>
              <w:t xml:space="preserve">% </w:t>
            </w:r>
            <w:r>
              <w:t>‘anno rata’:</w:t>
            </w:r>
          </w:p>
        </w:tc>
        <w:tc>
          <w:tcPr>
            <w:tcW w:w="7628" w:type="dxa"/>
            <w:shd w:val="clear" w:color="auto" w:fill="auto"/>
          </w:tcPr>
          <w:p>
            <w:pPr>
              <w:pStyle w:val="CorpoAltF0"/>
              <w:spacing w:before="120"/>
            </w:pPr>
            <w:r>
              <w:t>valore del tasso per regolazione e per rata;</w:t>
            </w:r>
          </w:p>
        </w:tc>
      </w:tr>
      <w:tr>
        <w:tc>
          <w:tcPr>
            <w:tcW w:w="2227" w:type="dxa"/>
            <w:shd w:val="clear" w:color="auto" w:fill="auto"/>
          </w:tcPr>
          <w:p>
            <w:pPr>
              <w:pStyle w:val="CorpoAltF0"/>
              <w:spacing w:before="120"/>
              <w:rPr>
                <w:i/>
              </w:rPr>
            </w:pPr>
            <w:r>
              <w:rPr>
                <w:i/>
              </w:rPr>
              <w:t>Imponibile rata:</w:t>
            </w:r>
          </w:p>
        </w:tc>
        <w:tc>
          <w:tcPr>
            <w:tcW w:w="7628" w:type="dxa"/>
            <w:shd w:val="clear" w:color="auto" w:fill="auto"/>
          </w:tcPr>
          <w:p>
            <w:pPr>
              <w:pStyle w:val="CorpoAltF0"/>
              <w:spacing w:before="120"/>
            </w:pPr>
            <w:r>
              <w:t>importo dell’imponibile per la rata anticipata (se presente);</w:t>
            </w:r>
          </w:p>
        </w:tc>
      </w:tr>
      <w:tr>
        <w:tc>
          <w:tcPr>
            <w:tcW w:w="2227" w:type="dxa"/>
            <w:shd w:val="clear" w:color="auto" w:fill="auto"/>
          </w:tcPr>
          <w:p>
            <w:pPr>
              <w:pStyle w:val="CorpoAltF0"/>
              <w:spacing w:before="120"/>
              <w:rPr>
                <w:i/>
              </w:rPr>
            </w:pPr>
            <w:r>
              <w:rPr>
                <w:i/>
              </w:rPr>
              <w:t>Soci:</w:t>
            </w:r>
          </w:p>
        </w:tc>
        <w:tc>
          <w:tcPr>
            <w:tcW w:w="7628" w:type="dxa"/>
            <w:shd w:val="clear" w:color="auto" w:fill="auto"/>
          </w:tcPr>
          <w:p>
            <w:pPr>
              <w:pStyle w:val="CorpoAltF0"/>
              <w:spacing w:before="120"/>
            </w:pPr>
            <w:r>
              <w:t>presenza di soggetti autonomi artigiani;</w:t>
            </w:r>
          </w:p>
        </w:tc>
      </w:tr>
      <w:tr>
        <w:tc>
          <w:tcPr>
            <w:tcW w:w="2227" w:type="dxa"/>
            <w:shd w:val="clear" w:color="auto" w:fill="auto"/>
          </w:tcPr>
          <w:p>
            <w:pPr>
              <w:pStyle w:val="CorpoAltF0"/>
              <w:spacing w:before="120"/>
              <w:rPr>
                <w:i/>
              </w:rPr>
            </w:pPr>
            <w:r>
              <w:rPr>
                <w:i/>
              </w:rPr>
              <w:t>Sconto:</w:t>
            </w:r>
          </w:p>
        </w:tc>
        <w:tc>
          <w:tcPr>
            <w:tcW w:w="7628" w:type="dxa"/>
            <w:shd w:val="clear" w:color="auto" w:fill="auto"/>
          </w:tcPr>
          <w:p>
            <w:pPr>
              <w:pStyle w:val="CorpoAltF0"/>
              <w:spacing w:before="120"/>
            </w:pPr>
            <w:r>
              <w:t>il campo risulta contrassegnato in caso di applicabilità della riduzione L. 296/06.</w:t>
            </w:r>
          </w:p>
          <w:p>
            <w:pPr>
              <w:pStyle w:val="CorpoAltF0"/>
            </w:pPr>
            <w:r>
              <w:t>Tale informazione viene rilevata verificando nelle basi di calcolo la presenza, per la PAT, del codice “</w:t>
            </w:r>
            <w:r>
              <w:rPr>
                <w:i/>
              </w:rPr>
              <w:t>Tipo agevolazione</w:t>
            </w:r>
            <w:r>
              <w:t>” corrispondente alla riduzione in questione (codice “127”, con descrizione “</w:t>
            </w:r>
            <w:r>
              <w:rPr>
                <w:i/>
              </w:rPr>
              <w:t>Sconto artigianato legge 296/2006</w:t>
            </w:r>
            <w:r>
              <w:t>”).</w:t>
            </w:r>
          </w:p>
          <w:p>
            <w:pPr>
              <w:pStyle w:val="CorpoAltF0"/>
            </w:pPr>
          </w:p>
        </w:tc>
      </w:tr>
      <w:tr>
        <w:tc>
          <w:tcPr>
            <w:tcW w:w="2227" w:type="dxa"/>
            <w:shd w:val="clear" w:color="auto" w:fill="auto"/>
          </w:tcPr>
          <w:p>
            <w:pPr>
              <w:pStyle w:val="CorpoAltF0"/>
              <w:spacing w:before="120"/>
              <w:rPr>
                <w:i/>
              </w:rPr>
            </w:pPr>
            <w:r>
              <w:rPr>
                <w:i/>
              </w:rPr>
              <w:t>L. 147/13 Rata:</w:t>
            </w:r>
          </w:p>
          <w:p>
            <w:pPr>
              <w:pStyle w:val="CorpoAltF0"/>
              <w:rPr>
                <w:i/>
              </w:rPr>
            </w:pPr>
            <w:r>
              <w:rPr>
                <w:i/>
              </w:rPr>
              <w:t xml:space="preserve">L. 147/13 </w:t>
            </w:r>
            <w:proofErr w:type="spellStart"/>
            <w:r>
              <w:rPr>
                <w:i/>
              </w:rPr>
              <w:t>Regolaz</w:t>
            </w:r>
            <w:proofErr w:type="spellEnd"/>
            <w:r>
              <w:rPr>
                <w:i/>
              </w:rPr>
              <w:t>.:</w:t>
            </w:r>
          </w:p>
        </w:tc>
        <w:tc>
          <w:tcPr>
            <w:tcW w:w="7628" w:type="dxa"/>
            <w:shd w:val="clear" w:color="auto" w:fill="auto"/>
          </w:tcPr>
          <w:p>
            <w:pPr>
              <w:pStyle w:val="CorpoAltF0"/>
              <w:spacing w:before="120"/>
            </w:pPr>
            <w:r>
              <w:t>il campo risulta contrassegnato in caso di applicabilità, solo su regolazione, della riduzione L. 147/2013.</w:t>
            </w:r>
          </w:p>
          <w:p>
            <w:pPr>
              <w:pStyle w:val="CorpoAltF0"/>
            </w:pPr>
            <w:r>
              <w:t>Tale informazione viene rilevata verificando la presenza della percentuale di riduzione nel rispettivo campo “</w:t>
            </w:r>
            <w:r>
              <w:rPr>
                <w:i/>
              </w:rPr>
              <w:t>Riduzione legge 147/2013</w:t>
            </w:r>
            <w:r>
              <w:t>” delle basi di calcolo.</w:t>
            </w:r>
          </w:p>
        </w:tc>
      </w:tr>
    </w:tbl>
    <w:p>
      <w:pPr>
        <w:pStyle w:val="CorpoAltF0"/>
        <w:rPr>
          <w:highlight w:val="yellow"/>
        </w:rPr>
      </w:pPr>
    </w:p>
    <w:p>
      <w:pPr>
        <w:pStyle w:val="CorpoAltF0"/>
      </w:pPr>
      <w:r>
        <w:t>Se un’azienda presente nel file non risulta presente nell’anagrafica PAGHE, il programma propone un messaggio con il quale scegliere di visualizzare anche i dati di queste aziende (in tale caso non viene riportato il codice azienda nella prima colonna).</w:t>
      </w:r>
    </w:p>
    <w:p>
      <w:pPr>
        <w:pStyle w:val="CorpoAltF0"/>
        <w:spacing w:before="120"/>
      </w:pPr>
      <w:r>
        <w:t>Sono disponibili i seguenti pulsanti:</w:t>
      </w:r>
    </w:p>
    <w:tbl>
      <w:tblPr>
        <w:tblW w:w="0" w:type="auto"/>
        <w:tblLook w:val="01E0" w:firstRow="1" w:lastRow="1" w:firstColumn="1" w:lastColumn="1" w:noHBand="0" w:noVBand="0"/>
      </w:tblPr>
      <w:tblGrid>
        <w:gridCol w:w="666"/>
        <w:gridCol w:w="1377"/>
        <w:gridCol w:w="21"/>
        <w:gridCol w:w="7477"/>
        <w:gridCol w:w="98"/>
      </w:tblGrid>
      <w:tr>
        <w:tc>
          <w:tcPr>
            <w:tcW w:w="636" w:type="dxa"/>
          </w:tcPr>
          <w:p>
            <w:pPr>
              <w:pStyle w:val="CorpoAltF0"/>
              <w:spacing w:before="120"/>
              <w:jc w:val="center"/>
            </w:pPr>
            <w:r>
              <w:rPr>
                <w:noProof/>
              </w:rPr>
              <w:drawing>
                <wp:inline distT="0" distB="0" distL="0" distR="0">
                  <wp:extent cx="276225" cy="285750"/>
                  <wp:effectExtent l="0" t="0" r="9525"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6225" cy="285750"/>
                          </a:xfrm>
                          <a:prstGeom prst="rect">
                            <a:avLst/>
                          </a:prstGeom>
                        </pic:spPr>
                      </pic:pic>
                    </a:graphicData>
                  </a:graphic>
                </wp:inline>
              </w:drawing>
            </w:r>
          </w:p>
        </w:tc>
        <w:tc>
          <w:tcPr>
            <w:tcW w:w="1623" w:type="dxa"/>
          </w:tcPr>
          <w:p>
            <w:pPr>
              <w:pStyle w:val="CorpoAltF0"/>
              <w:spacing w:before="120"/>
              <w:rPr>
                <w:i/>
                <w:noProof/>
                <w:highlight w:val="yellow"/>
              </w:rPr>
            </w:pPr>
            <w:r>
              <w:rPr>
                <w:i/>
                <w:noProof/>
              </w:rPr>
              <w:t>Dettaglio:</w:t>
            </w:r>
          </w:p>
        </w:tc>
        <w:tc>
          <w:tcPr>
            <w:tcW w:w="7596" w:type="dxa"/>
            <w:gridSpan w:val="3"/>
          </w:tcPr>
          <w:p>
            <w:pPr>
              <w:pStyle w:val="CorpoAltF0"/>
              <w:spacing w:before="120"/>
              <w:ind w:right="160"/>
            </w:pPr>
            <w:r>
              <w:t>mediante tale pulsante è possibile visualizzare i dati dei soci di aziende artigiane presenti nel file.</w:t>
            </w:r>
          </w:p>
          <w:p>
            <w:pPr>
              <w:pStyle w:val="CorpoAltF0"/>
              <w:spacing w:before="40"/>
              <w:ind w:right="160"/>
            </w:pPr>
            <w:r>
              <w:t>Dal file vengono rilevate le seguenti informazioni:</w:t>
            </w:r>
          </w:p>
          <w:p>
            <w:pPr>
              <w:pStyle w:val="CorpoAltF0"/>
              <w:spacing w:before="40"/>
              <w:ind w:right="160"/>
            </w:pPr>
            <w:r>
              <w:t>codice fiscale, data entrata, data uscita, classe di rischio, importo premio e applicabilità riduzione L. 147/2013 (su rata e/o regolazione).</w:t>
            </w:r>
          </w:p>
          <w:p>
            <w:pPr>
              <w:pStyle w:val="CorpoAltF0"/>
              <w:spacing w:before="120"/>
              <w:jc w:val="center"/>
              <w:rPr>
                <w:noProof/>
                <w:highlight w:val="yellow"/>
              </w:rPr>
            </w:pPr>
            <w:r>
              <w:rPr>
                <w:noProof/>
              </w:rPr>
              <w:drawing>
                <wp:inline distT="0" distB="0" distL="0" distR="0">
                  <wp:extent cx="4680000" cy="692362"/>
                  <wp:effectExtent l="0" t="0" r="6350" b="0"/>
                  <wp:docPr id="126" name="Immagin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80000" cy="692362"/>
                          </a:xfrm>
                          <a:prstGeom prst="rect">
                            <a:avLst/>
                          </a:prstGeom>
                        </pic:spPr>
                      </pic:pic>
                    </a:graphicData>
                  </a:graphic>
                </wp:inline>
              </w:drawing>
            </w:r>
          </w:p>
          <w:p>
            <w:pPr>
              <w:pStyle w:val="CorpoAltF0"/>
              <w:spacing w:before="120"/>
              <w:ind w:right="160"/>
            </w:pPr>
            <w:r>
              <w:t>Nella colonna “</w:t>
            </w:r>
            <w:r>
              <w:rPr>
                <w:i/>
              </w:rPr>
              <w:t>Motivazione</w:t>
            </w:r>
            <w:r>
              <w:t>” vengono evidenziate le differenze fra i dati rilevati nelle basi di calcolo e quelli presenti nella relativa anagrafica PAGHE.</w:t>
            </w:r>
          </w:p>
          <w:p>
            <w:pPr>
              <w:pStyle w:val="CorpoAltF0"/>
              <w:ind w:right="160"/>
            </w:pPr>
            <w:r>
              <w:t>In tale campo possono essere evidenziate le seguenti segnalazioni:</w:t>
            </w:r>
          </w:p>
          <w:p>
            <w:pPr>
              <w:pStyle w:val="CorpoAltF0"/>
              <w:numPr>
                <w:ilvl w:val="0"/>
                <w:numId w:val="26"/>
              </w:numPr>
              <w:spacing w:before="60"/>
              <w:ind w:left="159" w:right="159" w:hanging="142"/>
            </w:pPr>
            <w:r>
              <w:rPr>
                <w:i/>
              </w:rPr>
              <w:t>Sconto L. 147/13</w:t>
            </w:r>
          </w:p>
          <w:p>
            <w:pPr>
              <w:pStyle w:val="CorpoAltF0"/>
              <w:spacing w:before="60"/>
              <w:ind w:left="159" w:right="159"/>
            </w:pPr>
            <w:r>
              <w:t>rilevata applicabilità dello sconto L. 147/13 su regolazione, non inserito nella relativa sezione “</w:t>
            </w:r>
            <w:r>
              <w:rPr>
                <w:i/>
              </w:rPr>
              <w:t>Soci</w:t>
            </w:r>
            <w:r>
              <w:t>”;</w:t>
            </w:r>
          </w:p>
          <w:p>
            <w:pPr>
              <w:pStyle w:val="CorpoAltF0"/>
              <w:numPr>
                <w:ilvl w:val="0"/>
                <w:numId w:val="26"/>
              </w:numPr>
              <w:spacing w:before="60"/>
              <w:ind w:left="159" w:right="159" w:hanging="142"/>
            </w:pPr>
            <w:r>
              <w:rPr>
                <w:i/>
              </w:rPr>
              <w:t>Socio con classe diversa</w:t>
            </w:r>
          </w:p>
          <w:p>
            <w:pPr>
              <w:pStyle w:val="CorpoAltF0"/>
              <w:spacing w:before="60"/>
              <w:ind w:left="159" w:right="159"/>
            </w:pPr>
            <w:r>
              <w:t>la classe di rischio rilevata per il soggetto nelle basi di calcolo risulta diversa da quella indicata nella relativa sezione “</w:t>
            </w:r>
            <w:r>
              <w:rPr>
                <w:i/>
              </w:rPr>
              <w:t>Soci</w:t>
            </w:r>
            <w:r>
              <w:t>”;</w:t>
            </w:r>
          </w:p>
          <w:p>
            <w:pPr>
              <w:pStyle w:val="CorpoAltF0"/>
              <w:numPr>
                <w:ilvl w:val="0"/>
                <w:numId w:val="26"/>
              </w:numPr>
              <w:spacing w:before="60"/>
              <w:ind w:left="159" w:right="159" w:hanging="142"/>
            </w:pPr>
            <w:r>
              <w:rPr>
                <w:i/>
              </w:rPr>
              <w:t>Socio uscito (NO RATA)</w:t>
            </w:r>
          </w:p>
          <w:p>
            <w:pPr>
              <w:pStyle w:val="CorpoAltF0"/>
              <w:spacing w:before="60"/>
              <w:ind w:left="159" w:right="159"/>
            </w:pPr>
            <w:r>
              <w:t>per il socio risulta indicata nelle basi una data di uscita non presente nella relativa sezione “</w:t>
            </w:r>
            <w:r>
              <w:rPr>
                <w:i/>
              </w:rPr>
              <w:t>Soci</w:t>
            </w:r>
            <w:r>
              <w:t>”;</w:t>
            </w:r>
          </w:p>
          <w:p>
            <w:pPr>
              <w:pStyle w:val="CorpoAltF0"/>
              <w:numPr>
                <w:ilvl w:val="0"/>
                <w:numId w:val="26"/>
              </w:numPr>
              <w:spacing w:before="60"/>
              <w:ind w:left="159" w:right="159" w:hanging="142"/>
            </w:pPr>
            <w:r>
              <w:rPr>
                <w:i/>
              </w:rPr>
              <w:t>Socio non trovato in PAT</w:t>
            </w:r>
          </w:p>
          <w:p>
            <w:pPr>
              <w:pStyle w:val="CorpoAltF0"/>
              <w:ind w:left="160" w:right="160"/>
            </w:pPr>
            <w:r>
              <w:t>il codice fiscale presente nelle basi di calcolo non risulta presente nella relativa sezione “</w:t>
            </w:r>
            <w:r>
              <w:rPr>
                <w:i/>
              </w:rPr>
              <w:t>Soci</w:t>
            </w:r>
            <w:r>
              <w:t>”.</w:t>
            </w:r>
          </w:p>
          <w:p>
            <w:pPr>
              <w:pStyle w:val="CorpoAltF0"/>
              <w:rPr>
                <w:highlight w:val="yellow"/>
              </w:rPr>
            </w:pPr>
          </w:p>
        </w:tc>
      </w:tr>
      <w:tr>
        <w:tc>
          <w:tcPr>
            <w:tcW w:w="636" w:type="dxa"/>
          </w:tcPr>
          <w:p>
            <w:pPr>
              <w:pStyle w:val="CorpoAltF0"/>
              <w:spacing w:before="120"/>
              <w:jc w:val="center"/>
            </w:pPr>
            <w:r>
              <w:rPr>
                <w:noProof/>
              </w:rPr>
              <w:drawing>
                <wp:inline distT="0" distB="0" distL="0" distR="0">
                  <wp:extent cx="257211" cy="247685"/>
                  <wp:effectExtent l="0" t="0" r="9525" b="0"/>
                  <wp:docPr id="90" name="Immagine 90" descr="Ritaglio scherm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FAC97F.tmp"/>
                          <pic:cNvPicPr/>
                        </pic:nvPicPr>
                        <pic:blipFill>
                          <a:blip r:embed="rId21">
                            <a:extLst>
                              <a:ext uri="{28A0092B-C50C-407E-A947-70E740481C1C}">
                                <a14:useLocalDpi xmlns:a14="http://schemas.microsoft.com/office/drawing/2010/main" val="0"/>
                              </a:ext>
                            </a:extLst>
                          </a:blip>
                          <a:stretch>
                            <a:fillRect/>
                          </a:stretch>
                        </pic:blipFill>
                        <pic:spPr>
                          <a:xfrm>
                            <a:off x="0" y="0"/>
                            <a:ext cx="257211" cy="247685"/>
                          </a:xfrm>
                          <a:prstGeom prst="rect">
                            <a:avLst/>
                          </a:prstGeom>
                        </pic:spPr>
                      </pic:pic>
                    </a:graphicData>
                  </a:graphic>
                </wp:inline>
              </w:drawing>
            </w:r>
          </w:p>
        </w:tc>
        <w:tc>
          <w:tcPr>
            <w:tcW w:w="1623" w:type="dxa"/>
          </w:tcPr>
          <w:p>
            <w:pPr>
              <w:pStyle w:val="CorpoAltF0"/>
              <w:spacing w:before="120"/>
              <w:rPr>
                <w:i/>
                <w:noProof/>
              </w:rPr>
            </w:pPr>
            <w:r>
              <w:rPr>
                <w:i/>
                <w:noProof/>
              </w:rPr>
              <w:t>Stampa:</w:t>
            </w:r>
          </w:p>
        </w:tc>
        <w:tc>
          <w:tcPr>
            <w:tcW w:w="7596" w:type="dxa"/>
            <w:gridSpan w:val="3"/>
          </w:tcPr>
          <w:p>
            <w:pPr>
              <w:pStyle w:val="CorpoAltF0"/>
              <w:spacing w:before="120"/>
              <w:ind w:right="160"/>
            </w:pPr>
            <w:r>
              <w:t>con tale pulsante è possibile eseguire la stampa delle informazioni presenti in griglia, riportando se presenti anche i dati dei soci.</w:t>
            </w:r>
          </w:p>
          <w:p>
            <w:pPr>
              <w:pStyle w:val="CorpoAltF0"/>
            </w:pPr>
          </w:p>
        </w:tc>
      </w:tr>
      <w:tr>
        <w:trPr>
          <w:gridAfter w:val="1"/>
          <w:wAfter w:w="98" w:type="dxa"/>
        </w:trPr>
        <w:tc>
          <w:tcPr>
            <w:tcW w:w="636" w:type="dxa"/>
          </w:tcPr>
          <w:p>
            <w:pPr>
              <w:pStyle w:val="CorpoAltF0"/>
              <w:spacing w:before="120"/>
              <w:jc w:val="center"/>
              <w:rPr>
                <w:noProof/>
              </w:rPr>
            </w:pPr>
            <w:r>
              <w:rPr>
                <w:noProof/>
              </w:rPr>
              <w:lastRenderedPageBreak/>
              <w:drawing>
                <wp:inline distT="0" distB="0" distL="0" distR="0">
                  <wp:extent cx="238158" cy="200053"/>
                  <wp:effectExtent l="0" t="0" r="9525" b="9525"/>
                  <wp:docPr id="6" name="Immagine 6" descr="Ritaglio scherm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0C78B6.tmp"/>
                          <pic:cNvPicPr/>
                        </pic:nvPicPr>
                        <pic:blipFill>
                          <a:blip r:embed="rId22">
                            <a:extLst>
                              <a:ext uri="{28A0092B-C50C-407E-A947-70E740481C1C}">
                                <a14:useLocalDpi xmlns:a14="http://schemas.microsoft.com/office/drawing/2010/main" val="0"/>
                              </a:ext>
                            </a:extLst>
                          </a:blip>
                          <a:stretch>
                            <a:fillRect/>
                          </a:stretch>
                        </pic:blipFill>
                        <pic:spPr>
                          <a:xfrm>
                            <a:off x="0" y="0"/>
                            <a:ext cx="238158" cy="200053"/>
                          </a:xfrm>
                          <a:prstGeom prst="rect">
                            <a:avLst/>
                          </a:prstGeom>
                        </pic:spPr>
                      </pic:pic>
                    </a:graphicData>
                  </a:graphic>
                </wp:inline>
              </w:drawing>
            </w:r>
          </w:p>
        </w:tc>
        <w:tc>
          <w:tcPr>
            <w:tcW w:w="1644" w:type="dxa"/>
            <w:gridSpan w:val="2"/>
          </w:tcPr>
          <w:p>
            <w:pPr>
              <w:pStyle w:val="CorpoAltF0"/>
              <w:spacing w:before="120"/>
              <w:rPr>
                <w:i/>
                <w:noProof/>
              </w:rPr>
            </w:pPr>
            <w:r>
              <w:rPr>
                <w:i/>
                <w:noProof/>
              </w:rPr>
              <w:t>Imposta filtri:</w:t>
            </w:r>
            <w:bookmarkStart w:id="44" w:name="Filtri"/>
            <w:bookmarkEnd w:id="44"/>
          </w:p>
        </w:tc>
        <w:tc>
          <w:tcPr>
            <w:tcW w:w="7477" w:type="dxa"/>
          </w:tcPr>
          <w:p>
            <w:pPr>
              <w:pStyle w:val="CorpoAltF0"/>
              <w:spacing w:before="120"/>
              <w:ind w:right="160"/>
            </w:pPr>
            <w:r>
              <w:t>mediante il suddetto pulsante è possibile limitare l’elaborazione del comando in oggetto alle sole aziende selezionate, anche mediante un’apposita “lista aziende” preimpostata.</w:t>
            </w:r>
          </w:p>
          <w:p>
            <w:pPr>
              <w:pStyle w:val="CorpoAltF0"/>
              <w:spacing w:before="60"/>
              <w:ind w:right="159"/>
            </w:pPr>
            <w:r>
              <w:t>Il pulsante risulterà attivo per tutte le scelte del campo “</w:t>
            </w:r>
            <w:r>
              <w:rPr>
                <w:i/>
              </w:rPr>
              <w:t>Tipo selezione</w:t>
            </w:r>
            <w:r>
              <w:t>” ad eccezione della scelta “</w:t>
            </w:r>
            <w:r>
              <w:rPr>
                <w:i/>
              </w:rPr>
              <w:t>Rate non corrispondenti</w:t>
            </w:r>
            <w:r>
              <w:t>”.</w:t>
            </w:r>
          </w:p>
          <w:p>
            <w:pPr>
              <w:pStyle w:val="CorpoAltF0"/>
            </w:pPr>
          </w:p>
        </w:tc>
      </w:tr>
      <w:tr>
        <w:trPr>
          <w:gridAfter w:val="1"/>
          <w:wAfter w:w="98" w:type="dxa"/>
        </w:trPr>
        <w:tc>
          <w:tcPr>
            <w:tcW w:w="636" w:type="dxa"/>
          </w:tcPr>
          <w:p>
            <w:pPr>
              <w:pStyle w:val="CorpoAltF0"/>
              <w:spacing w:before="120"/>
              <w:jc w:val="center"/>
              <w:rPr>
                <w:noProof/>
              </w:rPr>
            </w:pPr>
            <w:r>
              <w:rPr>
                <w:noProof/>
              </w:rPr>
              <w:drawing>
                <wp:inline distT="0" distB="0" distL="0" distR="0">
                  <wp:extent cx="200053" cy="219106"/>
                  <wp:effectExtent l="0" t="0" r="9525" b="9525"/>
                  <wp:docPr id="85" name="Immagine 85" descr="Ritaglio scherm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40C55CC.tmp"/>
                          <pic:cNvPicPr/>
                        </pic:nvPicPr>
                        <pic:blipFill>
                          <a:blip r:embed="rId23">
                            <a:extLst>
                              <a:ext uri="{28A0092B-C50C-407E-A947-70E740481C1C}">
                                <a14:useLocalDpi xmlns:a14="http://schemas.microsoft.com/office/drawing/2010/main" val="0"/>
                              </a:ext>
                            </a:extLst>
                          </a:blip>
                          <a:stretch>
                            <a:fillRect/>
                          </a:stretch>
                        </pic:blipFill>
                        <pic:spPr>
                          <a:xfrm>
                            <a:off x="0" y="0"/>
                            <a:ext cx="200053" cy="219106"/>
                          </a:xfrm>
                          <a:prstGeom prst="rect">
                            <a:avLst/>
                          </a:prstGeom>
                        </pic:spPr>
                      </pic:pic>
                    </a:graphicData>
                  </a:graphic>
                </wp:inline>
              </w:drawing>
            </w:r>
          </w:p>
        </w:tc>
        <w:tc>
          <w:tcPr>
            <w:tcW w:w="1644" w:type="dxa"/>
            <w:gridSpan w:val="2"/>
          </w:tcPr>
          <w:p>
            <w:pPr>
              <w:pStyle w:val="CorpoAltF0"/>
              <w:spacing w:before="120"/>
              <w:rPr>
                <w:i/>
                <w:noProof/>
              </w:rPr>
            </w:pPr>
            <w:r>
              <w:rPr>
                <w:i/>
                <w:noProof/>
              </w:rPr>
              <w:t>Annulla filtri:</w:t>
            </w:r>
          </w:p>
        </w:tc>
        <w:tc>
          <w:tcPr>
            <w:tcW w:w="7477" w:type="dxa"/>
          </w:tcPr>
          <w:p>
            <w:pPr>
              <w:pStyle w:val="CorpoAltF0"/>
              <w:spacing w:before="120"/>
              <w:ind w:right="160"/>
            </w:pPr>
            <w:r>
              <w:t>consente di eliminare il filtro eventualmente impostato.</w:t>
            </w:r>
          </w:p>
        </w:tc>
      </w:tr>
    </w:tbl>
    <w:p>
      <w:pPr>
        <w:pStyle w:val="CorpoAltF0"/>
        <w:rPr>
          <w:highlight w:val="yellow"/>
        </w:rPr>
      </w:pPr>
    </w:p>
    <w:p>
      <w:pPr>
        <w:pStyle w:val="CorpoAltF0"/>
        <w:rPr>
          <w:highlight w:val="yellow"/>
        </w:rPr>
      </w:pPr>
    </w:p>
    <w:p>
      <w:pPr>
        <w:pStyle w:val="CorpoAltF0"/>
        <w:rPr>
          <w:b/>
          <w:i/>
          <w:u w:val="single"/>
        </w:rPr>
      </w:pPr>
      <w:r>
        <w:rPr>
          <w:b/>
          <w:i/>
          <w:u w:val="single"/>
        </w:rPr>
        <w:t>Solo modificati</w:t>
      </w:r>
    </w:p>
    <w:p>
      <w:pPr>
        <w:pStyle w:val="CorpoAltF0"/>
        <w:spacing w:before="60"/>
      </w:pPr>
      <w:r>
        <w:t>Vengono visualizzati solo i dati delle PAT-VOCI per le quali non c’è corrispondenza fra:</w:t>
      </w:r>
    </w:p>
    <w:p>
      <w:pPr>
        <w:pStyle w:val="CorpoAltF0"/>
        <w:numPr>
          <w:ilvl w:val="0"/>
          <w:numId w:val="3"/>
        </w:numPr>
        <w:spacing w:before="60"/>
        <w:ind w:left="425" w:hanging="357"/>
      </w:pPr>
      <w:r>
        <w:t>i tassi presenti nel file e quelli presenti nell’anagrafica azienda;</w:t>
      </w:r>
    </w:p>
    <w:p>
      <w:pPr>
        <w:pStyle w:val="CorpoAltF0"/>
        <w:numPr>
          <w:ilvl w:val="0"/>
          <w:numId w:val="3"/>
        </w:numPr>
        <w:spacing w:before="60"/>
        <w:ind w:left="425" w:hanging="357"/>
      </w:pPr>
      <w:r>
        <w:t>l’importo della rata anticipata con quello presente nella denuncia 10SM relativa all’anno precedente;</w:t>
      </w:r>
    </w:p>
    <w:p>
      <w:pPr>
        <w:pStyle w:val="CorpoAltF0"/>
        <w:numPr>
          <w:ilvl w:val="0"/>
          <w:numId w:val="3"/>
        </w:numPr>
        <w:spacing w:before="60"/>
        <w:ind w:left="425" w:hanging="357"/>
      </w:pPr>
      <w:r>
        <w:t xml:space="preserve">i dati dei soci presenti nel file con quelli presenti in </w:t>
      </w:r>
      <w:r>
        <w:rPr>
          <w:b/>
        </w:rPr>
        <w:t>AZIE</w:t>
      </w:r>
    </w:p>
    <w:p>
      <w:pPr>
        <w:pStyle w:val="CorpoAltF0"/>
        <w:spacing w:before="120"/>
      </w:pPr>
      <w:r>
        <w:t>I dati della specifica PAT-VOCE vengono visualizzati se non c’è corrispondenza in almeno una delle tipologie di informazioni sopra descritte.</w:t>
      </w:r>
    </w:p>
    <w:p>
      <w:pPr>
        <w:pStyle w:val="CorpoAltF0"/>
        <w:spacing w:before="120"/>
      </w:pPr>
      <w:r>
        <w:t>La differenza di tasso per la specifica PAT-VOCE viene evidenziato mediante un pallino rosso accanto al tasso (il tasso che viene visualizzato è quello presente nel file delle basi di calcolo).</w:t>
      </w:r>
    </w:p>
    <w:p>
      <w:pPr>
        <w:pStyle w:val="CorpoAltF0"/>
        <w:spacing w:before="120"/>
      </w:pPr>
      <w:r>
        <w:t>Inoltre, viene visualizzata anche la PAT-VOCE per la quale nel file è presente un importo di imponibile per rata (presunto).</w:t>
      </w:r>
    </w:p>
    <w:p>
      <w:pPr>
        <w:pStyle w:val="CorpoAltF0"/>
        <w:rPr>
          <w:highlight w:val="yellow"/>
        </w:rPr>
      </w:pPr>
    </w:p>
    <w:p>
      <w:pPr>
        <w:pStyle w:val="CorpoAltF0"/>
        <w:rPr>
          <w:highlight w:val="yellow"/>
        </w:rPr>
      </w:pPr>
    </w:p>
    <w:p>
      <w:pPr>
        <w:pStyle w:val="CorpoAltF0"/>
        <w:rPr>
          <w:b/>
          <w:i/>
          <w:u w:val="single"/>
        </w:rPr>
      </w:pPr>
      <w:r>
        <w:rPr>
          <w:b/>
          <w:i/>
          <w:u w:val="single"/>
        </w:rPr>
        <w:t>Rate non corrispondenti</w:t>
      </w:r>
    </w:p>
    <w:p>
      <w:pPr>
        <w:pStyle w:val="CorpoAltF0"/>
        <w:spacing w:before="60"/>
      </w:pPr>
      <w:r>
        <w:t>Vengono visualizzate solo le aziende per le quali non corrisponde la rata anticipata presente nel file con quella presente nella gestione dichiarazione dell’anno precedente (10SM), visualizzando i relativi importi (quello presente nel file nella prima colonna, quello in 10SM nella seconda colonna).</w:t>
      </w:r>
    </w:p>
    <w:p>
      <w:pPr>
        <w:pStyle w:val="CorpoAltF0"/>
        <w:spacing w:before="120"/>
        <w:jc w:val="center"/>
        <w:rPr>
          <w:noProof/>
        </w:rPr>
      </w:pPr>
      <w:r>
        <w:rPr>
          <w:noProof/>
        </w:rPr>
        <w:drawing>
          <wp:inline distT="0" distB="0" distL="0" distR="0">
            <wp:extent cx="5760000" cy="911895"/>
            <wp:effectExtent l="0" t="0" r="0" b="2540"/>
            <wp:docPr id="127" name="Immagin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000" cy="911895"/>
                    </a:xfrm>
                    <a:prstGeom prst="rect">
                      <a:avLst/>
                    </a:prstGeom>
                  </pic:spPr>
                </pic:pic>
              </a:graphicData>
            </a:graphic>
          </wp:inline>
        </w:drawing>
      </w:r>
    </w:p>
    <w:p>
      <w:pPr>
        <w:pStyle w:val="CorpoAltF0"/>
      </w:pPr>
    </w:p>
    <w:p>
      <w:pPr>
        <w:pStyle w:val="CorpoAltF0"/>
      </w:pPr>
    </w:p>
    <w:p>
      <w:pPr>
        <w:pStyle w:val="CorpoAltF0"/>
        <w:rPr>
          <w:b/>
          <w:i/>
          <w:u w:val="single"/>
        </w:rPr>
      </w:pPr>
      <w:r>
        <w:rPr>
          <w:b/>
          <w:i/>
          <w:u w:val="single"/>
        </w:rPr>
        <w:t>Solo voci non presenti</w:t>
      </w:r>
    </w:p>
    <w:p>
      <w:pPr>
        <w:pStyle w:val="CorpoAltF0"/>
        <w:spacing w:before="120"/>
      </w:pPr>
      <w:r>
        <w:t>Vengono visualizzate solo le PAT-VOCI presenti nel file ma non presenti nell’anagrafica azienda (</w:t>
      </w:r>
      <w:r>
        <w:rPr>
          <w:b/>
        </w:rPr>
        <w:t>AZIE</w:t>
      </w:r>
      <w:r>
        <w:t xml:space="preserve"> &gt; scheda “</w:t>
      </w:r>
      <w:r>
        <w:rPr>
          <w:i/>
        </w:rPr>
        <w:t>Inail</w:t>
      </w:r>
      <w:r>
        <w:t>” &gt; “</w:t>
      </w:r>
      <w:r>
        <w:rPr>
          <w:i/>
        </w:rPr>
        <w:t>Gestione posizioni Inail</w:t>
      </w:r>
      <w:r>
        <w:t>”)</w:t>
      </w:r>
    </w:p>
    <w:p>
      <w:pPr>
        <w:pStyle w:val="CorpoAltF0"/>
        <w:spacing w:before="120"/>
        <w:jc w:val="center"/>
        <w:rPr>
          <w:noProof/>
        </w:rPr>
      </w:pPr>
      <w:r>
        <w:rPr>
          <w:noProof/>
        </w:rPr>
        <w:drawing>
          <wp:inline distT="0" distB="0" distL="0" distR="0">
            <wp:extent cx="5760000" cy="1112680"/>
            <wp:effectExtent l="0" t="0" r="0" b="0"/>
            <wp:docPr id="87" name="Immagin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000" cy="1112680"/>
                    </a:xfrm>
                    <a:prstGeom prst="rect">
                      <a:avLst/>
                    </a:prstGeom>
                  </pic:spPr>
                </pic:pic>
              </a:graphicData>
            </a:graphic>
          </wp:inline>
        </w:drawing>
      </w:r>
    </w:p>
    <w:p>
      <w:pPr>
        <w:pStyle w:val="CorpoAltF0"/>
        <w:rPr>
          <w:highlight w:val="yellow"/>
        </w:rPr>
      </w:pPr>
      <w:r>
        <w:rPr>
          <w:highlight w:val="yellow"/>
        </w:rPr>
        <w:br w:type="page"/>
      </w:r>
    </w:p>
    <w:p>
      <w:pPr>
        <w:pStyle w:val="CorpoAltF0"/>
        <w:rPr>
          <w:highlight w:val="yellow"/>
        </w:rPr>
      </w:pPr>
      <w:bookmarkStart w:id="45" w:name="_Toc313898468"/>
    </w:p>
    <w:p>
      <w:pPr>
        <w:pStyle w:val="TS-titolo-05"/>
      </w:pPr>
      <w:bookmarkStart w:id="46" w:name="_Toc471235841"/>
      <w:bookmarkStart w:id="47" w:name="_Toc6329817"/>
      <w:r>
        <w:t>Aggiornamento</w:t>
      </w:r>
      <w:bookmarkEnd w:id="45"/>
      <w:bookmarkEnd w:id="46"/>
      <w:bookmarkEnd w:id="47"/>
    </w:p>
    <w:p>
      <w:pPr>
        <w:pStyle w:val="CorpoAltF0"/>
        <w:spacing w:before="120"/>
      </w:pPr>
      <w:r>
        <w:t>Attraverso il secondo campo “</w:t>
      </w:r>
      <w:r>
        <w:rPr>
          <w:i/>
        </w:rPr>
        <w:t>Aggiornamento</w:t>
      </w:r>
      <w:r>
        <w:t>” è possibile scegliere se aggiornare negli archivi PAGHE alcune informazioni presenti nel file delle base di calcolo.</w:t>
      </w:r>
    </w:p>
    <w:p>
      <w:pPr>
        <w:pStyle w:val="CorpoAltF0"/>
        <w:spacing w:before="120" w:after="120"/>
      </w:pPr>
      <w:r>
        <w:t>Il campo prevede le seguenti opzioni:</w:t>
      </w:r>
    </w:p>
    <w:tbl>
      <w:tblPr>
        <w:tblW w:w="0" w:type="auto"/>
        <w:tblLook w:val="01E0" w:firstRow="1" w:lastRow="1" w:firstColumn="1" w:lastColumn="1" w:noHBand="0" w:noVBand="0"/>
      </w:tblPr>
      <w:tblGrid>
        <w:gridCol w:w="2350"/>
        <w:gridCol w:w="7289"/>
      </w:tblGrid>
      <w:tr>
        <w:tc>
          <w:tcPr>
            <w:tcW w:w="2350" w:type="dxa"/>
          </w:tcPr>
          <w:p>
            <w:pPr>
              <w:pStyle w:val="CorpoAltF0"/>
              <w:spacing w:before="120"/>
              <w:rPr>
                <w:i/>
              </w:rPr>
            </w:pPr>
            <w:r>
              <w:rPr>
                <w:i/>
              </w:rPr>
              <w:t>Nessuna selezione:</w:t>
            </w:r>
          </w:p>
        </w:tc>
        <w:tc>
          <w:tcPr>
            <w:tcW w:w="7289" w:type="dxa"/>
          </w:tcPr>
          <w:p>
            <w:pPr>
              <w:pStyle w:val="CorpoAltF0"/>
              <w:spacing w:before="120"/>
            </w:pPr>
            <w:r>
              <w:t>selezionando il tasto conferma il programma non effettua alcun aggiornamento;</w:t>
            </w:r>
          </w:p>
        </w:tc>
      </w:tr>
      <w:tr>
        <w:tc>
          <w:tcPr>
            <w:tcW w:w="2350" w:type="dxa"/>
          </w:tcPr>
          <w:p>
            <w:pPr>
              <w:pStyle w:val="CorpoAltF0"/>
              <w:spacing w:before="120"/>
              <w:rPr>
                <w:i/>
              </w:rPr>
            </w:pPr>
            <w:r>
              <w:rPr>
                <w:i/>
              </w:rPr>
              <w:t>Aggiorna il tasso:</w:t>
            </w:r>
          </w:p>
        </w:tc>
        <w:tc>
          <w:tcPr>
            <w:tcW w:w="7289" w:type="dxa"/>
          </w:tcPr>
          <w:p>
            <w:pPr>
              <w:pStyle w:val="CorpoAltF0"/>
              <w:spacing w:before="120"/>
            </w:pPr>
            <w:r>
              <w:t>selezionando il tasto conferma il programma, solo per la PAT-VOCE presente in anagrafica azienda, provvede ad aggiornare il tasso sia per l’anno di regolazione che per l’anno di rata se diverso da quello presente nel file delle basi di calcolo. Sulla base del valore presente ai campi “</w:t>
            </w:r>
            <w:r>
              <w:rPr>
                <w:i/>
              </w:rPr>
              <w:t>Riduzione legge 147/2013</w:t>
            </w:r>
            <w:r>
              <w:t>” e “</w:t>
            </w:r>
            <w:r>
              <w:rPr>
                <w:i/>
              </w:rPr>
              <w:t>Addizionale amianto L. 244/2007</w:t>
            </w:r>
            <w:r>
              <w:t>” delle basi di calcolo (con riferimento alla regolazione ed alla rata), vengono automaticamente aggiornati i campi “</w:t>
            </w:r>
            <w:r>
              <w:rPr>
                <w:i/>
              </w:rPr>
              <w:t>L.147/13</w:t>
            </w:r>
            <w:r>
              <w:t>” e “</w:t>
            </w:r>
            <w:r>
              <w:rPr>
                <w:i/>
              </w:rPr>
              <w:t>Amianto</w:t>
            </w:r>
            <w:r>
              <w:t>” delle corrispondenti PAT/Voci presenti nella scheda “</w:t>
            </w:r>
            <w:r>
              <w:rPr>
                <w:i/>
              </w:rPr>
              <w:t>INAIL</w:t>
            </w:r>
            <w:r>
              <w:t xml:space="preserve">” di </w:t>
            </w:r>
            <w:r>
              <w:rPr>
                <w:b/>
              </w:rPr>
              <w:t>AZIE</w:t>
            </w:r>
            <w:r>
              <w:t>.</w:t>
            </w:r>
          </w:p>
          <w:p>
            <w:pPr>
              <w:pStyle w:val="CorpoAltF0"/>
              <w:spacing w:before="120"/>
            </w:pPr>
            <w:r>
              <w:t>Con riferimento alle aziende artigiane interessate dalla riduzione L. 296/06, art. 1 co. 780 e 781 (valorizzazione del campo “</w:t>
            </w:r>
            <w:r>
              <w:rPr>
                <w:i/>
              </w:rPr>
              <w:t>Requisiti ex l. 296/2006 art. 1 c. 780/781 &gt; Anno prec.</w:t>
            </w:r>
            <w:r>
              <w:t>” nella scheda “</w:t>
            </w:r>
            <w:r>
              <w:rPr>
                <w:i/>
              </w:rPr>
              <w:t>Dati contributivi</w:t>
            </w:r>
            <w:r>
              <w:t xml:space="preserve">” di </w:t>
            </w:r>
            <w:r>
              <w:rPr>
                <w:b/>
              </w:rPr>
              <w:t>AZIE</w:t>
            </w:r>
            <w:r>
              <w:t>), la funzione di aggiornamento consente, per le singole PAT escluse dalla riduzione (assenza del codice 127 al campo “</w:t>
            </w:r>
            <w:r>
              <w:rPr>
                <w:i/>
              </w:rPr>
              <w:t>Tipo agevolazione</w:t>
            </w:r>
            <w:r>
              <w:t>” delle basi di calcolo), di inserire il valore “N” al campo “</w:t>
            </w:r>
            <w:r>
              <w:rPr>
                <w:i/>
              </w:rPr>
              <w:t>Riduzione aziende artigiane L. 296/06</w:t>
            </w:r>
            <w:r>
              <w:t>” della corrispondente posizione assicurativa inserita nella scheda “</w:t>
            </w:r>
            <w:r>
              <w:rPr>
                <w:i/>
              </w:rPr>
              <w:t>INAIL</w:t>
            </w:r>
            <w:r>
              <w:t xml:space="preserve">” di </w:t>
            </w:r>
            <w:r>
              <w:rPr>
                <w:b/>
              </w:rPr>
              <w:t>AZIE</w:t>
            </w:r>
            <w:r>
              <w:t>.</w:t>
            </w:r>
          </w:p>
          <w:p>
            <w:pPr>
              <w:pStyle w:val="CorpoAltF0"/>
            </w:pPr>
            <w:r>
              <w:t>Inoltre, se nelle basi di calcolo non risulta alcuna PAT caratterizzata dal codice “</w:t>
            </w:r>
            <w:r>
              <w:rPr>
                <w:i/>
              </w:rPr>
              <w:t>Tipo agevolazione</w:t>
            </w:r>
            <w:r>
              <w:t>” 127, il programma provvede a deselezionare il suddetto campo “</w:t>
            </w:r>
            <w:r>
              <w:rPr>
                <w:i/>
              </w:rPr>
              <w:t>Requisiti ex l. 296/2006 art. 1 c. 780/781 &gt; Anno prec.</w:t>
            </w:r>
            <w:r>
              <w:t>” nella scheda “</w:t>
            </w:r>
            <w:r>
              <w:rPr>
                <w:i/>
              </w:rPr>
              <w:t>Dati contributivi</w:t>
            </w:r>
            <w:r>
              <w:t xml:space="preserve">” di </w:t>
            </w:r>
            <w:r>
              <w:rPr>
                <w:b/>
              </w:rPr>
              <w:t>AZIE</w:t>
            </w:r>
            <w:r>
              <w:t>.</w:t>
            </w:r>
          </w:p>
          <w:p>
            <w:pPr>
              <w:pStyle w:val="CorpoAltF0"/>
            </w:pPr>
          </w:p>
        </w:tc>
      </w:tr>
      <w:tr>
        <w:tc>
          <w:tcPr>
            <w:tcW w:w="2350" w:type="dxa"/>
          </w:tcPr>
          <w:p>
            <w:pPr>
              <w:pStyle w:val="CorpoAltF0"/>
              <w:spacing w:before="120"/>
              <w:rPr>
                <w:i/>
              </w:rPr>
            </w:pPr>
            <w:r>
              <w:rPr>
                <w:i/>
              </w:rPr>
              <w:t>Aggiorna i soci artigiani:</w:t>
            </w:r>
          </w:p>
        </w:tc>
        <w:tc>
          <w:tcPr>
            <w:tcW w:w="7289" w:type="dxa"/>
          </w:tcPr>
          <w:p>
            <w:pPr>
              <w:pStyle w:val="CorpoAltF0"/>
              <w:spacing w:before="120"/>
            </w:pPr>
            <w:r>
              <w:t>selezionando il tasto conferma il programma aggiorna la sezione “</w:t>
            </w:r>
            <w:r>
              <w:rPr>
                <w:i/>
              </w:rPr>
              <w:t>Soci</w:t>
            </w:r>
            <w:r>
              <w:t>” all’interno della specifica posizione associata alla PAT/Voce di tariffa indicata nel file delle basi di calcolo.</w:t>
            </w:r>
          </w:p>
          <w:p>
            <w:pPr>
              <w:pStyle w:val="CorpoAltF0"/>
            </w:pPr>
            <w:r>
              <w:t>Verificando la corrispondenza del codice fiscale, per ciascun soggetto già presente nella specifica posizione INAIL dell’azienda, il programma aggiorna la data di uscita e la classe di rischio se diversa da quella presente in PAGHE.</w:t>
            </w:r>
          </w:p>
          <w:p>
            <w:pPr>
              <w:pStyle w:val="CorpoAltF0"/>
            </w:pPr>
            <w:r>
              <w:t>Vengono altresì aggiornati i campi relativi all’applicazione della riduzione L. 147/2013 (su regolazione); si precisa che tale funzione non consente l’aggiornamento degli analoghi campi relativi agli associati in partecipazione (sezione “</w:t>
            </w:r>
            <w:r>
              <w:rPr>
                <w:i/>
              </w:rPr>
              <w:t>Progressivi &gt; Associati in partecipazione</w:t>
            </w:r>
            <w:r>
              <w:t xml:space="preserve">” di </w:t>
            </w:r>
            <w:r>
              <w:rPr>
                <w:b/>
              </w:rPr>
              <w:t>DIPE</w:t>
            </w:r>
            <w:r>
              <w:t>).</w:t>
            </w:r>
          </w:p>
          <w:p>
            <w:pPr>
              <w:pStyle w:val="CorpoAltF0"/>
              <w:spacing w:before="60"/>
            </w:pPr>
            <w:r>
              <w:t>Per i soggetti che non risultano presenti in PAGHE (codice fiscale presente nel file ma diverso da quello presente nella sezione “</w:t>
            </w:r>
            <w:r>
              <w:rPr>
                <w:i/>
              </w:rPr>
              <w:t>Soci</w:t>
            </w:r>
            <w:r>
              <w:t>”) il programma inserisce un nuovo soggetto scrivendo il codice fiscale, la data entrata e la data uscita e la classe di rischio. Se tale soggetto risulta associato ad una PAT non presente nelle posizioni INAIL azienda, il programma provvede a creare una nuova posizione (con descrizione “Nuova posizione”) associata alla relativa PAT nella quale viene inserita la voce di tariffa rilevata dalle basi ed il soggetto in questione.</w:t>
            </w:r>
          </w:p>
          <w:p>
            <w:pPr>
              <w:pStyle w:val="CorpoAltF0"/>
              <w:spacing w:before="60"/>
            </w:pPr>
            <w:r>
              <w:t>Qualora con riferimento al soggetto artigiano siano indicati nelle basi di calcolo due periodi non continuativi, il programma provvede ad inserire la data di uscita (corrispondente alla fine del primo periodo) nell’anagrafica già esistente per tale soggetto, e a creare una nuova anagrafica per il soggetto stesso (se non già presente) con data di entrata corrispondente all’inizio del secondo periodo. In ogni caso, se già presenti le anagrafiche con le rispettive date di entrata e di uscita, il programma provvederà ad aggiornare le classi di rischio in funzione del periodo di pertinenza.</w:t>
            </w:r>
          </w:p>
          <w:p>
            <w:pPr>
              <w:pStyle w:val="CorpoAltF0"/>
            </w:pPr>
          </w:p>
        </w:tc>
      </w:tr>
      <w:tr>
        <w:tc>
          <w:tcPr>
            <w:tcW w:w="2350" w:type="dxa"/>
          </w:tcPr>
          <w:p>
            <w:pPr>
              <w:pStyle w:val="CorpoAltF0"/>
              <w:spacing w:before="120"/>
              <w:rPr>
                <w:i/>
              </w:rPr>
            </w:pPr>
            <w:r>
              <w:rPr>
                <w:i/>
              </w:rPr>
              <w:t>Aggiorna tasso e soci artigiani:</w:t>
            </w:r>
          </w:p>
        </w:tc>
        <w:tc>
          <w:tcPr>
            <w:tcW w:w="7289" w:type="dxa"/>
          </w:tcPr>
          <w:p>
            <w:pPr>
              <w:pStyle w:val="CorpoAltF0"/>
              <w:spacing w:before="120"/>
            </w:pPr>
            <w:r>
              <w:t>il programma provvede ad aggiornare entrambe le tipologie di informazioni come descritto nei punti precedenti.</w:t>
            </w:r>
          </w:p>
          <w:p>
            <w:pPr>
              <w:pStyle w:val="CorpoAltF0"/>
            </w:pPr>
          </w:p>
        </w:tc>
      </w:tr>
    </w:tbl>
    <w:p>
      <w:pPr>
        <w:pStyle w:val="CorpoAltF0"/>
        <w:rPr>
          <w:highlight w:val="yellow"/>
        </w:rPr>
      </w:pPr>
      <w:r>
        <w:rPr>
          <w:highlight w:val="yellow"/>
        </w:rPr>
        <w:br w:type="page"/>
      </w:r>
    </w:p>
    <w:p>
      <w:pPr>
        <w:pStyle w:val="CorpoAltF0"/>
        <w:rPr>
          <w:highlight w:val="yellow"/>
        </w:rPr>
      </w:pPr>
    </w:p>
    <w:tbl>
      <w:tblPr>
        <w:tblW w:w="0" w:type="auto"/>
        <w:tblBorders>
          <w:top w:val="single" w:sz="4" w:space="0" w:color="auto"/>
          <w:left w:val="single" w:sz="4" w:space="0" w:color="auto"/>
          <w:right w:val="single" w:sz="4" w:space="0" w:color="auto"/>
          <w:insideH w:val="single" w:sz="4" w:space="0" w:color="auto"/>
        </w:tblBorders>
        <w:tblCellMar>
          <w:left w:w="70" w:type="dxa"/>
          <w:right w:w="70" w:type="dxa"/>
        </w:tblCellMar>
        <w:tblLook w:val="0000" w:firstRow="0" w:lastRow="0" w:firstColumn="0" w:lastColumn="0" w:noHBand="0" w:noVBand="0"/>
      </w:tblPr>
      <w:tblGrid>
        <w:gridCol w:w="6768"/>
        <w:gridCol w:w="2871"/>
      </w:tblGrid>
      <w:tr>
        <w:trPr>
          <w:trHeight w:val="545"/>
        </w:trPr>
        <w:tc>
          <w:tcPr>
            <w:tcW w:w="6874" w:type="dxa"/>
            <w:tcBorders>
              <w:top w:val="single" w:sz="12" w:space="0" w:color="auto"/>
              <w:left w:val="nil"/>
              <w:bottom w:val="nil"/>
              <w:right w:val="nil"/>
            </w:tcBorders>
          </w:tcPr>
          <w:p>
            <w:pPr>
              <w:pStyle w:val="Intestazione"/>
              <w:outlineLvl w:val="1"/>
              <w:rPr>
                <w:rFonts w:ascii="Arial" w:hAnsi="Arial" w:cs="Arial"/>
                <w:b/>
                <w:i/>
                <w:sz w:val="24"/>
                <w:szCs w:val="24"/>
              </w:rPr>
            </w:pPr>
          </w:p>
        </w:tc>
        <w:tc>
          <w:tcPr>
            <w:tcW w:w="2901" w:type="dxa"/>
            <w:tcBorders>
              <w:top w:val="single" w:sz="4" w:space="0" w:color="auto"/>
              <w:left w:val="nil"/>
              <w:bottom w:val="nil"/>
              <w:right w:val="nil"/>
            </w:tcBorders>
            <w:shd w:val="clear" w:color="auto" w:fill="D9D9D9" w:themeFill="background1" w:themeFillShade="D9"/>
            <w:vAlign w:val="center"/>
          </w:tcPr>
          <w:p>
            <w:pPr>
              <w:pStyle w:val="TS-titolo-Comando"/>
              <w:outlineLvl w:val="1"/>
            </w:pPr>
            <w:bookmarkStart w:id="48" w:name="_Toc6329818"/>
            <w:r>
              <w:t>10SM</w:t>
            </w:r>
            <w:bookmarkEnd w:id="48"/>
          </w:p>
        </w:tc>
      </w:tr>
    </w:tbl>
    <w:p>
      <w:pPr>
        <w:pStyle w:val="Ignora"/>
        <w:rPr>
          <w:highlight w:val="yellow"/>
        </w:rPr>
      </w:pPr>
    </w:p>
    <w:p>
      <w:pPr>
        <w:pStyle w:val="TS-titolo-04"/>
      </w:pPr>
      <w:bookmarkStart w:id="49" w:name="_Toc471235853"/>
      <w:bookmarkStart w:id="50" w:name="_Toc6329819"/>
      <w:r>
        <w:t>Gestione Autoliquidazione INAIL</w:t>
      </w:r>
      <w:bookmarkEnd w:id="49"/>
      <w:bookmarkEnd w:id="50"/>
    </w:p>
    <w:p>
      <w:pPr>
        <w:pStyle w:val="CorpoAltF0"/>
        <w:spacing w:before="120"/>
      </w:pPr>
      <w:r>
        <w:t xml:space="preserve">Il programma </w:t>
      </w:r>
      <w:r>
        <w:rPr>
          <w:b/>
          <w:bCs/>
        </w:rPr>
        <w:t>10SM</w:t>
      </w:r>
      <w:r>
        <w:rPr>
          <w:bCs/>
        </w:rPr>
        <w:t>,</w:t>
      </w:r>
      <w:r>
        <w:t xml:space="preserve"> per la gestione, la stampa e la generazione del file telematico, </w:t>
      </w:r>
      <w:r>
        <w:rPr>
          <w:bCs/>
        </w:rPr>
        <w:t xml:space="preserve">utilizza </w:t>
      </w:r>
      <w:r>
        <w:t xml:space="preserve">gli archivi </w:t>
      </w:r>
      <w:proofErr w:type="spellStart"/>
      <w:r>
        <w:t>SMxxGUI</w:t>
      </w:r>
      <w:proofErr w:type="spellEnd"/>
      <w:r>
        <w:t xml:space="preserve"> e </w:t>
      </w:r>
      <w:proofErr w:type="spellStart"/>
      <w:r>
        <w:t>SMxxPAT</w:t>
      </w:r>
      <w:proofErr w:type="spellEnd"/>
      <w:r>
        <w:t xml:space="preserve"> dove xx corrisponde all’anno della dichiarazione.</w:t>
      </w:r>
    </w:p>
    <w:p>
      <w:pPr>
        <w:pStyle w:val="CorpoAltF0"/>
      </w:pPr>
      <w:r>
        <w:t xml:space="preserve">Selezionando il comando </w:t>
      </w:r>
      <w:r>
        <w:rPr>
          <w:b/>
        </w:rPr>
        <w:t>10SM</w:t>
      </w:r>
      <w:r>
        <w:t xml:space="preserve"> il programma accede alla dichiarazione riferita all’anno precedente a quello indicato nella tabella anno e mese di elaborazione (2018).</w:t>
      </w:r>
    </w:p>
    <w:p>
      <w:pPr>
        <w:pStyle w:val="CorpoAltF0"/>
        <w:rPr>
          <w:highlight w:val="yellow"/>
        </w:rPr>
      </w:pPr>
      <w:r>
        <w:t>Il programma</w:t>
      </w:r>
      <w:r>
        <w:rPr>
          <w:b/>
          <w:bCs/>
        </w:rPr>
        <w:t xml:space="preserve"> 10SM</w:t>
      </w:r>
      <w:r>
        <w:t xml:space="preserve"> è strutturato in tre menù che consentono di operare dal livello inferiore della singola PAT (Menu Gestione PAT) fino al livello superiore della denuncia complessiva (Menu Gestione liquidazioni) e quindi alle stampe del modello 10SM e dei prospetti riepilogativi di versamento (Menu Principale).</w:t>
      </w:r>
    </w:p>
    <w:p>
      <w:pPr>
        <w:pStyle w:val="CorpoAltF0"/>
        <w:spacing w:before="120" w:after="120"/>
        <w:jc w:val="center"/>
        <w:rPr>
          <w:noProof/>
          <w:highlight w:val="yellow"/>
        </w:rPr>
      </w:pPr>
      <w:r>
        <w:rPr>
          <w:noProof/>
        </w:rPr>
        <w:drawing>
          <wp:inline distT="0" distB="0" distL="0" distR="0">
            <wp:extent cx="5760000" cy="2672941"/>
            <wp:effectExtent l="0" t="0" r="0" b="0"/>
            <wp:docPr id="129" name="Immagin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000" cy="2672941"/>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15"/>
        <w:gridCol w:w="3172"/>
        <w:gridCol w:w="3647"/>
      </w:tblGrid>
      <w:tr>
        <w:tc>
          <w:tcPr>
            <w:tcW w:w="2849" w:type="dxa"/>
            <w:tcBorders>
              <w:right w:val="single" w:sz="4" w:space="0" w:color="auto"/>
            </w:tcBorders>
            <w:shd w:val="clear" w:color="auto" w:fill="auto"/>
          </w:tcPr>
          <w:p>
            <w:pPr>
              <w:pStyle w:val="CorpoAltF0"/>
              <w:spacing w:before="60"/>
              <w:rPr>
                <w:b/>
                <w:i/>
              </w:rPr>
            </w:pPr>
            <w:r>
              <w:rPr>
                <w:b/>
              </w:rPr>
              <w:t xml:space="preserve">Menu principale </w:t>
            </w:r>
            <w:r>
              <w:rPr>
                <w:b/>
                <w:i/>
              </w:rPr>
              <w:t>10SM</w:t>
            </w:r>
          </w:p>
        </w:tc>
        <w:tc>
          <w:tcPr>
            <w:tcW w:w="3213" w:type="dxa"/>
            <w:tcBorders>
              <w:top w:val="nil"/>
              <w:left w:val="single" w:sz="4" w:space="0" w:color="auto"/>
              <w:bottom w:val="single" w:sz="4" w:space="0" w:color="auto"/>
              <w:right w:val="nil"/>
            </w:tcBorders>
            <w:shd w:val="clear" w:color="auto" w:fill="auto"/>
          </w:tcPr>
          <w:p>
            <w:pPr>
              <w:pStyle w:val="CorpoAltF0"/>
              <w:spacing w:before="60"/>
            </w:pPr>
          </w:p>
        </w:tc>
        <w:tc>
          <w:tcPr>
            <w:tcW w:w="3691" w:type="dxa"/>
            <w:tcBorders>
              <w:top w:val="nil"/>
              <w:left w:val="nil"/>
              <w:bottom w:val="nil"/>
              <w:right w:val="nil"/>
            </w:tcBorders>
            <w:shd w:val="clear" w:color="auto" w:fill="auto"/>
          </w:tcPr>
          <w:p>
            <w:pPr>
              <w:pStyle w:val="CorpoAltF0"/>
              <w:spacing w:before="60"/>
            </w:pPr>
          </w:p>
        </w:tc>
      </w:tr>
      <w:tr>
        <w:tc>
          <w:tcPr>
            <w:tcW w:w="2849" w:type="dxa"/>
            <w:tcBorders>
              <w:bottom w:val="single" w:sz="4" w:space="0" w:color="auto"/>
            </w:tcBorders>
            <w:shd w:val="clear" w:color="auto" w:fill="auto"/>
          </w:tcPr>
          <w:p>
            <w:pPr>
              <w:pStyle w:val="CorpoAltF0"/>
              <w:spacing w:before="60"/>
              <w:rPr>
                <w:i/>
                <w:sz w:val="18"/>
                <w:szCs w:val="18"/>
              </w:rPr>
            </w:pPr>
            <w:r>
              <w:rPr>
                <w:i/>
                <w:sz w:val="18"/>
                <w:szCs w:val="18"/>
              </w:rPr>
              <w:t>Gestione liquidazioni</w:t>
            </w:r>
          </w:p>
        </w:tc>
        <w:tc>
          <w:tcPr>
            <w:tcW w:w="3213" w:type="dxa"/>
            <w:tcBorders>
              <w:top w:val="single" w:sz="4" w:space="0" w:color="auto"/>
              <w:right w:val="single" w:sz="4" w:space="0" w:color="auto"/>
            </w:tcBorders>
            <w:shd w:val="clear" w:color="auto" w:fill="auto"/>
          </w:tcPr>
          <w:p>
            <w:pPr>
              <w:pStyle w:val="CorpoAltF0"/>
              <w:spacing w:before="60"/>
              <w:rPr>
                <w:b/>
                <w:i/>
              </w:rPr>
            </w:pPr>
            <w:r>
              <w:rPr>
                <w:b/>
                <w:bCs/>
              </w:rPr>
              <w:sym w:font="Wingdings" w:char="F0E0"/>
            </w:r>
            <w:r>
              <w:rPr>
                <w:b/>
                <w:bCs/>
              </w:rPr>
              <w:t xml:space="preserve"> Menu </w:t>
            </w:r>
            <w:r>
              <w:rPr>
                <w:b/>
                <w:bCs/>
                <w:i/>
              </w:rPr>
              <w:t>Gestione liquidazioni</w:t>
            </w:r>
          </w:p>
        </w:tc>
        <w:tc>
          <w:tcPr>
            <w:tcW w:w="3691" w:type="dxa"/>
            <w:tcBorders>
              <w:top w:val="nil"/>
              <w:left w:val="single" w:sz="4" w:space="0" w:color="auto"/>
              <w:bottom w:val="single" w:sz="4" w:space="0" w:color="auto"/>
              <w:right w:val="nil"/>
            </w:tcBorders>
            <w:shd w:val="clear" w:color="auto" w:fill="auto"/>
          </w:tcPr>
          <w:p>
            <w:pPr>
              <w:pStyle w:val="CorpoAltF0"/>
              <w:spacing w:before="60"/>
            </w:pPr>
          </w:p>
        </w:tc>
      </w:tr>
      <w:tr>
        <w:tc>
          <w:tcPr>
            <w:tcW w:w="2849" w:type="dxa"/>
            <w:tcBorders>
              <w:top w:val="single" w:sz="4" w:space="0" w:color="auto"/>
              <w:left w:val="nil"/>
              <w:bottom w:val="nil"/>
              <w:right w:val="single" w:sz="4" w:space="0" w:color="auto"/>
            </w:tcBorders>
            <w:shd w:val="clear" w:color="auto" w:fill="auto"/>
          </w:tcPr>
          <w:p>
            <w:pPr>
              <w:pStyle w:val="CorpoAltF0"/>
              <w:spacing w:before="60"/>
              <w:rPr>
                <w:i/>
                <w:sz w:val="18"/>
                <w:szCs w:val="18"/>
              </w:rPr>
            </w:pPr>
            <w:r>
              <w:rPr>
                <w:i/>
                <w:sz w:val="18"/>
                <w:szCs w:val="18"/>
              </w:rPr>
              <w:t>Ricalcolo</w:t>
            </w:r>
          </w:p>
        </w:tc>
        <w:tc>
          <w:tcPr>
            <w:tcW w:w="3213" w:type="dxa"/>
            <w:tcBorders>
              <w:left w:val="single" w:sz="4" w:space="0" w:color="auto"/>
              <w:bottom w:val="single" w:sz="4" w:space="0" w:color="auto"/>
            </w:tcBorders>
            <w:shd w:val="clear" w:color="auto" w:fill="auto"/>
          </w:tcPr>
          <w:p>
            <w:pPr>
              <w:pStyle w:val="CorpoAltF0"/>
              <w:spacing w:before="60"/>
              <w:rPr>
                <w:bCs/>
                <w:i/>
                <w:sz w:val="18"/>
                <w:szCs w:val="18"/>
              </w:rPr>
            </w:pPr>
            <w:r>
              <w:rPr>
                <w:bCs/>
                <w:i/>
                <w:sz w:val="18"/>
                <w:szCs w:val="18"/>
              </w:rPr>
              <w:t>1 – Gestione PAT</w:t>
            </w:r>
          </w:p>
        </w:tc>
        <w:tc>
          <w:tcPr>
            <w:tcW w:w="3691" w:type="dxa"/>
            <w:tcBorders>
              <w:top w:val="single" w:sz="4" w:space="0" w:color="auto"/>
              <w:bottom w:val="single" w:sz="4" w:space="0" w:color="auto"/>
            </w:tcBorders>
            <w:shd w:val="clear" w:color="auto" w:fill="auto"/>
          </w:tcPr>
          <w:p>
            <w:pPr>
              <w:pStyle w:val="CorpoAltF0"/>
              <w:spacing w:before="60"/>
              <w:rPr>
                <w:i/>
              </w:rPr>
            </w:pPr>
            <w:r>
              <w:rPr>
                <w:b/>
                <w:bCs/>
              </w:rPr>
              <w:sym w:font="Wingdings" w:char="F0E0"/>
            </w:r>
            <w:r>
              <w:rPr>
                <w:b/>
                <w:bCs/>
              </w:rPr>
              <w:t xml:space="preserve"> Menu </w:t>
            </w:r>
            <w:r>
              <w:rPr>
                <w:b/>
                <w:bCs/>
                <w:i/>
              </w:rPr>
              <w:t>Gestione PAT</w:t>
            </w:r>
          </w:p>
        </w:tc>
      </w:tr>
      <w:tr>
        <w:tc>
          <w:tcPr>
            <w:tcW w:w="2849" w:type="dxa"/>
            <w:tcBorders>
              <w:top w:val="nil"/>
              <w:left w:val="nil"/>
              <w:bottom w:val="nil"/>
              <w:right w:val="nil"/>
            </w:tcBorders>
            <w:shd w:val="clear" w:color="auto" w:fill="auto"/>
          </w:tcPr>
          <w:p>
            <w:pPr>
              <w:pStyle w:val="CorpoAltF0"/>
              <w:spacing w:before="60"/>
              <w:rPr>
                <w:i/>
                <w:sz w:val="18"/>
                <w:szCs w:val="18"/>
              </w:rPr>
            </w:pPr>
            <w:r>
              <w:rPr>
                <w:i/>
                <w:sz w:val="18"/>
                <w:szCs w:val="18"/>
              </w:rPr>
              <w:t>Stampa modello 10SM</w:t>
            </w:r>
          </w:p>
        </w:tc>
        <w:tc>
          <w:tcPr>
            <w:tcW w:w="3213" w:type="dxa"/>
            <w:tcBorders>
              <w:top w:val="single" w:sz="4" w:space="0" w:color="auto"/>
              <w:left w:val="nil"/>
              <w:bottom w:val="nil"/>
              <w:right w:val="nil"/>
            </w:tcBorders>
            <w:shd w:val="clear" w:color="auto" w:fill="auto"/>
          </w:tcPr>
          <w:p>
            <w:pPr>
              <w:pStyle w:val="CorpoAltF0"/>
              <w:spacing w:before="60"/>
              <w:rPr>
                <w:bCs/>
                <w:i/>
                <w:sz w:val="18"/>
                <w:szCs w:val="18"/>
              </w:rPr>
            </w:pPr>
            <w:r>
              <w:rPr>
                <w:bCs/>
                <w:i/>
                <w:sz w:val="18"/>
                <w:szCs w:val="18"/>
              </w:rPr>
              <w:t>2 – Gestione contributi associativi</w:t>
            </w:r>
          </w:p>
        </w:tc>
        <w:tc>
          <w:tcPr>
            <w:tcW w:w="3691" w:type="dxa"/>
            <w:tcBorders>
              <w:top w:val="single" w:sz="4" w:space="0" w:color="auto"/>
              <w:left w:val="nil"/>
              <w:bottom w:val="nil"/>
              <w:right w:val="nil"/>
            </w:tcBorders>
            <w:shd w:val="clear" w:color="auto" w:fill="auto"/>
          </w:tcPr>
          <w:p>
            <w:pPr>
              <w:pStyle w:val="CorpoAltF0"/>
              <w:spacing w:before="60"/>
              <w:rPr>
                <w:bCs/>
                <w:i/>
                <w:sz w:val="18"/>
                <w:szCs w:val="18"/>
              </w:rPr>
            </w:pPr>
            <w:r>
              <w:rPr>
                <w:bCs/>
                <w:i/>
                <w:sz w:val="18"/>
                <w:szCs w:val="18"/>
              </w:rPr>
              <w:t>1 - Tabella INAIL azienda</w:t>
            </w:r>
          </w:p>
        </w:tc>
      </w:tr>
      <w:tr>
        <w:tc>
          <w:tcPr>
            <w:tcW w:w="2849" w:type="dxa"/>
            <w:tcBorders>
              <w:top w:val="nil"/>
              <w:left w:val="nil"/>
              <w:bottom w:val="nil"/>
              <w:right w:val="nil"/>
            </w:tcBorders>
            <w:shd w:val="clear" w:color="auto" w:fill="auto"/>
          </w:tcPr>
          <w:p>
            <w:pPr>
              <w:pStyle w:val="CorpoAltF0"/>
              <w:spacing w:before="60"/>
              <w:rPr>
                <w:i/>
                <w:sz w:val="18"/>
                <w:szCs w:val="18"/>
              </w:rPr>
            </w:pPr>
            <w:r>
              <w:rPr>
                <w:i/>
                <w:sz w:val="18"/>
                <w:szCs w:val="18"/>
              </w:rPr>
              <w:t>Stampa elenco versamenti</w:t>
            </w:r>
          </w:p>
        </w:tc>
        <w:tc>
          <w:tcPr>
            <w:tcW w:w="3213" w:type="dxa"/>
            <w:tcBorders>
              <w:top w:val="nil"/>
              <w:left w:val="nil"/>
              <w:bottom w:val="nil"/>
              <w:right w:val="nil"/>
            </w:tcBorders>
            <w:shd w:val="clear" w:color="auto" w:fill="auto"/>
          </w:tcPr>
          <w:p>
            <w:pPr>
              <w:pStyle w:val="CorpoAltF0"/>
              <w:spacing w:before="60"/>
              <w:rPr>
                <w:bCs/>
                <w:i/>
                <w:sz w:val="18"/>
                <w:szCs w:val="18"/>
              </w:rPr>
            </w:pPr>
            <w:r>
              <w:rPr>
                <w:bCs/>
                <w:i/>
                <w:sz w:val="18"/>
                <w:szCs w:val="18"/>
              </w:rPr>
              <w:t>3 – Liquidazione dei premi</w:t>
            </w:r>
          </w:p>
        </w:tc>
        <w:tc>
          <w:tcPr>
            <w:tcW w:w="3691" w:type="dxa"/>
            <w:tcBorders>
              <w:top w:val="nil"/>
              <w:left w:val="nil"/>
              <w:bottom w:val="nil"/>
              <w:right w:val="nil"/>
            </w:tcBorders>
            <w:shd w:val="clear" w:color="auto" w:fill="auto"/>
          </w:tcPr>
          <w:p>
            <w:pPr>
              <w:pStyle w:val="CorpoAltF0"/>
              <w:spacing w:before="60"/>
              <w:rPr>
                <w:bCs/>
                <w:i/>
                <w:sz w:val="18"/>
                <w:szCs w:val="18"/>
              </w:rPr>
            </w:pPr>
            <w:r>
              <w:rPr>
                <w:bCs/>
                <w:i/>
                <w:sz w:val="18"/>
                <w:szCs w:val="18"/>
              </w:rPr>
              <w:t>2 - Tasso Inail e periodi</w:t>
            </w:r>
          </w:p>
        </w:tc>
      </w:tr>
      <w:tr>
        <w:tc>
          <w:tcPr>
            <w:tcW w:w="2849" w:type="dxa"/>
            <w:tcBorders>
              <w:top w:val="nil"/>
              <w:left w:val="nil"/>
              <w:bottom w:val="nil"/>
              <w:right w:val="nil"/>
            </w:tcBorders>
            <w:shd w:val="clear" w:color="auto" w:fill="auto"/>
          </w:tcPr>
          <w:p>
            <w:pPr>
              <w:pStyle w:val="CorpoAltF0"/>
              <w:spacing w:before="60"/>
              <w:rPr>
                <w:i/>
                <w:sz w:val="18"/>
                <w:szCs w:val="18"/>
              </w:rPr>
            </w:pPr>
            <w:r>
              <w:rPr>
                <w:i/>
                <w:sz w:val="18"/>
                <w:szCs w:val="18"/>
              </w:rPr>
              <w:t>Stampa lettere</w:t>
            </w:r>
          </w:p>
        </w:tc>
        <w:tc>
          <w:tcPr>
            <w:tcW w:w="3213" w:type="dxa"/>
            <w:tcBorders>
              <w:top w:val="nil"/>
              <w:left w:val="nil"/>
              <w:bottom w:val="nil"/>
              <w:right w:val="nil"/>
            </w:tcBorders>
            <w:shd w:val="clear" w:color="auto" w:fill="auto"/>
          </w:tcPr>
          <w:p>
            <w:pPr>
              <w:pStyle w:val="CorpoAltF0"/>
              <w:spacing w:before="60"/>
              <w:rPr>
                <w:bCs/>
                <w:i/>
                <w:sz w:val="18"/>
                <w:szCs w:val="18"/>
              </w:rPr>
            </w:pPr>
            <w:r>
              <w:rPr>
                <w:bCs/>
                <w:i/>
                <w:sz w:val="18"/>
                <w:szCs w:val="18"/>
              </w:rPr>
              <w:t>4 – Chiusura della dichiarazione</w:t>
            </w:r>
          </w:p>
        </w:tc>
        <w:tc>
          <w:tcPr>
            <w:tcW w:w="3691" w:type="dxa"/>
            <w:tcBorders>
              <w:top w:val="nil"/>
              <w:left w:val="nil"/>
              <w:bottom w:val="nil"/>
              <w:right w:val="nil"/>
            </w:tcBorders>
            <w:shd w:val="clear" w:color="auto" w:fill="auto"/>
          </w:tcPr>
          <w:p>
            <w:pPr>
              <w:pStyle w:val="CorpoAltF0"/>
              <w:spacing w:before="60"/>
              <w:rPr>
                <w:bCs/>
                <w:i/>
                <w:sz w:val="18"/>
                <w:szCs w:val="18"/>
              </w:rPr>
            </w:pPr>
            <w:r>
              <w:rPr>
                <w:bCs/>
                <w:i/>
                <w:sz w:val="18"/>
                <w:szCs w:val="18"/>
              </w:rPr>
              <w:t>3 - Composizione nucleo artigiano</w:t>
            </w:r>
          </w:p>
        </w:tc>
      </w:tr>
      <w:tr>
        <w:tc>
          <w:tcPr>
            <w:tcW w:w="2849" w:type="dxa"/>
            <w:tcBorders>
              <w:top w:val="nil"/>
              <w:left w:val="nil"/>
              <w:bottom w:val="nil"/>
              <w:right w:val="nil"/>
            </w:tcBorders>
            <w:shd w:val="clear" w:color="auto" w:fill="auto"/>
          </w:tcPr>
          <w:p>
            <w:pPr>
              <w:pStyle w:val="CorpoAltF0"/>
              <w:spacing w:before="60"/>
              <w:rPr>
                <w:i/>
                <w:sz w:val="18"/>
                <w:szCs w:val="18"/>
              </w:rPr>
            </w:pPr>
            <w:r>
              <w:rPr>
                <w:i/>
                <w:sz w:val="18"/>
                <w:szCs w:val="18"/>
              </w:rPr>
              <w:t>Stampa brogliaccio 10SM</w:t>
            </w:r>
          </w:p>
        </w:tc>
        <w:tc>
          <w:tcPr>
            <w:tcW w:w="3213" w:type="dxa"/>
            <w:tcBorders>
              <w:top w:val="nil"/>
              <w:left w:val="nil"/>
              <w:bottom w:val="nil"/>
              <w:right w:val="nil"/>
            </w:tcBorders>
            <w:shd w:val="clear" w:color="auto" w:fill="auto"/>
          </w:tcPr>
          <w:p>
            <w:pPr>
              <w:pStyle w:val="CorpoAltF0"/>
              <w:spacing w:before="60"/>
              <w:rPr>
                <w:bCs/>
                <w:i/>
                <w:sz w:val="18"/>
                <w:szCs w:val="18"/>
              </w:rPr>
            </w:pPr>
            <w:r>
              <w:rPr>
                <w:bCs/>
                <w:i/>
                <w:sz w:val="18"/>
                <w:szCs w:val="18"/>
              </w:rPr>
              <w:t>5 – Stampa della dichiarazione</w:t>
            </w:r>
          </w:p>
        </w:tc>
        <w:tc>
          <w:tcPr>
            <w:tcW w:w="3691" w:type="dxa"/>
            <w:tcBorders>
              <w:top w:val="nil"/>
              <w:left w:val="nil"/>
              <w:bottom w:val="nil"/>
              <w:right w:val="nil"/>
            </w:tcBorders>
            <w:shd w:val="clear" w:color="auto" w:fill="auto"/>
          </w:tcPr>
          <w:p>
            <w:pPr>
              <w:pStyle w:val="CorpoAltF0"/>
              <w:spacing w:before="60"/>
              <w:jc w:val="left"/>
              <w:rPr>
                <w:bCs/>
                <w:i/>
                <w:sz w:val="18"/>
                <w:szCs w:val="18"/>
              </w:rPr>
            </w:pPr>
            <w:r>
              <w:rPr>
                <w:bCs/>
                <w:i/>
                <w:sz w:val="18"/>
                <w:szCs w:val="18"/>
              </w:rPr>
              <w:t>4 - Denuncia delle retribuzioni corrisposte</w:t>
            </w:r>
          </w:p>
        </w:tc>
      </w:tr>
      <w:tr>
        <w:tc>
          <w:tcPr>
            <w:tcW w:w="2849" w:type="dxa"/>
            <w:tcBorders>
              <w:top w:val="nil"/>
              <w:left w:val="nil"/>
              <w:bottom w:val="nil"/>
              <w:right w:val="nil"/>
            </w:tcBorders>
            <w:shd w:val="clear" w:color="auto" w:fill="auto"/>
          </w:tcPr>
          <w:p>
            <w:pPr>
              <w:pStyle w:val="CorpoAltF0"/>
              <w:spacing w:before="60"/>
              <w:rPr>
                <w:i/>
                <w:sz w:val="18"/>
                <w:szCs w:val="18"/>
              </w:rPr>
            </w:pPr>
            <w:r>
              <w:rPr>
                <w:i/>
                <w:sz w:val="18"/>
                <w:szCs w:val="18"/>
              </w:rPr>
              <w:t>Stampa modulo su carta bianca</w:t>
            </w:r>
          </w:p>
        </w:tc>
        <w:tc>
          <w:tcPr>
            <w:tcW w:w="3213" w:type="dxa"/>
            <w:tcBorders>
              <w:top w:val="nil"/>
              <w:left w:val="nil"/>
              <w:bottom w:val="nil"/>
              <w:right w:val="nil"/>
            </w:tcBorders>
            <w:shd w:val="clear" w:color="auto" w:fill="auto"/>
          </w:tcPr>
          <w:p>
            <w:pPr>
              <w:pStyle w:val="CorpoAltF0"/>
              <w:spacing w:before="60"/>
              <w:rPr>
                <w:bCs/>
                <w:i/>
                <w:sz w:val="18"/>
                <w:szCs w:val="18"/>
              </w:rPr>
            </w:pPr>
            <w:r>
              <w:rPr>
                <w:bCs/>
                <w:i/>
                <w:sz w:val="18"/>
                <w:szCs w:val="18"/>
              </w:rPr>
              <w:t>6 – Annulla dichiarazione INAIL</w:t>
            </w:r>
          </w:p>
        </w:tc>
        <w:tc>
          <w:tcPr>
            <w:tcW w:w="3691" w:type="dxa"/>
            <w:tcBorders>
              <w:top w:val="nil"/>
              <w:left w:val="nil"/>
              <w:bottom w:val="nil"/>
              <w:right w:val="nil"/>
            </w:tcBorders>
            <w:shd w:val="clear" w:color="auto" w:fill="auto"/>
          </w:tcPr>
          <w:p>
            <w:pPr>
              <w:pStyle w:val="CorpoAltF0"/>
              <w:spacing w:before="60"/>
              <w:rPr>
                <w:bCs/>
                <w:i/>
                <w:sz w:val="18"/>
                <w:szCs w:val="18"/>
              </w:rPr>
            </w:pPr>
            <w:r>
              <w:rPr>
                <w:bCs/>
                <w:i/>
                <w:sz w:val="18"/>
                <w:szCs w:val="18"/>
              </w:rPr>
              <w:t>5 - Totali</w:t>
            </w:r>
          </w:p>
        </w:tc>
      </w:tr>
      <w:tr>
        <w:tc>
          <w:tcPr>
            <w:tcW w:w="2849" w:type="dxa"/>
            <w:tcBorders>
              <w:top w:val="nil"/>
              <w:left w:val="nil"/>
              <w:bottom w:val="nil"/>
              <w:right w:val="nil"/>
            </w:tcBorders>
            <w:shd w:val="clear" w:color="auto" w:fill="auto"/>
          </w:tcPr>
          <w:p>
            <w:pPr>
              <w:pStyle w:val="CorpoAltF0"/>
              <w:spacing w:before="60"/>
              <w:rPr>
                <w:i/>
                <w:sz w:val="18"/>
                <w:szCs w:val="18"/>
              </w:rPr>
            </w:pPr>
            <w:r>
              <w:rPr>
                <w:i/>
                <w:sz w:val="18"/>
                <w:szCs w:val="18"/>
              </w:rPr>
              <w:t>Generazione telematico</w:t>
            </w:r>
          </w:p>
        </w:tc>
        <w:tc>
          <w:tcPr>
            <w:tcW w:w="3213" w:type="dxa"/>
            <w:tcBorders>
              <w:top w:val="nil"/>
              <w:left w:val="nil"/>
              <w:bottom w:val="nil"/>
              <w:right w:val="nil"/>
            </w:tcBorders>
            <w:shd w:val="clear" w:color="auto" w:fill="auto"/>
          </w:tcPr>
          <w:p>
            <w:pPr>
              <w:pStyle w:val="CorpoAltF0"/>
              <w:spacing w:before="60"/>
              <w:rPr>
                <w:bCs/>
                <w:i/>
                <w:sz w:val="18"/>
                <w:szCs w:val="18"/>
              </w:rPr>
            </w:pPr>
          </w:p>
        </w:tc>
        <w:tc>
          <w:tcPr>
            <w:tcW w:w="3691" w:type="dxa"/>
            <w:tcBorders>
              <w:top w:val="nil"/>
              <w:left w:val="nil"/>
              <w:bottom w:val="nil"/>
              <w:right w:val="nil"/>
            </w:tcBorders>
            <w:shd w:val="clear" w:color="auto" w:fill="auto"/>
          </w:tcPr>
          <w:p>
            <w:pPr>
              <w:pStyle w:val="CorpoAltF0"/>
              <w:spacing w:before="60"/>
              <w:rPr>
                <w:bCs/>
                <w:i/>
                <w:sz w:val="18"/>
                <w:szCs w:val="18"/>
              </w:rPr>
            </w:pPr>
            <w:r>
              <w:rPr>
                <w:bCs/>
                <w:i/>
                <w:sz w:val="18"/>
                <w:szCs w:val="18"/>
              </w:rPr>
              <w:t>6 - Chiusura/aperture posizione</w:t>
            </w:r>
          </w:p>
        </w:tc>
      </w:tr>
      <w:tr>
        <w:tc>
          <w:tcPr>
            <w:tcW w:w="2849" w:type="dxa"/>
            <w:tcBorders>
              <w:top w:val="nil"/>
              <w:left w:val="nil"/>
              <w:bottom w:val="nil"/>
              <w:right w:val="nil"/>
            </w:tcBorders>
            <w:shd w:val="clear" w:color="auto" w:fill="auto"/>
          </w:tcPr>
          <w:p>
            <w:pPr>
              <w:pStyle w:val="CorpoAltF0"/>
              <w:spacing w:before="60"/>
              <w:rPr>
                <w:i/>
                <w:sz w:val="18"/>
                <w:szCs w:val="18"/>
              </w:rPr>
            </w:pPr>
            <w:r>
              <w:rPr>
                <w:i/>
                <w:sz w:val="18"/>
                <w:szCs w:val="18"/>
              </w:rPr>
              <w:t>Stampa deleghe</w:t>
            </w:r>
          </w:p>
        </w:tc>
        <w:tc>
          <w:tcPr>
            <w:tcW w:w="3213" w:type="dxa"/>
            <w:tcBorders>
              <w:top w:val="nil"/>
              <w:left w:val="nil"/>
              <w:bottom w:val="nil"/>
              <w:right w:val="nil"/>
            </w:tcBorders>
            <w:shd w:val="clear" w:color="auto" w:fill="auto"/>
          </w:tcPr>
          <w:p>
            <w:pPr>
              <w:pStyle w:val="CorpoAltF0"/>
              <w:spacing w:before="60"/>
              <w:rPr>
                <w:bCs/>
                <w:i/>
                <w:sz w:val="18"/>
                <w:szCs w:val="18"/>
              </w:rPr>
            </w:pPr>
          </w:p>
        </w:tc>
        <w:tc>
          <w:tcPr>
            <w:tcW w:w="3691" w:type="dxa"/>
            <w:tcBorders>
              <w:top w:val="nil"/>
              <w:left w:val="nil"/>
              <w:bottom w:val="nil"/>
              <w:right w:val="nil"/>
            </w:tcBorders>
            <w:shd w:val="clear" w:color="auto" w:fill="auto"/>
          </w:tcPr>
          <w:p>
            <w:pPr>
              <w:pStyle w:val="CorpoAltF0"/>
              <w:spacing w:before="60"/>
              <w:rPr>
                <w:bCs/>
                <w:i/>
                <w:sz w:val="18"/>
                <w:szCs w:val="18"/>
              </w:rPr>
            </w:pPr>
            <w:r>
              <w:rPr>
                <w:bCs/>
                <w:i/>
                <w:sz w:val="18"/>
                <w:szCs w:val="18"/>
              </w:rPr>
              <w:t>7 - Annulla posizione</w:t>
            </w:r>
          </w:p>
        </w:tc>
      </w:tr>
      <w:tr>
        <w:tc>
          <w:tcPr>
            <w:tcW w:w="2849" w:type="dxa"/>
            <w:tcBorders>
              <w:top w:val="nil"/>
              <w:left w:val="nil"/>
              <w:bottom w:val="nil"/>
              <w:right w:val="nil"/>
            </w:tcBorders>
            <w:shd w:val="clear" w:color="auto" w:fill="auto"/>
          </w:tcPr>
          <w:p>
            <w:pPr>
              <w:pStyle w:val="CorpoAltF0"/>
              <w:spacing w:before="60"/>
              <w:rPr>
                <w:i/>
                <w:sz w:val="18"/>
                <w:szCs w:val="18"/>
              </w:rPr>
            </w:pPr>
            <w:r>
              <w:rPr>
                <w:i/>
                <w:sz w:val="18"/>
                <w:szCs w:val="18"/>
              </w:rPr>
              <w:t>Utilità</w:t>
            </w:r>
          </w:p>
        </w:tc>
        <w:tc>
          <w:tcPr>
            <w:tcW w:w="3213" w:type="dxa"/>
            <w:tcBorders>
              <w:top w:val="nil"/>
              <w:left w:val="nil"/>
              <w:bottom w:val="nil"/>
              <w:right w:val="nil"/>
            </w:tcBorders>
            <w:shd w:val="clear" w:color="auto" w:fill="auto"/>
          </w:tcPr>
          <w:p>
            <w:pPr>
              <w:pStyle w:val="CorpoAltF0"/>
              <w:spacing w:before="60"/>
              <w:rPr>
                <w:bCs/>
                <w:i/>
                <w:sz w:val="18"/>
                <w:szCs w:val="18"/>
              </w:rPr>
            </w:pPr>
          </w:p>
        </w:tc>
        <w:tc>
          <w:tcPr>
            <w:tcW w:w="3691" w:type="dxa"/>
            <w:tcBorders>
              <w:top w:val="nil"/>
              <w:left w:val="nil"/>
              <w:bottom w:val="nil"/>
              <w:right w:val="nil"/>
            </w:tcBorders>
            <w:shd w:val="clear" w:color="auto" w:fill="auto"/>
          </w:tcPr>
          <w:p>
            <w:pPr>
              <w:pStyle w:val="CorpoAltF0"/>
              <w:spacing w:before="60"/>
              <w:rPr>
                <w:bCs/>
                <w:i/>
                <w:sz w:val="18"/>
                <w:szCs w:val="18"/>
              </w:rPr>
            </w:pPr>
          </w:p>
        </w:tc>
      </w:tr>
    </w:tbl>
    <w:p>
      <w:pPr>
        <w:pStyle w:val="CorpoAltF0"/>
        <w:rPr>
          <w:highlight w:val="yellow"/>
        </w:rPr>
      </w:pPr>
    </w:p>
    <w:p>
      <w:pPr>
        <w:pStyle w:val="CorpoAltF0"/>
      </w:pPr>
    </w:p>
    <w:p>
      <w:pPr>
        <w:pStyle w:val="CorpoAltF0"/>
        <w:rPr>
          <w:b/>
        </w:rPr>
      </w:pPr>
      <w:r>
        <w:rPr>
          <w:b/>
        </w:rPr>
        <w:t>Consultazione dichiarazioni anni precedenti</w:t>
      </w:r>
    </w:p>
    <w:p>
      <w:pPr>
        <w:pStyle w:val="CorpoAltF0"/>
        <w:spacing w:before="120"/>
      </w:pPr>
      <w:r>
        <w:t>Il tasto funzione “</w:t>
      </w:r>
      <w:r>
        <w:rPr>
          <w:i/>
        </w:rPr>
        <w:t>F6 = Cambia anno</w:t>
      </w:r>
      <w:r>
        <w:t xml:space="preserve">” consente la consultazione delle denunce salari degli anni precedenti. </w:t>
      </w:r>
    </w:p>
    <w:p>
      <w:pPr>
        <w:pStyle w:val="CorpoAltF0"/>
      </w:pPr>
    </w:p>
    <w:p>
      <w:pPr>
        <w:pStyle w:val="CorpoAltF0"/>
      </w:pPr>
    </w:p>
    <w:p>
      <w:pPr>
        <w:pStyle w:val="CorpoAltF0"/>
        <w:rPr>
          <w:b/>
        </w:rPr>
      </w:pPr>
      <w:r>
        <w:rPr>
          <w:b/>
        </w:rPr>
        <w:t>La tabella della posizione INAIL</w:t>
      </w:r>
    </w:p>
    <w:p>
      <w:pPr>
        <w:pStyle w:val="CorpoAltF0"/>
        <w:spacing w:before="120"/>
      </w:pPr>
      <w:r>
        <w:t xml:space="preserve">Il programma di autoliquidazione utilizza la tabella </w:t>
      </w:r>
      <w:proofErr w:type="spellStart"/>
      <w:r>
        <w:t>inail</w:t>
      </w:r>
      <w:proofErr w:type="spellEnd"/>
      <w:r>
        <w:t xml:space="preserve"> (scheda “</w:t>
      </w:r>
      <w:r>
        <w:rPr>
          <w:i/>
        </w:rPr>
        <w:t>INAIL</w:t>
      </w:r>
      <w:r>
        <w:t xml:space="preserve">” di </w:t>
      </w:r>
      <w:r>
        <w:rPr>
          <w:b/>
          <w:bCs/>
        </w:rPr>
        <w:t>AZIE</w:t>
      </w:r>
      <w:r>
        <w:t xml:space="preserve">) strutturata per contenere le voci di tariffa con i relativi tassi da applicare. Nella tabella vanno indicate le voci di tariffa, il tasso di regolazione, l’eventuale altro periodo e l’applicazione della retribuzione convenzionale per i dirigenti / quadri. </w:t>
      </w:r>
    </w:p>
    <w:p>
      <w:pPr>
        <w:rPr>
          <w:rFonts w:ascii="Arial" w:hAnsi="Arial" w:cs="Arial"/>
          <w:sz w:val="20"/>
          <w:szCs w:val="20"/>
          <w:highlight w:val="yellow"/>
        </w:rPr>
      </w:pPr>
      <w:r>
        <w:rPr>
          <w:highlight w:val="yellow"/>
        </w:rPr>
        <w:br w:type="page"/>
      </w:r>
    </w:p>
    <w:p>
      <w:pPr>
        <w:pStyle w:val="CorpoAltF0"/>
      </w:pPr>
    </w:p>
    <w:p>
      <w:pPr>
        <w:pStyle w:val="CorpoAltF0"/>
        <w:rPr>
          <w:b/>
        </w:rPr>
      </w:pPr>
      <w:r>
        <w:rPr>
          <w:b/>
        </w:rPr>
        <w:t>Le fasi operative nella procedura Paghe</w:t>
      </w:r>
    </w:p>
    <w:p>
      <w:pPr>
        <w:pStyle w:val="CorpoAltF0"/>
        <w:spacing w:before="120"/>
      </w:pPr>
      <w:r>
        <w:t xml:space="preserve">Negli archivi dell’anno 2018 è necessario controllare le informazioni identificative dell’azienda contenute nelle basi di calcolo INAIL da inserire in </w:t>
      </w:r>
      <w:r>
        <w:rPr>
          <w:b/>
        </w:rPr>
        <w:t>AZIE</w:t>
      </w:r>
      <w:r>
        <w:t xml:space="preserve"> &gt; scheda “</w:t>
      </w:r>
      <w:r>
        <w:rPr>
          <w:i/>
        </w:rPr>
        <w:t>INAIL</w:t>
      </w:r>
      <w:r>
        <w:t xml:space="preserve">”: </w:t>
      </w:r>
    </w:p>
    <w:p>
      <w:pPr>
        <w:pStyle w:val="CorpoAltF0"/>
        <w:numPr>
          <w:ilvl w:val="0"/>
          <w:numId w:val="7"/>
        </w:numPr>
        <w:ind w:left="426" w:hanging="284"/>
      </w:pPr>
      <w:r>
        <w:t xml:space="preserve">codice </w:t>
      </w:r>
      <w:proofErr w:type="gramStart"/>
      <w:r>
        <w:t>cliente..</w:t>
      </w:r>
      <w:proofErr w:type="gramEnd"/>
      <w:r>
        <w:t>:</w:t>
      </w:r>
      <w:r>
        <w:tab/>
        <w:t>campo “</w:t>
      </w:r>
      <w:r>
        <w:rPr>
          <w:i/>
        </w:rPr>
        <w:t>Codice ditta</w:t>
      </w:r>
      <w:r>
        <w:t>”</w:t>
      </w:r>
    </w:p>
    <w:p>
      <w:pPr>
        <w:pStyle w:val="CorpoAltF0"/>
        <w:numPr>
          <w:ilvl w:val="0"/>
          <w:numId w:val="7"/>
        </w:numPr>
        <w:ind w:left="426" w:hanging="284"/>
      </w:pPr>
      <w:r>
        <w:t xml:space="preserve">contro </w:t>
      </w:r>
      <w:proofErr w:type="gramStart"/>
      <w:r>
        <w:t>codice..</w:t>
      </w:r>
      <w:proofErr w:type="gramEnd"/>
      <w:r>
        <w:t>:</w:t>
      </w:r>
      <w:r>
        <w:tab/>
        <w:t>campo “</w:t>
      </w:r>
      <w:r>
        <w:rPr>
          <w:i/>
        </w:rPr>
        <w:t>Contro codice</w:t>
      </w:r>
      <w:r>
        <w:t xml:space="preserve">” </w:t>
      </w:r>
    </w:p>
    <w:p>
      <w:pPr>
        <w:pStyle w:val="CorpoAltF0"/>
        <w:numPr>
          <w:ilvl w:val="0"/>
          <w:numId w:val="7"/>
        </w:numPr>
        <w:ind w:left="426" w:hanging="284"/>
      </w:pPr>
      <w:r>
        <w:t>codice sede…:</w:t>
      </w:r>
      <w:r>
        <w:tab/>
        <w:t>campo “</w:t>
      </w:r>
      <w:r>
        <w:rPr>
          <w:i/>
        </w:rPr>
        <w:t xml:space="preserve">Posizione </w:t>
      </w:r>
      <w:proofErr w:type="spellStart"/>
      <w:r>
        <w:rPr>
          <w:i/>
        </w:rPr>
        <w:t>inail</w:t>
      </w:r>
      <w:proofErr w:type="spellEnd"/>
      <w:r>
        <w:rPr>
          <w:i/>
        </w:rPr>
        <w:t xml:space="preserve"> azienda</w:t>
      </w:r>
      <w:r>
        <w:t>”</w:t>
      </w:r>
    </w:p>
    <w:p>
      <w:pPr>
        <w:pStyle w:val="CorpoAltF0"/>
        <w:spacing w:before="60"/>
      </w:pPr>
      <w:r>
        <w:t>In presenza di più posizioni indicare quella che corrisponde alla sede da esporre nel modello F24.</w:t>
      </w:r>
    </w:p>
    <w:p>
      <w:pPr>
        <w:pStyle w:val="CorpoAltF0"/>
      </w:pPr>
    </w:p>
    <w:p>
      <w:pPr>
        <w:pStyle w:val="CorpoAltF0"/>
      </w:pPr>
      <w:r>
        <w:t xml:space="preserve">Prima di entrare nel programma di autoliquidazione INAIL è necessario aggiornare la parte tabellare che viene utilizzata per il calcolo e per l’esposizione delle informazioni nel modello 10SM (vedere il dettaglio nelle pagine successive). È inoltre necessario aggiornare le posizioni </w:t>
      </w:r>
      <w:proofErr w:type="spellStart"/>
      <w:r>
        <w:t>inail</w:t>
      </w:r>
      <w:proofErr w:type="spellEnd"/>
      <w:r>
        <w:t xml:space="preserve"> riportando le nuove voci di tariffa e i tassi di regolazione comunicati con le Basi di Calcolo (v. pag. </w:t>
      </w:r>
      <w:r>
        <w:fldChar w:fldCharType="begin"/>
      </w:r>
      <w:r>
        <w:instrText xml:space="preserve"> PAGEREF AGGTAS \h </w:instrText>
      </w:r>
      <w:r>
        <w:fldChar w:fldCharType="separate"/>
      </w:r>
      <w:r>
        <w:rPr>
          <w:noProof/>
        </w:rPr>
        <w:t>12</w:t>
      </w:r>
      <w:r>
        <w:fldChar w:fldCharType="end"/>
      </w:r>
      <w:r>
        <w:t xml:space="preserve">, programma </w:t>
      </w:r>
      <w:r>
        <w:rPr>
          <w:b/>
        </w:rPr>
        <w:t>AGGTAS</w:t>
      </w:r>
      <w:r>
        <w:t>).</w:t>
      </w:r>
    </w:p>
    <w:p>
      <w:pPr>
        <w:pStyle w:val="CorpoAltF0"/>
      </w:pPr>
    </w:p>
    <w:p>
      <w:pPr>
        <w:pStyle w:val="CorpoAltF0"/>
        <w:rPr>
          <w:bCs/>
          <w:u w:val="single"/>
        </w:rPr>
      </w:pPr>
      <w:r>
        <w:rPr>
          <w:u w:val="single"/>
        </w:rPr>
        <w:t xml:space="preserve">Eseguire il comando </w:t>
      </w:r>
      <w:r>
        <w:rPr>
          <w:b/>
          <w:bCs/>
          <w:u w:val="single"/>
        </w:rPr>
        <w:t>10SM</w:t>
      </w:r>
      <w:r>
        <w:rPr>
          <w:bCs/>
          <w:u w:val="single"/>
        </w:rPr>
        <w:t>.</w:t>
      </w:r>
    </w:p>
    <w:p>
      <w:pPr>
        <w:pStyle w:val="CorpoAltF0"/>
        <w:spacing w:before="60"/>
      </w:pPr>
      <w:r>
        <w:t>Dopo aver effettuato il ricalcolo (scelta 2) entrare in “</w:t>
      </w:r>
      <w:r>
        <w:rPr>
          <w:i/>
        </w:rPr>
        <w:t>Gestione</w:t>
      </w:r>
      <w:r>
        <w:t xml:space="preserve"> </w:t>
      </w:r>
      <w:r>
        <w:rPr>
          <w:i/>
        </w:rPr>
        <w:t>liquidazioni</w:t>
      </w:r>
      <w:r>
        <w:t xml:space="preserve">”. </w:t>
      </w:r>
    </w:p>
    <w:p>
      <w:pPr>
        <w:pStyle w:val="CorpoAltF0"/>
      </w:pPr>
      <w:r>
        <w:t xml:space="preserve">Viene richiesto il codice azienda e visualizzato un menu con </w:t>
      </w:r>
      <w:proofErr w:type="gramStart"/>
      <w:r>
        <w:t>6</w:t>
      </w:r>
      <w:proofErr w:type="gramEnd"/>
      <w:r>
        <w:t xml:space="preserve"> scelte.</w:t>
      </w:r>
    </w:p>
    <w:p>
      <w:pPr>
        <w:pStyle w:val="CorpoAltF0"/>
      </w:pPr>
      <w:r>
        <w:t>Selezionando la prima scelta “</w:t>
      </w:r>
      <w:r>
        <w:rPr>
          <w:i/>
        </w:rPr>
        <w:t>Gestione</w:t>
      </w:r>
      <w:r>
        <w:t xml:space="preserve"> </w:t>
      </w:r>
      <w:r>
        <w:rPr>
          <w:i/>
        </w:rPr>
        <w:t>PAT</w:t>
      </w:r>
      <w:r>
        <w:t>” il programma presenta un elenco con le PAT relative all’azienda richiamata proponendo alcune informazioni riportate su più colonne:</w:t>
      </w:r>
    </w:p>
    <w:p>
      <w:pPr>
        <w:pStyle w:val="CorpoAltF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1559"/>
        <w:gridCol w:w="6237"/>
      </w:tblGrid>
      <w:tr>
        <w:trPr>
          <w:trHeight w:val="284"/>
        </w:trPr>
        <w:tc>
          <w:tcPr>
            <w:tcW w:w="1101" w:type="dxa"/>
            <w:tcBorders>
              <w:top w:val="nil"/>
              <w:left w:val="nil"/>
              <w:bottom w:val="nil"/>
            </w:tcBorders>
            <w:shd w:val="clear" w:color="auto" w:fill="auto"/>
          </w:tcPr>
          <w:p>
            <w:pPr>
              <w:pStyle w:val="CorpoAltF0"/>
              <w:spacing w:before="60"/>
            </w:pPr>
          </w:p>
        </w:tc>
        <w:tc>
          <w:tcPr>
            <w:tcW w:w="1559" w:type="dxa"/>
            <w:shd w:val="clear" w:color="auto" w:fill="auto"/>
          </w:tcPr>
          <w:p>
            <w:pPr>
              <w:pStyle w:val="CorpoAltF0"/>
              <w:spacing w:before="60"/>
              <w:jc w:val="center"/>
              <w:rPr>
                <w:b/>
              </w:rPr>
            </w:pPr>
            <w:r>
              <w:rPr>
                <w:b/>
              </w:rPr>
              <w:t>Colonna</w:t>
            </w:r>
          </w:p>
        </w:tc>
        <w:tc>
          <w:tcPr>
            <w:tcW w:w="6237" w:type="dxa"/>
            <w:shd w:val="clear" w:color="auto" w:fill="auto"/>
          </w:tcPr>
          <w:p>
            <w:pPr>
              <w:pStyle w:val="CorpoAltF0"/>
              <w:spacing w:before="60"/>
              <w:jc w:val="center"/>
              <w:rPr>
                <w:b/>
              </w:rPr>
            </w:pPr>
            <w:r>
              <w:rPr>
                <w:b/>
              </w:rPr>
              <w:t>Contenuto</w:t>
            </w:r>
          </w:p>
        </w:tc>
      </w:tr>
      <w:tr>
        <w:trPr>
          <w:trHeight w:val="284"/>
        </w:trPr>
        <w:tc>
          <w:tcPr>
            <w:tcW w:w="1101" w:type="dxa"/>
            <w:tcBorders>
              <w:top w:val="nil"/>
              <w:left w:val="nil"/>
              <w:bottom w:val="nil"/>
            </w:tcBorders>
            <w:shd w:val="clear" w:color="auto" w:fill="auto"/>
          </w:tcPr>
          <w:p>
            <w:pPr>
              <w:pStyle w:val="CorpoAltF0"/>
              <w:spacing w:before="60"/>
            </w:pPr>
          </w:p>
        </w:tc>
        <w:tc>
          <w:tcPr>
            <w:tcW w:w="1559" w:type="dxa"/>
            <w:shd w:val="clear" w:color="auto" w:fill="auto"/>
          </w:tcPr>
          <w:p>
            <w:pPr>
              <w:pStyle w:val="CorpoAltF0"/>
              <w:spacing w:before="60"/>
              <w:rPr>
                <w:b/>
              </w:rPr>
            </w:pPr>
            <w:r>
              <w:rPr>
                <w:b/>
              </w:rPr>
              <w:t>Fil.</w:t>
            </w:r>
          </w:p>
        </w:tc>
        <w:tc>
          <w:tcPr>
            <w:tcW w:w="6237" w:type="dxa"/>
            <w:shd w:val="clear" w:color="auto" w:fill="auto"/>
          </w:tcPr>
          <w:p>
            <w:pPr>
              <w:pStyle w:val="CorpoAltF0"/>
              <w:spacing w:before="60"/>
              <w:ind w:left="34"/>
              <w:jc w:val="left"/>
            </w:pPr>
            <w:r>
              <w:t>Codice Filiale</w:t>
            </w:r>
          </w:p>
        </w:tc>
      </w:tr>
      <w:tr>
        <w:trPr>
          <w:trHeight w:val="284"/>
        </w:trPr>
        <w:tc>
          <w:tcPr>
            <w:tcW w:w="1101" w:type="dxa"/>
            <w:tcBorders>
              <w:top w:val="nil"/>
              <w:left w:val="nil"/>
              <w:bottom w:val="nil"/>
            </w:tcBorders>
            <w:shd w:val="clear" w:color="auto" w:fill="auto"/>
          </w:tcPr>
          <w:p>
            <w:pPr>
              <w:pStyle w:val="CorpoAltF0"/>
              <w:spacing w:before="60"/>
            </w:pPr>
          </w:p>
        </w:tc>
        <w:tc>
          <w:tcPr>
            <w:tcW w:w="1559" w:type="dxa"/>
            <w:shd w:val="clear" w:color="auto" w:fill="auto"/>
          </w:tcPr>
          <w:p>
            <w:pPr>
              <w:pStyle w:val="CorpoAltF0"/>
              <w:spacing w:before="60"/>
              <w:rPr>
                <w:b/>
              </w:rPr>
            </w:pPr>
            <w:proofErr w:type="spellStart"/>
            <w:r>
              <w:rPr>
                <w:b/>
              </w:rPr>
              <w:t>Pos</w:t>
            </w:r>
            <w:proofErr w:type="spellEnd"/>
            <w:r>
              <w:rPr>
                <w:b/>
              </w:rPr>
              <w:t>.</w:t>
            </w:r>
          </w:p>
        </w:tc>
        <w:tc>
          <w:tcPr>
            <w:tcW w:w="6237" w:type="dxa"/>
            <w:shd w:val="clear" w:color="auto" w:fill="auto"/>
          </w:tcPr>
          <w:p>
            <w:pPr>
              <w:pStyle w:val="CorpoAltF0"/>
              <w:spacing w:before="60"/>
              <w:ind w:left="34"/>
              <w:jc w:val="left"/>
            </w:pPr>
            <w:r>
              <w:t>Codice Posizione (</w:t>
            </w:r>
            <w:r>
              <w:rPr>
                <w:b/>
              </w:rPr>
              <w:t>AZIE</w:t>
            </w:r>
            <w:r>
              <w:t xml:space="preserve"> &gt; scheda “</w:t>
            </w:r>
            <w:r>
              <w:rPr>
                <w:i/>
              </w:rPr>
              <w:t>INAIL</w:t>
            </w:r>
            <w:r>
              <w:t>”)</w:t>
            </w:r>
          </w:p>
        </w:tc>
      </w:tr>
      <w:tr>
        <w:trPr>
          <w:trHeight w:val="284"/>
        </w:trPr>
        <w:tc>
          <w:tcPr>
            <w:tcW w:w="1101" w:type="dxa"/>
            <w:tcBorders>
              <w:top w:val="nil"/>
              <w:left w:val="nil"/>
              <w:bottom w:val="nil"/>
            </w:tcBorders>
            <w:shd w:val="clear" w:color="auto" w:fill="auto"/>
          </w:tcPr>
          <w:p>
            <w:pPr>
              <w:pStyle w:val="CorpoAltF0"/>
              <w:spacing w:before="60"/>
            </w:pPr>
          </w:p>
        </w:tc>
        <w:tc>
          <w:tcPr>
            <w:tcW w:w="1559" w:type="dxa"/>
            <w:shd w:val="clear" w:color="auto" w:fill="auto"/>
          </w:tcPr>
          <w:p>
            <w:pPr>
              <w:pStyle w:val="CorpoAltF0"/>
              <w:spacing w:before="60"/>
              <w:rPr>
                <w:b/>
              </w:rPr>
            </w:pPr>
            <w:proofErr w:type="spellStart"/>
            <w:r>
              <w:rPr>
                <w:b/>
              </w:rPr>
              <w:t>Prg</w:t>
            </w:r>
            <w:proofErr w:type="spellEnd"/>
          </w:p>
        </w:tc>
        <w:tc>
          <w:tcPr>
            <w:tcW w:w="6237" w:type="dxa"/>
            <w:shd w:val="clear" w:color="auto" w:fill="auto"/>
          </w:tcPr>
          <w:p>
            <w:pPr>
              <w:pStyle w:val="CorpoAltF0"/>
              <w:spacing w:before="60"/>
              <w:ind w:left="34"/>
              <w:jc w:val="left"/>
            </w:pPr>
            <w:r>
              <w:t>Progressivo Voce</w:t>
            </w:r>
          </w:p>
        </w:tc>
      </w:tr>
      <w:tr>
        <w:trPr>
          <w:trHeight w:val="284"/>
        </w:trPr>
        <w:tc>
          <w:tcPr>
            <w:tcW w:w="1101" w:type="dxa"/>
            <w:tcBorders>
              <w:top w:val="nil"/>
              <w:left w:val="nil"/>
              <w:bottom w:val="nil"/>
            </w:tcBorders>
            <w:shd w:val="clear" w:color="auto" w:fill="auto"/>
          </w:tcPr>
          <w:p>
            <w:pPr>
              <w:pStyle w:val="CorpoAltF0"/>
              <w:spacing w:before="60"/>
            </w:pPr>
          </w:p>
        </w:tc>
        <w:tc>
          <w:tcPr>
            <w:tcW w:w="1559" w:type="dxa"/>
            <w:shd w:val="clear" w:color="auto" w:fill="auto"/>
          </w:tcPr>
          <w:p>
            <w:pPr>
              <w:pStyle w:val="CorpoAltF0"/>
              <w:spacing w:before="60"/>
              <w:rPr>
                <w:b/>
              </w:rPr>
            </w:pPr>
            <w:r>
              <w:rPr>
                <w:b/>
              </w:rPr>
              <w:t>P.A.T.</w:t>
            </w:r>
          </w:p>
        </w:tc>
        <w:tc>
          <w:tcPr>
            <w:tcW w:w="6237" w:type="dxa"/>
            <w:shd w:val="clear" w:color="auto" w:fill="auto"/>
          </w:tcPr>
          <w:p>
            <w:pPr>
              <w:pStyle w:val="CorpoAltF0"/>
              <w:spacing w:before="60"/>
              <w:ind w:left="34"/>
              <w:jc w:val="left"/>
            </w:pPr>
            <w:r>
              <w:t>Codice della Posizione Assicurativa Territoriale</w:t>
            </w:r>
          </w:p>
        </w:tc>
      </w:tr>
      <w:tr>
        <w:trPr>
          <w:trHeight w:val="284"/>
        </w:trPr>
        <w:tc>
          <w:tcPr>
            <w:tcW w:w="1101" w:type="dxa"/>
            <w:tcBorders>
              <w:top w:val="nil"/>
              <w:left w:val="nil"/>
              <w:bottom w:val="nil"/>
            </w:tcBorders>
            <w:shd w:val="clear" w:color="auto" w:fill="auto"/>
          </w:tcPr>
          <w:p>
            <w:pPr>
              <w:pStyle w:val="CorpoAltF0"/>
              <w:spacing w:before="60"/>
            </w:pPr>
          </w:p>
        </w:tc>
        <w:tc>
          <w:tcPr>
            <w:tcW w:w="1559" w:type="dxa"/>
            <w:shd w:val="clear" w:color="auto" w:fill="auto"/>
          </w:tcPr>
          <w:p>
            <w:pPr>
              <w:pStyle w:val="CorpoAltF0"/>
              <w:spacing w:before="60"/>
              <w:rPr>
                <w:b/>
              </w:rPr>
            </w:pPr>
            <w:r>
              <w:rPr>
                <w:b/>
              </w:rPr>
              <w:t>Descrizione</w:t>
            </w:r>
          </w:p>
        </w:tc>
        <w:tc>
          <w:tcPr>
            <w:tcW w:w="6237" w:type="dxa"/>
            <w:shd w:val="clear" w:color="auto" w:fill="auto"/>
          </w:tcPr>
          <w:p>
            <w:pPr>
              <w:pStyle w:val="CorpoAltF0"/>
              <w:spacing w:before="60"/>
              <w:ind w:left="34"/>
              <w:jc w:val="left"/>
            </w:pPr>
            <w:r>
              <w:t>Descrizione della PAT</w:t>
            </w:r>
          </w:p>
        </w:tc>
      </w:tr>
      <w:tr>
        <w:trPr>
          <w:trHeight w:val="284"/>
        </w:trPr>
        <w:tc>
          <w:tcPr>
            <w:tcW w:w="1101" w:type="dxa"/>
            <w:tcBorders>
              <w:top w:val="nil"/>
              <w:left w:val="nil"/>
              <w:bottom w:val="nil"/>
            </w:tcBorders>
            <w:shd w:val="clear" w:color="auto" w:fill="auto"/>
          </w:tcPr>
          <w:p>
            <w:pPr>
              <w:pStyle w:val="CorpoAltF0"/>
              <w:spacing w:before="60"/>
            </w:pPr>
          </w:p>
        </w:tc>
        <w:tc>
          <w:tcPr>
            <w:tcW w:w="1559" w:type="dxa"/>
            <w:shd w:val="clear" w:color="auto" w:fill="auto"/>
          </w:tcPr>
          <w:p>
            <w:pPr>
              <w:pStyle w:val="CorpoAltF0"/>
              <w:spacing w:before="60"/>
              <w:rPr>
                <w:b/>
              </w:rPr>
            </w:pPr>
            <w:r>
              <w:rPr>
                <w:b/>
              </w:rPr>
              <w:t>Voce</w:t>
            </w:r>
          </w:p>
        </w:tc>
        <w:tc>
          <w:tcPr>
            <w:tcW w:w="6237" w:type="dxa"/>
            <w:shd w:val="clear" w:color="auto" w:fill="auto"/>
          </w:tcPr>
          <w:p>
            <w:pPr>
              <w:pStyle w:val="CorpoAltF0"/>
              <w:spacing w:before="60"/>
              <w:ind w:left="34"/>
              <w:jc w:val="left"/>
            </w:pPr>
            <w:r>
              <w:t>Codice Tariffa</w:t>
            </w:r>
          </w:p>
        </w:tc>
      </w:tr>
      <w:tr>
        <w:trPr>
          <w:trHeight w:val="284"/>
        </w:trPr>
        <w:tc>
          <w:tcPr>
            <w:tcW w:w="1101" w:type="dxa"/>
            <w:tcBorders>
              <w:top w:val="nil"/>
              <w:left w:val="nil"/>
              <w:bottom w:val="nil"/>
            </w:tcBorders>
            <w:shd w:val="clear" w:color="auto" w:fill="auto"/>
          </w:tcPr>
          <w:p>
            <w:pPr>
              <w:pStyle w:val="CorpoAltF0"/>
              <w:spacing w:before="60"/>
            </w:pPr>
          </w:p>
        </w:tc>
        <w:tc>
          <w:tcPr>
            <w:tcW w:w="1559" w:type="dxa"/>
            <w:shd w:val="clear" w:color="auto" w:fill="auto"/>
          </w:tcPr>
          <w:p>
            <w:pPr>
              <w:pStyle w:val="CorpoAltF0"/>
              <w:spacing w:before="60"/>
              <w:rPr>
                <w:b/>
              </w:rPr>
            </w:pPr>
            <w:r>
              <w:rPr>
                <w:b/>
              </w:rPr>
              <w:t>Stato</w:t>
            </w:r>
          </w:p>
        </w:tc>
        <w:tc>
          <w:tcPr>
            <w:tcW w:w="6237" w:type="dxa"/>
            <w:shd w:val="clear" w:color="auto" w:fill="auto"/>
          </w:tcPr>
          <w:p>
            <w:pPr>
              <w:pStyle w:val="CorpoAltF0"/>
              <w:spacing w:before="60"/>
              <w:ind w:left="34"/>
              <w:jc w:val="left"/>
            </w:pPr>
            <w:r>
              <w:t>Può contenere diversi messaggi:</w:t>
            </w:r>
          </w:p>
          <w:p>
            <w:pPr>
              <w:pStyle w:val="CorpoAltF0"/>
              <w:numPr>
                <w:ilvl w:val="0"/>
                <w:numId w:val="8"/>
              </w:numPr>
              <w:ind w:left="317" w:hanging="283"/>
              <w:jc w:val="left"/>
            </w:pPr>
            <w:r>
              <w:t xml:space="preserve">Compilata </w:t>
            </w:r>
            <w:r>
              <w:rPr>
                <w:vertAlign w:val="superscript"/>
              </w:rPr>
              <w:t>(1)</w:t>
            </w:r>
          </w:p>
          <w:p>
            <w:pPr>
              <w:pStyle w:val="CorpoAltF0"/>
              <w:numPr>
                <w:ilvl w:val="0"/>
                <w:numId w:val="8"/>
              </w:numPr>
              <w:ind w:left="317" w:hanging="283"/>
              <w:jc w:val="left"/>
            </w:pPr>
            <w:r>
              <w:t>Non compilata</w:t>
            </w:r>
          </w:p>
          <w:p>
            <w:pPr>
              <w:pStyle w:val="CorpoAltF0"/>
              <w:numPr>
                <w:ilvl w:val="0"/>
                <w:numId w:val="8"/>
              </w:numPr>
              <w:ind w:left="317" w:hanging="283"/>
              <w:jc w:val="left"/>
            </w:pPr>
            <w:r>
              <w:t>Chiusa</w:t>
            </w:r>
          </w:p>
          <w:p>
            <w:pPr>
              <w:pStyle w:val="CorpoAltF0"/>
              <w:numPr>
                <w:ilvl w:val="0"/>
                <w:numId w:val="8"/>
              </w:numPr>
              <w:ind w:left="317" w:hanging="283"/>
              <w:jc w:val="left"/>
            </w:pPr>
            <w:r>
              <w:t xml:space="preserve">Nulla </w:t>
            </w:r>
            <w:r>
              <w:rPr>
                <w:vertAlign w:val="superscript"/>
              </w:rPr>
              <w:t>(2)</w:t>
            </w:r>
          </w:p>
          <w:p>
            <w:pPr>
              <w:pStyle w:val="CorpoAltF0"/>
              <w:numPr>
                <w:ilvl w:val="0"/>
                <w:numId w:val="8"/>
              </w:numPr>
              <w:ind w:left="317" w:hanging="283"/>
              <w:jc w:val="left"/>
            </w:pPr>
            <w:r>
              <w:t xml:space="preserve">Riferimento a filiale </w:t>
            </w:r>
            <w:r>
              <w:rPr>
                <w:vertAlign w:val="superscript"/>
              </w:rPr>
              <w:t>(3)</w:t>
            </w:r>
          </w:p>
          <w:p>
            <w:pPr>
              <w:pStyle w:val="CorpoAltF0"/>
            </w:pPr>
          </w:p>
          <w:p>
            <w:pPr>
              <w:pStyle w:val="CorpoAltF0"/>
              <w:numPr>
                <w:ilvl w:val="0"/>
                <w:numId w:val="9"/>
              </w:numPr>
              <w:spacing w:before="60"/>
              <w:ind w:left="252" w:hanging="218"/>
            </w:pPr>
            <w:r>
              <w:t>segnalato anche per PAT compilate dal ricalcolo senza averle gestite: è necessario effettuare una verifica dei dati presenti in gestione.</w:t>
            </w:r>
          </w:p>
          <w:p>
            <w:pPr>
              <w:pStyle w:val="CorpoAltF0"/>
              <w:numPr>
                <w:ilvl w:val="0"/>
                <w:numId w:val="9"/>
              </w:numPr>
              <w:spacing w:before="60"/>
              <w:ind w:left="252" w:hanging="218"/>
            </w:pPr>
            <w:r>
              <w:t>in presenza di posizione 0</w:t>
            </w:r>
          </w:p>
          <w:p>
            <w:pPr>
              <w:pStyle w:val="CorpoAltF0"/>
              <w:numPr>
                <w:ilvl w:val="0"/>
                <w:numId w:val="9"/>
              </w:numPr>
              <w:spacing w:before="60"/>
              <w:ind w:left="252" w:hanging="218"/>
            </w:pPr>
            <w:r>
              <w:t>in presenza di più filiali con PAT uguali</w:t>
            </w:r>
          </w:p>
        </w:tc>
      </w:tr>
    </w:tbl>
    <w:p>
      <w:pPr>
        <w:pStyle w:val="CorpoAltF0"/>
      </w:pPr>
    </w:p>
    <w:p>
      <w:pPr>
        <w:pStyle w:val="CorpoAltF0"/>
      </w:pPr>
      <w:r>
        <w:t>Dopo aver gestito le PAT (compilata e non compilata) con le scelte 2, 3, 4 e 5, chiudere la denuncia salari per le singole posizioni con la scelta 6. Rientrare nel menu principale e selezionare la scelta 2 “</w:t>
      </w:r>
      <w:r>
        <w:rPr>
          <w:i/>
        </w:rPr>
        <w:t>Gestione contributi associativi</w:t>
      </w:r>
      <w:r>
        <w:t>” per l’inserimento degli eventuali contributi da versare separatamente in delega F24. Accedere poi alla scelta 3 “</w:t>
      </w:r>
      <w:r>
        <w:rPr>
          <w:i/>
        </w:rPr>
        <w:t>Liquidazione dei premi</w:t>
      </w:r>
      <w:r>
        <w:t>” dove viene riportato un riepilogo dei premi contenuti nelle singole PAT su due pagine. Nella prima vanno gestiti il versamento e la scelta per la rateizzazione degli importi. Come data di scadenza il programma propone il giorno 16/05/2019.</w:t>
      </w:r>
    </w:p>
    <w:p>
      <w:pPr>
        <w:pStyle w:val="CorpoAltF0"/>
      </w:pPr>
      <w:r>
        <w:br w:type="page"/>
      </w:r>
    </w:p>
    <w:p>
      <w:pPr>
        <w:pStyle w:val="CorpoAltF0"/>
        <w:rPr>
          <w:highlight w:val="yellow"/>
        </w:rPr>
      </w:pPr>
    </w:p>
    <w:p>
      <w:pPr>
        <w:pStyle w:val="CorpoAltF0"/>
        <w:rPr>
          <w:b/>
        </w:rPr>
      </w:pPr>
      <w:r>
        <w:rPr>
          <w:b/>
        </w:rPr>
        <w:t>Rateizzazione del premio</w:t>
      </w:r>
    </w:p>
    <w:p>
      <w:pPr>
        <w:pStyle w:val="CorpoAltF0"/>
        <w:spacing w:before="120"/>
      </w:pPr>
      <w:r>
        <w:t>Se si sceglie la rateizzazione del premio, la quota capitale per il calcolo degli interessi viene ottenuta nel seguente modo:</w:t>
      </w:r>
    </w:p>
    <w:p>
      <w:pPr>
        <w:pStyle w:val="CorpoAltF0"/>
        <w:numPr>
          <w:ilvl w:val="0"/>
          <w:numId w:val="10"/>
        </w:numPr>
        <w:spacing w:before="60"/>
        <w:ind w:left="284" w:hanging="284"/>
        <w:rPr>
          <w:u w:val="single"/>
        </w:rPr>
      </w:pPr>
      <w:r>
        <w:rPr>
          <w:u w:val="single"/>
        </w:rPr>
        <w:t>Regolazione positiva (situazione a debito)</w:t>
      </w:r>
    </w:p>
    <w:p>
      <w:pPr>
        <w:pStyle w:val="CorpoAltF0"/>
        <w:ind w:left="284"/>
        <w:rPr>
          <w:b/>
        </w:rPr>
      </w:pPr>
      <w:r>
        <w:rPr>
          <w:b/>
        </w:rPr>
        <w:t xml:space="preserve">Totale premio REGOLAZIONE + Totale premio RATA – TOTALE ANTICIPATO al netto dell’addizionale (ANMIL) / 4 </w:t>
      </w:r>
    </w:p>
    <w:p>
      <w:pPr>
        <w:pStyle w:val="CorpoAltF0"/>
        <w:numPr>
          <w:ilvl w:val="0"/>
          <w:numId w:val="10"/>
        </w:numPr>
        <w:spacing w:before="60"/>
        <w:ind w:left="284" w:hanging="284"/>
        <w:rPr>
          <w:u w:val="single"/>
        </w:rPr>
      </w:pPr>
      <w:r>
        <w:rPr>
          <w:u w:val="single"/>
        </w:rPr>
        <w:t>Regolazione negativa (situazione a credito)</w:t>
      </w:r>
    </w:p>
    <w:p>
      <w:pPr>
        <w:pStyle w:val="CorpoAltF0"/>
        <w:ind w:left="284"/>
        <w:rPr>
          <w:b/>
        </w:rPr>
      </w:pPr>
      <w:r>
        <w:rPr>
          <w:b/>
        </w:rPr>
        <w:t>Totale premio REGOLAZIONE + Totale premio RATA / 4</w:t>
      </w:r>
    </w:p>
    <w:p>
      <w:pPr>
        <w:pStyle w:val="CorpoAltF0"/>
        <w:numPr>
          <w:ilvl w:val="0"/>
          <w:numId w:val="10"/>
        </w:numPr>
        <w:spacing w:before="60"/>
        <w:ind w:left="284" w:hanging="284"/>
        <w:rPr>
          <w:u w:val="single"/>
        </w:rPr>
      </w:pPr>
      <w:r>
        <w:rPr>
          <w:u w:val="single"/>
        </w:rPr>
        <w:t>Gli interessi sono così determinati:</w:t>
      </w:r>
    </w:p>
    <w:p>
      <w:pPr>
        <w:pStyle w:val="CorpoAltF0"/>
        <w:ind w:left="284"/>
        <w:rPr>
          <w:b/>
        </w:rPr>
      </w:pPr>
      <w:r>
        <w:rPr>
          <w:b/>
        </w:rPr>
        <w:t>QUOTA CAPITALE X TASSO INTERESSE BASE X GIORNI PERIODO / 365</w:t>
      </w:r>
    </w:p>
    <w:p>
      <w:pPr>
        <w:pStyle w:val="CorpoAltF0"/>
        <w:ind w:left="284"/>
        <w:rPr>
          <w:b/>
        </w:rPr>
      </w:pPr>
      <w:r>
        <w:rPr>
          <w:b/>
        </w:rPr>
        <w:t>I giorni e il tasso per il calcolo degli interessi vanno indicati nella “</w:t>
      </w:r>
      <w:r>
        <w:rPr>
          <w:b/>
          <w:i/>
        </w:rPr>
        <w:t>Tabella rateizzazione</w:t>
      </w:r>
      <w:r>
        <w:rPr>
          <w:b/>
        </w:rPr>
        <w:t>” (TB0704):</w:t>
      </w:r>
    </w:p>
    <w:p>
      <w:pPr>
        <w:pStyle w:val="CorpoAltF0"/>
      </w:pPr>
    </w:p>
    <w:p>
      <w:pPr>
        <w:pStyle w:val="CorpoAltF0"/>
      </w:pPr>
      <w:r>
        <w:t>Per l’autoliquidazione 2018/2019, alla scadenza del 16 maggio devono essere versate la prima e la seconda rata senza maggiorazione di interessi.</w:t>
      </w:r>
    </w:p>
    <w:p>
      <w:pPr>
        <w:pStyle w:val="CorpoAltF0"/>
      </w:pPr>
      <w:r>
        <w:t xml:space="preserve">Le rate successive devono essere versate entro il giorno 20 agosto (art. 3-quater, </w:t>
      </w:r>
      <w:proofErr w:type="spellStart"/>
      <w:r>
        <w:t>d.l.</w:t>
      </w:r>
      <w:proofErr w:type="spellEnd"/>
      <w:r>
        <w:t xml:space="preserve"> 16/2012 convertito dalla L. 44/2012) e 18 novembre 2019, maggiorate degli interessi calcolati applicando il tasso medio di interesse dei titoli di Stato per l’anno 2018 (determinato dal MEF nella misura dello </w:t>
      </w:r>
      <w:r>
        <w:rPr>
          <w:b/>
        </w:rPr>
        <w:t>1,07%</w:t>
      </w:r>
      <w:r>
        <w:t>).</w:t>
      </w:r>
    </w:p>
    <w:p>
      <w:pPr>
        <w:pStyle w:val="CorpoAltF0"/>
      </w:pPr>
    </w:p>
    <w:p>
      <w:pPr>
        <w:pStyle w:val="CorpoAltF0"/>
      </w:pPr>
      <w:r>
        <w:t>I giorni utili per il calcolo degli interessi per rateizzazione risultano i seguenti:</w:t>
      </w:r>
    </w:p>
    <w:p>
      <w:pPr>
        <w:pStyle w:val="NormaleWeb"/>
        <w:tabs>
          <w:tab w:val="right" w:pos="3544"/>
        </w:tabs>
        <w:spacing w:before="60" w:beforeAutospacing="0" w:after="0" w:afterAutospacing="0"/>
        <w:ind w:right="6"/>
        <w:jc w:val="both"/>
        <w:rPr>
          <w:rFonts w:ascii="Arial" w:hAnsi="Arial" w:cs="Arial"/>
          <w:sz w:val="20"/>
          <w:szCs w:val="36"/>
        </w:rPr>
      </w:pPr>
      <w:proofErr w:type="gramStart"/>
      <w:r>
        <w:rPr>
          <w:rFonts w:ascii="Arial" w:hAnsi="Arial" w:cs="Arial"/>
          <w:sz w:val="20"/>
          <w:szCs w:val="36"/>
        </w:rPr>
        <w:t>3^</w:t>
      </w:r>
      <w:proofErr w:type="gramEnd"/>
      <w:r>
        <w:rPr>
          <w:rFonts w:ascii="Arial" w:hAnsi="Arial" w:cs="Arial"/>
          <w:sz w:val="20"/>
          <w:szCs w:val="36"/>
        </w:rPr>
        <w:t xml:space="preserve"> rata 16/05/2019 – 20/08/2019 =</w:t>
      </w:r>
      <w:r>
        <w:rPr>
          <w:rFonts w:ascii="Arial" w:hAnsi="Arial" w:cs="Arial"/>
          <w:sz w:val="20"/>
          <w:szCs w:val="36"/>
        </w:rPr>
        <w:tab/>
        <w:t>92</w:t>
      </w:r>
    </w:p>
    <w:p>
      <w:pPr>
        <w:pStyle w:val="NormaleWeb"/>
        <w:tabs>
          <w:tab w:val="right" w:pos="3544"/>
        </w:tabs>
        <w:spacing w:before="60" w:beforeAutospacing="0" w:after="0" w:afterAutospacing="0"/>
        <w:ind w:right="6"/>
        <w:jc w:val="both"/>
        <w:rPr>
          <w:rFonts w:ascii="Arial" w:hAnsi="Arial" w:cs="Arial"/>
          <w:sz w:val="20"/>
          <w:szCs w:val="36"/>
        </w:rPr>
      </w:pPr>
      <w:proofErr w:type="gramStart"/>
      <w:r>
        <w:rPr>
          <w:rFonts w:ascii="Arial" w:hAnsi="Arial" w:cs="Arial"/>
          <w:sz w:val="20"/>
          <w:szCs w:val="36"/>
        </w:rPr>
        <w:t>4^</w:t>
      </w:r>
      <w:proofErr w:type="gramEnd"/>
      <w:r>
        <w:rPr>
          <w:rFonts w:ascii="Arial" w:hAnsi="Arial" w:cs="Arial"/>
          <w:sz w:val="20"/>
          <w:szCs w:val="36"/>
        </w:rPr>
        <w:t xml:space="preserve"> rata 16/05/2019 – 18/11/2019 =</w:t>
      </w:r>
      <w:r>
        <w:rPr>
          <w:rFonts w:ascii="Arial" w:hAnsi="Arial" w:cs="Arial"/>
          <w:sz w:val="20"/>
          <w:szCs w:val="36"/>
        </w:rPr>
        <w:tab/>
        <w:t>184</w:t>
      </w:r>
    </w:p>
    <w:p>
      <w:pPr>
        <w:pStyle w:val="CorpoAltF0"/>
      </w:pPr>
    </w:p>
    <w:p>
      <w:pPr>
        <w:pStyle w:val="CorpoAltF0"/>
      </w:pPr>
      <w:r>
        <w:t>La relativa tabella “</w:t>
      </w:r>
      <w:r>
        <w:rPr>
          <w:i/>
        </w:rPr>
        <w:t>Rateizzazione</w:t>
      </w:r>
      <w:r>
        <w:t>” (</w:t>
      </w:r>
      <w:r>
        <w:rPr>
          <w:b/>
        </w:rPr>
        <w:t>TB0704</w:t>
      </w:r>
      <w:r>
        <w:t>) viene aggiornata sulla base dei dati sopra indicati:</w:t>
      </w:r>
    </w:p>
    <w:p>
      <w:pPr>
        <w:pStyle w:val="CorpoAltF0"/>
        <w:spacing w:before="120"/>
        <w:jc w:val="center"/>
        <w:rPr>
          <w:noProof/>
        </w:rPr>
      </w:pPr>
      <w:r>
        <w:rPr>
          <w:noProof/>
        </w:rPr>
        <w:drawing>
          <wp:inline distT="0" distB="0" distL="0" distR="0">
            <wp:extent cx="5760000" cy="1683959"/>
            <wp:effectExtent l="0" t="0" r="0" b="0"/>
            <wp:docPr id="91" name="Immagin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000" cy="1683959"/>
                    </a:xfrm>
                    <a:prstGeom prst="rect">
                      <a:avLst/>
                    </a:prstGeom>
                  </pic:spPr>
                </pic:pic>
              </a:graphicData>
            </a:graphic>
          </wp:inline>
        </w:drawing>
      </w:r>
    </w:p>
    <w:p>
      <w:pPr>
        <w:pStyle w:val="NormaleWeb"/>
        <w:spacing w:before="0" w:beforeAutospacing="0" w:after="0" w:afterAutospacing="0"/>
        <w:ind w:right="7"/>
        <w:rPr>
          <w:rFonts w:ascii="Arial" w:hAnsi="Arial" w:cs="Arial"/>
          <w:sz w:val="20"/>
          <w:szCs w:val="36"/>
        </w:rPr>
      </w:pPr>
    </w:p>
    <w:p>
      <w:pPr>
        <w:pStyle w:val="CorpoAltF0"/>
        <w:rPr>
          <w:b/>
          <w:u w:val="single"/>
        </w:rPr>
      </w:pPr>
      <w:r>
        <w:rPr>
          <w:b/>
          <w:u w:val="single"/>
        </w:rPr>
        <w:t>Calcolo addizionale ANMIL nella rateizzazione:</w:t>
      </w:r>
    </w:p>
    <w:p>
      <w:pPr>
        <w:pStyle w:val="CorpoAltF0"/>
        <w:numPr>
          <w:ilvl w:val="0"/>
          <w:numId w:val="10"/>
        </w:numPr>
        <w:spacing w:before="60"/>
        <w:ind w:left="284" w:hanging="284"/>
        <w:rPr>
          <w:u w:val="single"/>
        </w:rPr>
      </w:pPr>
      <w:r>
        <w:rPr>
          <w:u w:val="single"/>
        </w:rPr>
        <w:t>Regolazione positiva</w:t>
      </w:r>
    </w:p>
    <w:p>
      <w:pPr>
        <w:pStyle w:val="CorpoAltF0"/>
        <w:ind w:left="284"/>
      </w:pPr>
      <w:r>
        <w:t xml:space="preserve">ADDIZ. RATA + ADDIZ. REGOLAZIONE – ADDIZ. SU TOTALE ANTICIPATO </w:t>
      </w:r>
      <w:r>
        <w:rPr>
          <w:b/>
          <w:vertAlign w:val="superscript"/>
        </w:rPr>
        <w:t>(1)</w:t>
      </w:r>
      <w:r>
        <w:t xml:space="preserve"> / 4 </w:t>
      </w:r>
    </w:p>
    <w:p>
      <w:pPr>
        <w:pStyle w:val="CorpoAltF0"/>
        <w:spacing w:before="120"/>
        <w:ind w:left="284"/>
      </w:pPr>
      <w:r>
        <w:rPr>
          <w:b/>
          <w:vertAlign w:val="superscript"/>
        </w:rPr>
        <w:t>(1)</w:t>
      </w:r>
      <w:r>
        <w:t xml:space="preserve"> </w:t>
      </w:r>
      <w:r>
        <w:rPr>
          <w:sz w:val="18"/>
          <w:szCs w:val="18"/>
        </w:rPr>
        <w:t>ADDIZIONALE SU TOTALE ANTICIPATO = IMPORTO ANTICIPATO / 101</w:t>
      </w:r>
    </w:p>
    <w:p>
      <w:pPr>
        <w:pStyle w:val="CorpoAltF0"/>
        <w:numPr>
          <w:ilvl w:val="0"/>
          <w:numId w:val="10"/>
        </w:numPr>
        <w:spacing w:before="60"/>
        <w:ind w:left="284" w:hanging="284"/>
        <w:rPr>
          <w:u w:val="single"/>
        </w:rPr>
      </w:pPr>
      <w:r>
        <w:rPr>
          <w:u w:val="single"/>
        </w:rPr>
        <w:t>Regolazione negativa (situazione a credito)</w:t>
      </w:r>
    </w:p>
    <w:p>
      <w:pPr>
        <w:pStyle w:val="CorpoAltF0"/>
        <w:ind w:left="284"/>
      </w:pPr>
      <w:r>
        <w:t>ADDIZIONALE RATA / 4</w:t>
      </w:r>
    </w:p>
    <w:p>
      <w:pPr>
        <w:pStyle w:val="CorpoAltF0"/>
      </w:pPr>
    </w:p>
    <w:p>
      <w:pPr>
        <w:pStyle w:val="CorpoAltF0"/>
      </w:pPr>
    </w:p>
    <w:p>
      <w:pPr>
        <w:pStyle w:val="CorpoAltF0"/>
        <w:rPr>
          <w:b/>
          <w:u w:val="single"/>
        </w:rPr>
      </w:pPr>
      <w:r>
        <w:rPr>
          <w:b/>
          <w:u w:val="single"/>
        </w:rPr>
        <w:t>PAT ponderate</w:t>
      </w:r>
    </w:p>
    <w:p>
      <w:pPr>
        <w:pStyle w:val="CorpoAltF0"/>
        <w:spacing w:before="120"/>
      </w:pPr>
      <w:r>
        <w:t>In presenza di PAT ponderata con l’indicazione di più codici tariffa, il programma di ricalcolo genera più PAT da elaborare ciascuna con lo stesso tasso e con le relative retribuzioni in base alla percentuale di incidenza indicata in tabella per le rispettive tariffe.</w:t>
      </w:r>
    </w:p>
    <w:p>
      <w:pPr>
        <w:pStyle w:val="CorpoAltF0"/>
        <w:spacing w:before="120"/>
      </w:pPr>
      <w:r>
        <w:t>Si precisa che dal 1° gennaio 2019, le PAT ponderate relative a polizze dipendenti sono state cessate e sostituite con nuove PAT ordinarie.</w:t>
      </w:r>
    </w:p>
    <w:p>
      <w:pPr>
        <w:rPr>
          <w:rFonts w:ascii="Arial" w:hAnsi="Arial" w:cs="Arial"/>
          <w:sz w:val="20"/>
          <w:szCs w:val="20"/>
        </w:rPr>
      </w:pPr>
      <w:r>
        <w:br w:type="page"/>
      </w:r>
    </w:p>
    <w:p>
      <w:pPr>
        <w:pStyle w:val="CorpoAltF0"/>
      </w:pPr>
    </w:p>
    <w:p>
      <w:pPr>
        <w:pStyle w:val="CorpoAltF0"/>
        <w:rPr>
          <w:b/>
          <w:u w:val="single"/>
        </w:rPr>
      </w:pPr>
      <w:r>
        <w:rPr>
          <w:b/>
          <w:u w:val="single"/>
        </w:rPr>
        <w:t>Arrotondamento versamenti</w:t>
      </w:r>
    </w:p>
    <w:p>
      <w:pPr>
        <w:pStyle w:val="CorpoAltF0"/>
        <w:spacing w:before="120"/>
      </w:pPr>
      <w:r>
        <w:t xml:space="preserve">L’importo dei premi da versare va arrotondato al centesimo di euro oppure all’unità di euro. </w:t>
      </w:r>
    </w:p>
    <w:p>
      <w:pPr>
        <w:pStyle w:val="CorpoAltF0"/>
      </w:pPr>
      <w:r>
        <w:t>La procedura PAGHE riporta in delega l’importo in centesimi di euro.</w:t>
      </w:r>
    </w:p>
    <w:p>
      <w:pPr>
        <w:pStyle w:val="CorpoAltF0"/>
        <w:rPr>
          <w:highlight w:val="yellow"/>
        </w:rPr>
      </w:pPr>
    </w:p>
    <w:p>
      <w:pPr>
        <w:pStyle w:val="CorpoAltF0"/>
        <w:rPr>
          <w:b/>
          <w:highlight w:val="yellow"/>
          <w:u w:val="single"/>
        </w:rPr>
      </w:pPr>
    </w:p>
    <w:p>
      <w:pPr>
        <w:pStyle w:val="CorpoAltF0"/>
        <w:rPr>
          <w:b/>
          <w:u w:val="single"/>
        </w:rPr>
      </w:pPr>
      <w:r>
        <w:rPr>
          <w:b/>
          <w:u w:val="single"/>
        </w:rPr>
        <w:t>Gestione contributi associativi</w:t>
      </w:r>
    </w:p>
    <w:p>
      <w:pPr>
        <w:pStyle w:val="CorpoAltF0"/>
        <w:spacing w:before="120"/>
      </w:pPr>
      <w:r>
        <w:t>Nella sezione regolazione sono presenti due colonne:</w:t>
      </w:r>
    </w:p>
    <w:p>
      <w:pPr>
        <w:pStyle w:val="CorpoAltF0"/>
      </w:pPr>
      <w:r>
        <w:t>- Anticipo</w:t>
      </w:r>
    </w:p>
    <w:p>
      <w:pPr>
        <w:pStyle w:val="CorpoAltF0"/>
      </w:pPr>
      <w:r>
        <w:t>- Importo contributo</w:t>
      </w:r>
    </w:p>
    <w:p>
      <w:pPr>
        <w:pStyle w:val="CorpoAltF0"/>
        <w:spacing w:before="60"/>
      </w:pPr>
      <w:r>
        <w:t>Nel riepilogo versamenti (“</w:t>
      </w:r>
      <w:r>
        <w:rPr>
          <w:i/>
        </w:rPr>
        <w:t>Gestione liquidazioni</w:t>
      </w:r>
      <w:r>
        <w:t>”</w:t>
      </w:r>
      <w:r>
        <w:rPr>
          <w:i/>
        </w:rPr>
        <w:t xml:space="preserve"> &gt; </w:t>
      </w:r>
      <w:r>
        <w:t>3-“</w:t>
      </w:r>
      <w:r>
        <w:rPr>
          <w:i/>
        </w:rPr>
        <w:t>Liquidazione premi</w:t>
      </w:r>
      <w:r>
        <w:t>”) viene indicato l’importo (dato da totale contributo – anticipo) per i tipi esazione ad importo. I tipi esazione 1 e 3 vengono calcolati in automatico sulle retribuzioni.</w:t>
      </w:r>
    </w:p>
    <w:p>
      <w:pPr>
        <w:pStyle w:val="CorpoAltF0"/>
      </w:pPr>
    </w:p>
    <w:p>
      <w:pPr>
        <w:pStyle w:val="CorpoAltF0"/>
      </w:pPr>
    </w:p>
    <w:p>
      <w:pPr>
        <w:pStyle w:val="CorpoAltF0"/>
        <w:rPr>
          <w:szCs w:val="36"/>
          <w:u w:val="single"/>
        </w:rPr>
      </w:pPr>
      <w:r>
        <w:rPr>
          <w:b/>
          <w:bCs/>
          <w:szCs w:val="36"/>
          <w:u w:val="single"/>
        </w:rPr>
        <w:t>Stampe di controllo</w:t>
      </w:r>
      <w:r>
        <w:rPr>
          <w:szCs w:val="36"/>
          <w:u w:val="single"/>
        </w:rPr>
        <w:t xml:space="preserve"> </w:t>
      </w:r>
    </w:p>
    <w:p>
      <w:pPr>
        <w:pStyle w:val="CorpoAltF0"/>
        <w:spacing w:before="120"/>
      </w:pPr>
      <w:r>
        <w:t xml:space="preserve">Per controllare il dettaglio delle retribuzioni si può utilizzare il comando </w:t>
      </w:r>
      <w:r>
        <w:rPr>
          <w:b/>
        </w:rPr>
        <w:t>PRINAIL</w:t>
      </w:r>
      <w:r>
        <w:t>.</w:t>
      </w:r>
    </w:p>
    <w:p>
      <w:pPr>
        <w:pStyle w:val="CorpoAltF0"/>
        <w:rPr>
          <w:szCs w:val="36"/>
        </w:rPr>
      </w:pPr>
      <w:r>
        <w:rPr>
          <w:szCs w:val="36"/>
        </w:rPr>
        <w:t>Sono presenti due scelte che consentono di stampare gli imponibili mensili per dipendente (scelta 1) e gli imponibili mensili per PAT e voce di tariffa (scelta 2).</w:t>
      </w:r>
    </w:p>
    <w:p>
      <w:pPr>
        <w:pStyle w:val="CorpoAltF0"/>
        <w:rPr>
          <w:highlight w:val="yellow"/>
        </w:rPr>
      </w:pPr>
      <w:r>
        <w:rPr>
          <w:highlight w:val="yellow"/>
        </w:rPr>
        <w:br w:type="page"/>
      </w:r>
    </w:p>
    <w:p>
      <w:pPr>
        <w:pStyle w:val="Ignora"/>
        <w:rPr>
          <w:highlight w:val="yellow"/>
        </w:rPr>
      </w:pPr>
    </w:p>
    <w:p>
      <w:pPr>
        <w:pStyle w:val="TS-titolo-04"/>
      </w:pPr>
      <w:bookmarkStart w:id="51" w:name="_Toc471235854"/>
      <w:bookmarkStart w:id="52" w:name="_Toc6329820"/>
      <w:r>
        <w:t>Gestione PAT: Dettaglio operazioni sulle singole PAT</w:t>
      </w:r>
      <w:bookmarkEnd w:id="51"/>
      <w:bookmarkEnd w:id="52"/>
    </w:p>
    <w:p>
      <w:pPr>
        <w:pStyle w:val="TS-titolo-05"/>
      </w:pPr>
      <w:bookmarkStart w:id="53" w:name="_Toc471235855"/>
      <w:bookmarkStart w:id="54" w:name="_Toc6329821"/>
      <w:r>
        <w:t>Tabella INAIL azienda</w:t>
      </w:r>
      <w:bookmarkEnd w:id="53"/>
      <w:bookmarkEnd w:id="5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3"/>
        <w:gridCol w:w="5616"/>
      </w:tblGrid>
      <w:tr>
        <w:tc>
          <w:tcPr>
            <w:tcW w:w="4407" w:type="dxa"/>
            <w:shd w:val="clear" w:color="auto" w:fill="auto"/>
          </w:tcPr>
          <w:p>
            <w:pPr>
              <w:pStyle w:val="CorpoAltF0"/>
            </w:pPr>
          </w:p>
          <w:p>
            <w:pPr>
              <w:pStyle w:val="CorpoAltF0"/>
              <w:numPr>
                <w:ilvl w:val="0"/>
                <w:numId w:val="12"/>
              </w:numPr>
              <w:ind w:left="284" w:hanging="284"/>
            </w:pPr>
            <w:r>
              <w:rPr>
                <w:b/>
              </w:rPr>
              <w:t>Codici voce tariffa</w:t>
            </w:r>
          </w:p>
          <w:p>
            <w:pPr>
              <w:pStyle w:val="CorpoAltF0"/>
              <w:numPr>
                <w:ilvl w:val="0"/>
                <w:numId w:val="12"/>
              </w:numPr>
              <w:ind w:left="284" w:hanging="284"/>
            </w:pPr>
            <w:r>
              <w:rPr>
                <w:b/>
              </w:rPr>
              <w:t>Retribuzioni convenzionali</w:t>
            </w:r>
          </w:p>
          <w:p>
            <w:pPr>
              <w:pStyle w:val="CorpoAltF0"/>
            </w:pPr>
          </w:p>
          <w:p>
            <w:pPr>
              <w:pStyle w:val="CorpoAltF0"/>
            </w:pPr>
            <w:r>
              <w:t>Vengono visualizzati i dati della PAT dell'azienda con le informazioni che vengono prelevate per l'autoliquidazione. È necessario indicare nella tabella il codice della voce di tariffa associata alla PAT. Nelle PAT ponderate indicare oltre ai codici delle diverse voci anche la percentuale d’incidenza di ciascuna mansione sull’importo complessivo delle retribuzioni.</w:t>
            </w:r>
          </w:p>
          <w:p>
            <w:pPr>
              <w:pStyle w:val="CorpoAltF0"/>
            </w:pPr>
            <w:r>
              <w:t>È necessario indicare se applicare la retribuzione convenzionale per i dirigenti e per i quadri.</w:t>
            </w:r>
          </w:p>
          <w:p>
            <w:pPr>
              <w:pStyle w:val="CorpoAltF0"/>
              <w:spacing w:before="120"/>
            </w:pPr>
            <w:r>
              <w:t>Il campo “</w:t>
            </w:r>
            <w:r>
              <w:rPr>
                <w:i/>
              </w:rPr>
              <w:t>Posizione dipendente aperta</w:t>
            </w:r>
            <w:r>
              <w:t>” va contrassegnato in caso di azienda artigiana con solo soci ma posizione dipendenti aperta. Contrassegnando tale campo, il programma riporta nel file della denuncia i dati relativi a PAT, voce di tariffa, inquadramento, silicosi/asbestosi e periodo di riferimento, anche in assenza di dipendenti associati alla posizione stessa. In caso contrario tali dati non vengono riportati nel file.</w:t>
            </w:r>
          </w:p>
          <w:p>
            <w:pPr>
              <w:pStyle w:val="CorpoAltF0"/>
            </w:pPr>
          </w:p>
          <w:p>
            <w:pPr>
              <w:pStyle w:val="CorpoAltF0"/>
            </w:pPr>
            <w:r>
              <w:t>Per separare le retribuzioni in due periodi (ad esempio per variazione del tasso, sconto o agevolazioni) è necessario inserire la data di variazione prima di eseguire il ricalcolo della denuncia.</w:t>
            </w:r>
          </w:p>
          <w:p>
            <w:pPr>
              <w:pStyle w:val="CorpoAltF0"/>
            </w:pPr>
          </w:p>
          <w:p>
            <w:pPr>
              <w:pStyle w:val="CorpoAltF0"/>
            </w:pPr>
            <w:r>
              <w:t>La scelta "</w:t>
            </w:r>
            <w:r>
              <w:rPr>
                <w:i/>
              </w:rPr>
              <w:t>Soci</w:t>
            </w:r>
            <w:r>
              <w:t>" (all’interno del pulsante “</w:t>
            </w:r>
            <w:r>
              <w:rPr>
                <w:i/>
              </w:rPr>
              <w:t>Funzioni</w:t>
            </w:r>
            <w:r>
              <w:t>”) consente l'inserimento dei soci artigiani e non artigiani, dei collaboratori familiari art. 230 bis, nonché dei tirocinanti. Se per i soci durante l'anno sono stati elaborati i cedolini, la sezione "</w:t>
            </w:r>
            <w:r>
              <w:rPr>
                <w:i/>
              </w:rPr>
              <w:t>Soci</w:t>
            </w:r>
            <w:r>
              <w:t>" non va compilata. Qualora venissero inseriti o modificati dei dati in tabella all'interno della gestione, occorre rieseguire il ricalcolo per riportare le rettifiche nell'autoliquidazione.</w:t>
            </w:r>
          </w:p>
          <w:p>
            <w:pPr>
              <w:pStyle w:val="CorpoAltF0"/>
            </w:pPr>
          </w:p>
          <w:p>
            <w:pPr>
              <w:pStyle w:val="CorpoAltF0"/>
            </w:pPr>
            <w:r>
              <w:t>Per i soci di imprese artigiane è possibile gestire la ponderazione di due o più classi di rischio.</w:t>
            </w:r>
          </w:p>
          <w:p>
            <w:pPr>
              <w:pStyle w:val="CorpoAltF0"/>
            </w:pPr>
            <w:r>
              <w:t xml:space="preserve">In presenza di più classi di rischio ponderate, in </w:t>
            </w:r>
            <w:r>
              <w:rPr>
                <w:i/>
              </w:rPr>
              <w:t>Gestione liquidazione &gt; Gestione PAT &gt; Composizione nucleo artigiano</w:t>
            </w:r>
            <w:r>
              <w:t xml:space="preserve"> di </w:t>
            </w:r>
            <w:r>
              <w:rPr>
                <w:b/>
              </w:rPr>
              <w:t>10SM</w:t>
            </w:r>
            <w:r>
              <w:t xml:space="preserve"> verrà compilato, per lo stesso periodo di validità, un unico rigo nel quale verrà riportato l’importo del premio come risultato della media ponderata.</w:t>
            </w:r>
          </w:p>
          <w:p>
            <w:pPr>
              <w:pStyle w:val="CorpoAltF0"/>
            </w:pPr>
            <w:r>
              <w:lastRenderedPageBreak/>
              <w:t>Diversamente, l’importo verrà distinto su più righi della sezione “</w:t>
            </w:r>
            <w:r>
              <w:rPr>
                <w:i/>
              </w:rPr>
              <w:t>Composizione nucleo artigiano</w:t>
            </w:r>
            <w:r>
              <w:t>” nel caso in cui l’impostazione relativa alla riduzione L. 147/13 (campo “</w:t>
            </w:r>
            <w:r>
              <w:rPr>
                <w:i/>
              </w:rPr>
              <w:t>L. 147/13</w:t>
            </w:r>
            <w:r>
              <w:t>” della sezione “</w:t>
            </w:r>
            <w:r>
              <w:rPr>
                <w:i/>
              </w:rPr>
              <w:t>Soci</w:t>
            </w:r>
            <w:r>
              <w:t>”) non risulti analoga su tutte le classi di rischio ponderate.</w:t>
            </w:r>
          </w:p>
          <w:p>
            <w:pPr>
              <w:pStyle w:val="CorpoAltF0"/>
              <w:spacing w:before="120"/>
            </w:pPr>
            <w:r>
              <w:t>Analoghe impostazioni sono disponibili con riferimento agli associati in partecipazione di aziende artigiane, nella relativa sezione “</w:t>
            </w:r>
            <w:r>
              <w:rPr>
                <w:i/>
              </w:rPr>
              <w:t>Progressivi &gt; Associati in partecipazione</w:t>
            </w:r>
            <w:r>
              <w:t xml:space="preserve">” di </w:t>
            </w:r>
            <w:r>
              <w:rPr>
                <w:b/>
              </w:rPr>
              <w:t>DIPE</w:t>
            </w:r>
            <w:r>
              <w:t>.</w:t>
            </w:r>
          </w:p>
          <w:p>
            <w:pPr>
              <w:pStyle w:val="CorpoAltF0"/>
              <w:rPr>
                <w:highlight w:val="yellow"/>
              </w:rPr>
            </w:pPr>
          </w:p>
        </w:tc>
        <w:tc>
          <w:tcPr>
            <w:tcW w:w="5590" w:type="dxa"/>
            <w:shd w:val="clear" w:color="auto" w:fill="auto"/>
          </w:tcPr>
          <w:p>
            <w:pPr>
              <w:pStyle w:val="CorpoAltF0"/>
              <w:jc w:val="center"/>
              <w:rPr>
                <w:noProof/>
              </w:rPr>
            </w:pPr>
          </w:p>
          <w:p>
            <w:pPr>
              <w:pStyle w:val="CorpoAltF0"/>
              <w:jc w:val="center"/>
              <w:rPr>
                <w:noProof/>
              </w:rPr>
            </w:pPr>
            <w:r>
              <w:rPr>
                <w:noProof/>
              </w:rPr>
              <w:drawing>
                <wp:inline distT="0" distB="0" distL="0" distR="0">
                  <wp:extent cx="3420000" cy="1839683"/>
                  <wp:effectExtent l="0" t="0" r="9525" b="8255"/>
                  <wp:docPr id="92" name="Immagin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420000" cy="1839683"/>
                          </a:xfrm>
                          <a:prstGeom prst="rect">
                            <a:avLst/>
                          </a:prstGeom>
                        </pic:spPr>
                      </pic:pic>
                    </a:graphicData>
                  </a:graphic>
                </wp:inline>
              </w:drawing>
            </w: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p>
          <w:p>
            <w:pPr>
              <w:pStyle w:val="CorpoAltF0"/>
              <w:jc w:val="center"/>
              <w:rPr>
                <w:noProof/>
              </w:rPr>
            </w:pPr>
            <w:r>
              <w:rPr>
                <w:noProof/>
              </w:rPr>
              <w:drawing>
                <wp:inline distT="0" distB="0" distL="0" distR="0">
                  <wp:extent cx="3420000" cy="1724370"/>
                  <wp:effectExtent l="0" t="0" r="0" b="9525"/>
                  <wp:docPr id="94" name="Immagin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420000" cy="1724370"/>
                          </a:xfrm>
                          <a:prstGeom prst="rect">
                            <a:avLst/>
                          </a:prstGeom>
                        </pic:spPr>
                      </pic:pic>
                    </a:graphicData>
                  </a:graphic>
                </wp:inline>
              </w:drawing>
            </w:r>
          </w:p>
          <w:p>
            <w:pPr>
              <w:pStyle w:val="CorpoAltF0"/>
              <w:jc w:val="center"/>
            </w:pPr>
          </w:p>
        </w:tc>
      </w:tr>
    </w:tbl>
    <w:p>
      <w:pPr>
        <w:pStyle w:val="CorpoAltF0"/>
        <w:rPr>
          <w:highlight w:val="yellow"/>
        </w:rPr>
      </w:pPr>
    </w:p>
    <w:p>
      <w:pPr>
        <w:pStyle w:val="TS-titolo-05"/>
      </w:pPr>
      <w:bookmarkStart w:id="55" w:name="_Toc471235856"/>
      <w:bookmarkStart w:id="56" w:name="_Toc6329822"/>
      <w:r>
        <w:t>Tasso INAIL e periodi</w:t>
      </w:r>
      <w:bookmarkEnd w:id="55"/>
      <w:bookmarkEnd w:id="5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3"/>
        <w:gridCol w:w="5616"/>
      </w:tblGrid>
      <w:tr>
        <w:tc>
          <w:tcPr>
            <w:tcW w:w="4407" w:type="dxa"/>
            <w:shd w:val="clear" w:color="auto" w:fill="auto"/>
          </w:tcPr>
          <w:p>
            <w:pPr>
              <w:pStyle w:val="CorpoAltF0"/>
              <w:rPr>
                <w:highlight w:val="yellow"/>
              </w:rPr>
            </w:pPr>
          </w:p>
          <w:p>
            <w:pPr>
              <w:pStyle w:val="CorpoAltF0"/>
              <w:numPr>
                <w:ilvl w:val="0"/>
                <w:numId w:val="12"/>
              </w:numPr>
              <w:ind w:left="284" w:hanging="284"/>
            </w:pPr>
            <w:r>
              <w:rPr>
                <w:b/>
              </w:rPr>
              <w:t>Tasso di regolazione</w:t>
            </w:r>
          </w:p>
          <w:p>
            <w:pPr>
              <w:pStyle w:val="CorpoAltF0"/>
              <w:numPr>
                <w:ilvl w:val="0"/>
                <w:numId w:val="12"/>
              </w:numPr>
              <w:ind w:left="284" w:hanging="284"/>
            </w:pPr>
            <w:r>
              <w:rPr>
                <w:b/>
              </w:rPr>
              <w:t>Eventuale secondo periodo</w:t>
            </w:r>
          </w:p>
          <w:p>
            <w:pPr>
              <w:pStyle w:val="CorpoAltF0"/>
              <w:numPr>
                <w:ilvl w:val="0"/>
                <w:numId w:val="12"/>
              </w:numPr>
              <w:ind w:left="284" w:hanging="284"/>
            </w:pPr>
            <w:r>
              <w:rPr>
                <w:b/>
              </w:rPr>
              <w:t>Tasso per la rata</w:t>
            </w:r>
          </w:p>
          <w:p>
            <w:pPr>
              <w:pStyle w:val="CorpoAltF0"/>
            </w:pPr>
          </w:p>
          <w:p>
            <w:pPr>
              <w:pStyle w:val="CorpoAltF0"/>
            </w:pPr>
            <w:r>
              <w:rPr>
                <w:b/>
              </w:rPr>
              <w:t>Tasso</w:t>
            </w:r>
            <w:r>
              <w:t xml:space="preserve"> </w:t>
            </w:r>
            <w:r>
              <w:rPr>
                <w:b/>
              </w:rPr>
              <w:t>regolazione</w:t>
            </w:r>
          </w:p>
          <w:p>
            <w:pPr>
              <w:pStyle w:val="CorpoAltF0"/>
            </w:pPr>
            <w:r>
              <w:t>Inserire i tassi per il calcolo dei premi e le altre informazioni prestampate sul modello 10SM.</w:t>
            </w:r>
          </w:p>
          <w:p>
            <w:pPr>
              <w:pStyle w:val="CorpoAltF0"/>
              <w:spacing w:before="120"/>
            </w:pPr>
            <w:r>
              <w:t>La pagina contiene sulla parte destra le informazioni per gestire un eventuale secondo periodo.</w:t>
            </w:r>
          </w:p>
          <w:p>
            <w:pPr>
              <w:pStyle w:val="CorpoAltF0"/>
              <w:spacing w:before="120"/>
            </w:pPr>
            <w:r>
              <w:t xml:space="preserve">In fase di creazione della denuncia, il programma riporta il tasso indicato in </w:t>
            </w:r>
            <w:r>
              <w:rPr>
                <w:b/>
              </w:rPr>
              <w:t>AZIE</w:t>
            </w:r>
            <w:r>
              <w:t>, scheda “</w:t>
            </w:r>
            <w:r>
              <w:rPr>
                <w:i/>
              </w:rPr>
              <w:t>INAIL</w:t>
            </w:r>
            <w:r>
              <w:t>” per l’anno 2018.</w:t>
            </w:r>
          </w:p>
          <w:p>
            <w:pPr>
              <w:pStyle w:val="CorpoAltF0"/>
            </w:pPr>
            <w:r>
              <w:t xml:space="preserve">Al fine di ripetere il prelievo del tasso presente in </w:t>
            </w:r>
            <w:r>
              <w:rPr>
                <w:b/>
              </w:rPr>
              <w:t>AZIE</w:t>
            </w:r>
            <w:r>
              <w:t xml:space="preserve"> ad ogni successivo ricalcolo della denuncia (10SM&gt;</w:t>
            </w:r>
            <w:r>
              <w:rPr>
                <w:i/>
              </w:rPr>
              <w:t>1-Ricalcolo</w:t>
            </w:r>
            <w:r>
              <w:t>) è possibile indicare il valore “T” (o “E”) nell’apposito campo “</w:t>
            </w:r>
            <w:r>
              <w:rPr>
                <w:i/>
              </w:rPr>
              <w:t>Prelievo tassi e rata anticipata ad ogni ricalcolo</w:t>
            </w:r>
            <w:r>
              <w:t>” della scheda “</w:t>
            </w:r>
            <w:r>
              <w:rPr>
                <w:i/>
              </w:rPr>
              <w:t>10SM</w:t>
            </w:r>
            <w:r>
              <w:t xml:space="preserve">” di </w:t>
            </w:r>
            <w:r>
              <w:rPr>
                <w:b/>
              </w:rPr>
              <w:t>TB1203</w:t>
            </w:r>
            <w:r>
              <w:t xml:space="preserve"> (v. pag. </w:t>
            </w:r>
            <w:r>
              <w:fldChar w:fldCharType="begin"/>
            </w:r>
            <w:r>
              <w:instrText xml:space="preserve"> PAGEREF OpzioniRicalcolo \h </w:instrText>
            </w:r>
            <w:r>
              <w:fldChar w:fldCharType="separate"/>
            </w:r>
            <w:r>
              <w:rPr>
                <w:noProof/>
              </w:rPr>
              <w:t>34</w:t>
            </w:r>
            <w:r>
              <w:fldChar w:fldCharType="end"/>
            </w:r>
            <w:r>
              <w:t>).</w:t>
            </w:r>
          </w:p>
          <w:p>
            <w:pPr>
              <w:pStyle w:val="CorpoAltF0"/>
              <w:spacing w:before="120"/>
            </w:pPr>
            <w:r>
              <w:t>Nel campo “</w:t>
            </w:r>
            <w:r>
              <w:rPr>
                <w:i/>
              </w:rPr>
              <w:t>Sconto L. 147/13</w:t>
            </w:r>
            <w:r>
              <w:t>” viene evidenziata distintamente l’applicazione della riduzione L. 147/13.</w:t>
            </w:r>
          </w:p>
          <w:p>
            <w:pPr>
              <w:pStyle w:val="CorpoAltF0"/>
              <w:spacing w:before="120"/>
            </w:pPr>
            <w:r>
              <w:t>Nel riquadro in basso a destra, vengono visualizzati i corrispondenti codici della PAT e della voce che validi a partire dal 2019.</w:t>
            </w:r>
          </w:p>
          <w:p>
            <w:pPr>
              <w:pStyle w:val="CorpoAltF0"/>
            </w:pPr>
          </w:p>
          <w:p>
            <w:pPr>
              <w:pStyle w:val="CorpoAltF0"/>
              <w:rPr>
                <w:b/>
              </w:rPr>
            </w:pPr>
            <w:r>
              <w:rPr>
                <w:b/>
              </w:rPr>
              <w:t>Rata anticipata anno precedente</w:t>
            </w:r>
          </w:p>
          <w:p>
            <w:pPr>
              <w:pStyle w:val="CorpoAltF0"/>
              <w:spacing w:before="60"/>
            </w:pPr>
            <w:r>
              <w:t>L’acconto già pagato l’anno precedente per il 2018, deve essere indicato (per coloro che effettuano l’autoliquidazione per la prima volta) al campo "</w:t>
            </w:r>
            <w:r>
              <w:rPr>
                <w:i/>
              </w:rPr>
              <w:t>Importo della rata anticipata</w:t>
            </w:r>
            <w:r>
              <w:t>".</w:t>
            </w:r>
          </w:p>
          <w:p>
            <w:pPr>
              <w:pStyle w:val="CorpoAltF0"/>
              <w:spacing w:before="60"/>
            </w:pPr>
            <w:r>
              <w:t xml:space="preserve">In tale campo è presente il tasto </w:t>
            </w:r>
            <w:r>
              <w:rPr>
                <w:i/>
              </w:rPr>
              <w:t xml:space="preserve">“F4= Visualizza di cui collaboratori/artigiani” </w:t>
            </w:r>
            <w:r>
              <w:t>per evidenziare la parte dell’acconto relativo ai collaboratori (</w:t>
            </w:r>
            <w:r>
              <w:rPr>
                <w:i/>
              </w:rPr>
              <w:t xml:space="preserve">“di cui collaboratori”) </w:t>
            </w:r>
            <w:r>
              <w:t>e quello relativo ai soci artigiani (</w:t>
            </w:r>
            <w:r>
              <w:rPr>
                <w:i/>
              </w:rPr>
              <w:t>“di cui artigiani”).</w:t>
            </w:r>
          </w:p>
          <w:p>
            <w:pPr>
              <w:pStyle w:val="CorpoAltF0"/>
              <w:rPr>
                <w:highlight w:val="yellow"/>
              </w:rPr>
            </w:pPr>
            <w:r>
              <w:lastRenderedPageBreak/>
              <w:t>Al campo "</w:t>
            </w:r>
            <w:r>
              <w:rPr>
                <w:i/>
              </w:rPr>
              <w:t>di cui soci</w:t>
            </w:r>
            <w:r>
              <w:t>" va inoltre inserita la parte dell'acconto relativo ai soci non artigiani.</w:t>
            </w:r>
          </w:p>
          <w:p>
            <w:pPr>
              <w:pStyle w:val="CorpoAltF0"/>
            </w:pPr>
          </w:p>
          <w:p>
            <w:pPr>
              <w:pStyle w:val="CorpoAltF0"/>
              <w:rPr>
                <w:b/>
              </w:rPr>
            </w:pPr>
            <w:r>
              <w:rPr>
                <w:b/>
              </w:rPr>
              <w:t>Tasso per rata</w:t>
            </w:r>
          </w:p>
          <w:p>
            <w:pPr>
              <w:pStyle w:val="CorpoAltF0"/>
              <w:spacing w:before="60"/>
            </w:pPr>
            <w:r>
              <w:t>Il tasso per la rata 2019 deve essere indicato al campo "</w:t>
            </w:r>
            <w:r>
              <w:rPr>
                <w:i/>
              </w:rPr>
              <w:t>Tasso applicabile</w:t>
            </w:r>
            <w:r>
              <w:t xml:space="preserve">". </w:t>
            </w:r>
          </w:p>
          <w:p>
            <w:pPr>
              <w:pStyle w:val="CorpoAltF0"/>
            </w:pPr>
            <w:r>
              <w:t xml:space="preserve">In fase di ricalcolo il programma riporta il tasso indicato in </w:t>
            </w:r>
            <w:r>
              <w:rPr>
                <w:b/>
              </w:rPr>
              <w:t>AZIE</w:t>
            </w:r>
            <w:r>
              <w:t>&gt;scheda “</w:t>
            </w:r>
            <w:r>
              <w:rPr>
                <w:i/>
              </w:rPr>
              <w:t>INAIL</w:t>
            </w:r>
            <w:r>
              <w:t>” per l’anno 2019 (a tal fine, il programma verifica la correlazione indicata nelle posizioni INAIL azienda, e visualizzata nella sezione “</w:t>
            </w:r>
            <w:r>
              <w:rPr>
                <w:i/>
              </w:rPr>
              <w:t>Tasso INAIL e periodi</w:t>
            </w:r>
            <w:r>
              <w:t>” sopra descritta, con la corrispondente PAT e voce 2019).</w:t>
            </w:r>
          </w:p>
          <w:p>
            <w:pPr>
              <w:pStyle w:val="CorpoAltF0"/>
            </w:pPr>
            <w:r>
              <w:t>Nel caso in cui la posizione non risulti creata per l’anno 2019, il tasso per la rata viene prelevato dalla posizione relativa l’anno 2018.</w:t>
            </w:r>
          </w:p>
          <w:p>
            <w:pPr>
              <w:pStyle w:val="CorpoAltF0"/>
            </w:pPr>
          </w:p>
          <w:p>
            <w:pPr>
              <w:pStyle w:val="CorpoAltF0"/>
              <w:rPr>
                <w:b/>
              </w:rPr>
            </w:pPr>
            <w:r>
              <w:rPr>
                <w:b/>
              </w:rPr>
              <w:t>Ulteriori agevolazioni (Legge 98/2013)</w:t>
            </w:r>
          </w:p>
          <w:p>
            <w:pPr>
              <w:pStyle w:val="CorpoAltF0"/>
              <w:rPr>
                <w:b/>
              </w:rPr>
            </w:pPr>
            <w:r>
              <w:rPr>
                <w:b/>
              </w:rPr>
              <w:t>(Cooperative agricole L. 240/1984 e loro consorzi)</w:t>
            </w:r>
          </w:p>
          <w:p>
            <w:pPr>
              <w:pStyle w:val="CorpoAltF0"/>
              <w:spacing w:before="60"/>
            </w:pPr>
            <w:r>
              <w:t xml:space="preserve">Con riferimento alle riduzioni contributive del 75% e 68% spettanti alle cooperative agricole L. 240/1975 e loro consorzi operanti rispettivamente in zone montane o aree svantaggiate, la disciplina prevede che tali agevolazioni devono essere riconosciute anche alle cooperative non operanti in tali zone, </w:t>
            </w:r>
            <w:r>
              <w:rPr>
                <w:b/>
              </w:rPr>
              <w:t>in misura proporzionale alla quantità di prodotto coltivato o allevato dai propri soci in zone di montagna o svantaggiate e successivamente conferito alla cooperativa.</w:t>
            </w:r>
            <w:r>
              <w:t xml:space="preserve"> Le riduzioni in questione non si cumulano con quelle spettanti alle cooperative operanti in una zona di montagna o svantaggiata.</w:t>
            </w:r>
          </w:p>
          <w:p>
            <w:pPr>
              <w:pStyle w:val="CorpoAltF0"/>
              <w:spacing w:before="120"/>
            </w:pPr>
            <w:r>
              <w:t>A tal fine, nei campi “</w:t>
            </w:r>
            <w:r>
              <w:rPr>
                <w:i/>
              </w:rPr>
              <w:t>Prodotto proveniente da aree svantaggiate / zone montane</w:t>
            </w:r>
            <w:r>
              <w:t>” deve essere indicato il valore corrispondente alla quota annua di prodotto coltivato o allevato in zone svantaggiate/montane, rispetto al totale del prodotto trasformato, manipolato e commercializzato dalla cooperativa o consorzio.</w:t>
            </w:r>
          </w:p>
          <w:p>
            <w:pPr>
              <w:pStyle w:val="CorpoAltF0"/>
              <w:spacing w:before="120"/>
            </w:pPr>
            <w:r>
              <w:t>Tale quota verrà applicata alla rispettiva percentuale di riduzione prevista (68 o 75) per determinare la percentuale di agevolazione spettante (sia sulla regolazione che sulla rata).</w:t>
            </w:r>
          </w:p>
          <w:p>
            <w:pPr>
              <w:pStyle w:val="CorpoAltF0"/>
              <w:spacing w:before="120"/>
              <w:rPr>
                <w:i/>
              </w:rPr>
            </w:pPr>
            <w:r>
              <w:rPr>
                <w:i/>
              </w:rPr>
              <w:t>Esempio:</w:t>
            </w:r>
          </w:p>
          <w:p>
            <w:pPr>
              <w:pStyle w:val="CorpoAltF0"/>
              <w:rPr>
                <w:i/>
              </w:rPr>
            </w:pPr>
            <w:proofErr w:type="spellStart"/>
            <w:r>
              <w:rPr>
                <w:i/>
              </w:rPr>
              <w:t>Prod</w:t>
            </w:r>
            <w:proofErr w:type="spellEnd"/>
            <w:r>
              <w:rPr>
                <w:i/>
              </w:rPr>
              <w:t>. proveniente da aree svantaggiate: 50%;</w:t>
            </w:r>
          </w:p>
          <w:p>
            <w:pPr>
              <w:pStyle w:val="CorpoAltF0"/>
              <w:rPr>
                <w:i/>
              </w:rPr>
            </w:pPr>
            <w:proofErr w:type="spellStart"/>
            <w:r>
              <w:rPr>
                <w:i/>
              </w:rPr>
              <w:t>Prod</w:t>
            </w:r>
            <w:proofErr w:type="spellEnd"/>
            <w:r>
              <w:rPr>
                <w:i/>
              </w:rPr>
              <w:t>. proveniente da zone montane: 20%;</w:t>
            </w:r>
          </w:p>
          <w:p>
            <w:pPr>
              <w:pStyle w:val="CorpoAltF0"/>
              <w:spacing w:before="60"/>
              <w:rPr>
                <w:i/>
              </w:rPr>
            </w:pPr>
            <w:r>
              <w:rPr>
                <w:i/>
              </w:rPr>
              <w:t>la percentuale di riduzione spettante sarà così calcolata: (68% x 50%) + (75% x 20%) = 49%</w:t>
            </w:r>
          </w:p>
          <w:p>
            <w:pPr>
              <w:pStyle w:val="CorpoAltF0"/>
              <w:spacing w:before="120"/>
            </w:pPr>
            <w:r>
              <w:lastRenderedPageBreak/>
              <w:t>In funzione della non cumulabilità con le riduzioni spettanti alle cooperative operanti in zone montane/svantaggiate, i suddetti campi vengono abilitati solo in assenza di valorizzazione del campo “</w:t>
            </w:r>
            <w:r>
              <w:rPr>
                <w:i/>
              </w:rPr>
              <w:t>% Agevolazione</w:t>
            </w:r>
            <w:r>
              <w:t>”.</w:t>
            </w:r>
          </w:p>
          <w:p>
            <w:pPr>
              <w:pStyle w:val="CorpoAltF0"/>
              <w:spacing w:before="120"/>
              <w:rPr>
                <w:highlight w:val="yellow"/>
              </w:rPr>
            </w:pPr>
            <w:r>
              <w:t>L’importo dell’agevolazione corrispondente alla percentuale calcolata come sopra descritto, verrà evidenziato nel campo “</w:t>
            </w:r>
            <w:r>
              <w:rPr>
                <w:i/>
              </w:rPr>
              <w:t xml:space="preserve">Agevolazioni </w:t>
            </w:r>
            <w:proofErr w:type="gramStart"/>
            <w:r>
              <w:rPr>
                <w:i/>
              </w:rPr>
              <w:t>I°</w:t>
            </w:r>
            <w:proofErr w:type="gramEnd"/>
            <w:r>
              <w:rPr>
                <w:i/>
              </w:rPr>
              <w:t xml:space="preserve"> periodo</w:t>
            </w:r>
            <w:r>
              <w:t>” (ed eventualmente II° periodo) della sezione “</w:t>
            </w:r>
            <w:r>
              <w:rPr>
                <w:i/>
              </w:rPr>
              <w:t>Totali</w:t>
            </w:r>
            <w:r>
              <w:t>” della “</w:t>
            </w:r>
            <w:r>
              <w:rPr>
                <w:i/>
              </w:rPr>
              <w:t>Gestione PAT</w:t>
            </w:r>
            <w:r>
              <w:t>”, con riferimento alla regolazione ed alla rata.</w:t>
            </w:r>
          </w:p>
          <w:p>
            <w:pPr>
              <w:pStyle w:val="CorpoAltF0"/>
              <w:rPr>
                <w:highlight w:val="yellow"/>
              </w:rPr>
            </w:pPr>
          </w:p>
        </w:tc>
        <w:tc>
          <w:tcPr>
            <w:tcW w:w="5590" w:type="dxa"/>
            <w:shd w:val="clear" w:color="auto" w:fill="auto"/>
          </w:tcPr>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r>
              <w:rPr>
                <w:noProof/>
              </w:rPr>
              <w:drawing>
                <wp:inline distT="0" distB="0" distL="0" distR="0">
                  <wp:extent cx="3420000" cy="1710177"/>
                  <wp:effectExtent l="0" t="0" r="9525" b="4445"/>
                  <wp:docPr id="97" name="Immagin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420000" cy="1710177"/>
                          </a:xfrm>
                          <a:prstGeom prst="rect">
                            <a:avLst/>
                          </a:prstGeom>
                        </pic:spPr>
                      </pic:pic>
                    </a:graphicData>
                  </a:graphic>
                </wp:inline>
              </w:drawing>
            </w: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p>
          <w:p>
            <w:pPr>
              <w:pStyle w:val="CorpoAltF0"/>
              <w:jc w:val="center"/>
              <w:rPr>
                <w:noProof/>
                <w:highlight w:val="yellow"/>
              </w:rPr>
            </w:pPr>
            <w:r>
              <w:rPr>
                <w:noProof/>
              </w:rPr>
              <w:drawing>
                <wp:inline distT="0" distB="0" distL="0" distR="0">
                  <wp:extent cx="3420000" cy="900149"/>
                  <wp:effectExtent l="0" t="0" r="0" b="0"/>
                  <wp:docPr id="98" name="Immagin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420000" cy="900149"/>
                          </a:xfrm>
                          <a:prstGeom prst="rect">
                            <a:avLst/>
                          </a:prstGeom>
                        </pic:spPr>
                      </pic:pic>
                    </a:graphicData>
                  </a:graphic>
                </wp:inline>
              </w:drawing>
            </w: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p>
          <w:p>
            <w:pPr>
              <w:pStyle w:val="CorpoAltF0"/>
              <w:jc w:val="center"/>
              <w:rPr>
                <w:highlight w:val="yellow"/>
              </w:rPr>
            </w:pPr>
            <w:r>
              <w:rPr>
                <w:noProof/>
              </w:rPr>
              <w:drawing>
                <wp:inline distT="0" distB="0" distL="0" distR="0">
                  <wp:extent cx="3420000" cy="1710177"/>
                  <wp:effectExtent l="0" t="0" r="9525" b="4445"/>
                  <wp:docPr id="101" name="Immagin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420000" cy="1710177"/>
                          </a:xfrm>
                          <a:prstGeom prst="rect">
                            <a:avLst/>
                          </a:prstGeom>
                        </pic:spPr>
                      </pic:pic>
                    </a:graphicData>
                  </a:graphic>
                </wp:inline>
              </w:drawing>
            </w:r>
          </w:p>
          <w:p>
            <w:pPr>
              <w:pStyle w:val="CorpoAltF0"/>
              <w:rPr>
                <w:highlight w:val="yellow"/>
              </w:rPr>
            </w:pPr>
          </w:p>
        </w:tc>
      </w:tr>
    </w:tbl>
    <w:p>
      <w:pPr>
        <w:pStyle w:val="CorpoAltF0"/>
        <w:rPr>
          <w:highlight w:val="yellow"/>
        </w:rPr>
      </w:pPr>
    </w:p>
    <w:p>
      <w:pPr>
        <w:pStyle w:val="TS-titolo-05"/>
      </w:pPr>
      <w:bookmarkStart w:id="57" w:name="_Toc471235857"/>
      <w:bookmarkStart w:id="58" w:name="_Toc6329823"/>
      <w:r>
        <w:t>Composizione nucleo artigiano</w:t>
      </w:r>
      <w:bookmarkEnd w:id="57"/>
      <w:bookmarkEnd w:id="5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3"/>
        <w:gridCol w:w="5616"/>
      </w:tblGrid>
      <w:tr>
        <w:tc>
          <w:tcPr>
            <w:tcW w:w="4384" w:type="dxa"/>
            <w:shd w:val="clear" w:color="auto" w:fill="auto"/>
          </w:tcPr>
          <w:p>
            <w:pPr>
              <w:pStyle w:val="CorpoAltF0"/>
              <w:numPr>
                <w:ilvl w:val="0"/>
                <w:numId w:val="12"/>
              </w:numPr>
              <w:spacing w:before="120"/>
              <w:ind w:left="284" w:hanging="284"/>
              <w:rPr>
                <w:b/>
                <w:sz w:val="18"/>
                <w:szCs w:val="18"/>
              </w:rPr>
            </w:pPr>
            <w:r>
              <w:rPr>
                <w:b/>
                <w:sz w:val="18"/>
                <w:szCs w:val="18"/>
              </w:rPr>
              <w:t>Dati relativi al nucleo artigiani</w:t>
            </w:r>
          </w:p>
          <w:p>
            <w:pPr>
              <w:pStyle w:val="CorpoAltF0"/>
              <w:rPr>
                <w:sz w:val="18"/>
                <w:szCs w:val="18"/>
              </w:rPr>
            </w:pPr>
            <w:r>
              <w:rPr>
                <w:sz w:val="18"/>
                <w:szCs w:val="18"/>
              </w:rPr>
              <w:t>Inserire i dati relativi al nucleo artigiano e alle informazioni per l’autoriduzione del premio di rata indicando le variazioni del nucleo artigiano che non risultano dal modello 10SM.</w:t>
            </w:r>
          </w:p>
          <w:p>
            <w:pPr>
              <w:pStyle w:val="CorpoAltF0"/>
              <w:rPr>
                <w:sz w:val="18"/>
                <w:szCs w:val="18"/>
              </w:rPr>
            </w:pPr>
            <w:r>
              <w:rPr>
                <w:sz w:val="18"/>
                <w:szCs w:val="18"/>
              </w:rPr>
              <w:t xml:space="preserve">Gli importi dei premi unitari per la specifica classe di rischio vengono rilevati dalla tabella </w:t>
            </w:r>
            <w:r>
              <w:rPr>
                <w:b/>
                <w:sz w:val="18"/>
                <w:szCs w:val="18"/>
              </w:rPr>
              <w:t>TB0703</w:t>
            </w:r>
            <w:r>
              <w:rPr>
                <w:sz w:val="18"/>
                <w:szCs w:val="18"/>
              </w:rPr>
              <w:t xml:space="preserve"> relativa all’anno di riferimento (2018 per gli importi di regolazione e 2019 per gli importi di rata).</w:t>
            </w:r>
          </w:p>
          <w:p>
            <w:pPr>
              <w:pStyle w:val="CorpoAltF0"/>
              <w:rPr>
                <w:sz w:val="18"/>
                <w:szCs w:val="18"/>
              </w:rPr>
            </w:pPr>
          </w:p>
          <w:p>
            <w:pPr>
              <w:pStyle w:val="CorpoAltF0"/>
              <w:rPr>
                <w:b/>
                <w:sz w:val="18"/>
                <w:szCs w:val="18"/>
              </w:rPr>
            </w:pPr>
            <w:r>
              <w:rPr>
                <w:b/>
                <w:sz w:val="18"/>
                <w:szCs w:val="18"/>
              </w:rPr>
              <w:t>Soci artigiani usciti dal nucleo:</w:t>
            </w:r>
          </w:p>
          <w:p>
            <w:pPr>
              <w:pStyle w:val="CorpoAltF0"/>
              <w:spacing w:before="60"/>
              <w:rPr>
                <w:b/>
                <w:sz w:val="18"/>
                <w:szCs w:val="18"/>
              </w:rPr>
            </w:pPr>
            <w:r>
              <w:rPr>
                <w:b/>
                <w:sz w:val="18"/>
                <w:szCs w:val="18"/>
              </w:rPr>
              <w:t>Autoriduzione del premio di regolazione</w:t>
            </w:r>
          </w:p>
          <w:p>
            <w:pPr>
              <w:pStyle w:val="CorpoAltF0"/>
              <w:rPr>
                <w:sz w:val="18"/>
                <w:szCs w:val="18"/>
              </w:rPr>
            </w:pPr>
            <w:r>
              <w:rPr>
                <w:sz w:val="18"/>
                <w:szCs w:val="18"/>
              </w:rPr>
              <w:t>Nella colonna U2 va inserito il numero dei soci usciti ed entrati durante l'anno 2018, ai fini della riduzione del premio speciale unitario.</w:t>
            </w:r>
          </w:p>
          <w:p>
            <w:pPr>
              <w:pStyle w:val="CorpoAltF0"/>
              <w:rPr>
                <w:sz w:val="18"/>
                <w:szCs w:val="18"/>
              </w:rPr>
            </w:pPr>
            <w:r>
              <w:rPr>
                <w:b/>
                <w:sz w:val="18"/>
                <w:szCs w:val="18"/>
              </w:rPr>
              <w:t>N</w:t>
            </w:r>
            <w:r>
              <w:rPr>
                <w:sz w:val="18"/>
                <w:szCs w:val="18"/>
              </w:rPr>
              <w:t xml:space="preserve"> = numero totale dei soggetti che hanno prestato attività nel nucleo artigiani nel corso del 2018;</w:t>
            </w:r>
          </w:p>
          <w:p>
            <w:pPr>
              <w:pStyle w:val="CorpoAltF0"/>
              <w:rPr>
                <w:sz w:val="18"/>
                <w:szCs w:val="18"/>
              </w:rPr>
            </w:pPr>
            <w:r>
              <w:rPr>
                <w:b/>
                <w:sz w:val="18"/>
                <w:szCs w:val="18"/>
              </w:rPr>
              <w:t>U2</w:t>
            </w:r>
            <w:r>
              <w:rPr>
                <w:sz w:val="18"/>
                <w:szCs w:val="18"/>
              </w:rPr>
              <w:t xml:space="preserve"> = numero dei soci entrati successivamente al 31.01.2018 o usciti tra l’01.01 e il 30.11 del 2018; l’importo del premio viene ridotto in proporzione ai mesi di assenza;</w:t>
            </w:r>
          </w:p>
          <w:p>
            <w:pPr>
              <w:pStyle w:val="CorpoAltF0"/>
              <w:rPr>
                <w:sz w:val="18"/>
                <w:szCs w:val="18"/>
              </w:rPr>
            </w:pPr>
            <w:r>
              <w:rPr>
                <w:b/>
                <w:sz w:val="18"/>
                <w:szCs w:val="18"/>
              </w:rPr>
              <w:t>Mesi</w:t>
            </w:r>
            <w:r>
              <w:rPr>
                <w:sz w:val="18"/>
                <w:szCs w:val="18"/>
              </w:rPr>
              <w:t xml:space="preserve"> = numero totale dei mesi di assenza di tutti i soci entrati o usciti (es: 2 soci entrati in marzo 2018, quindi: mesi totali di assenza = 4).</w:t>
            </w:r>
          </w:p>
          <w:p>
            <w:pPr>
              <w:pStyle w:val="CorpoAltF0"/>
              <w:rPr>
                <w:sz w:val="18"/>
                <w:szCs w:val="18"/>
              </w:rPr>
            </w:pPr>
            <w:r>
              <w:rPr>
                <w:sz w:val="18"/>
                <w:szCs w:val="18"/>
              </w:rPr>
              <w:t>Pertanto, l’importo del premio di regolazione sarà calcolato come segue:</w:t>
            </w:r>
          </w:p>
          <w:p>
            <w:pPr>
              <w:pStyle w:val="CorpoAltF0"/>
              <w:spacing w:before="120"/>
              <w:jc w:val="center"/>
              <w:rPr>
                <w:sz w:val="18"/>
                <w:szCs w:val="18"/>
              </w:rPr>
            </w:pPr>
            <w:r>
              <w:rPr>
                <w:sz w:val="18"/>
                <w:szCs w:val="18"/>
              </w:rPr>
              <w:t xml:space="preserve">Premio/12  x (“N” soci </w:t>
            </w:r>
            <w:r>
              <w:rPr>
                <w:sz w:val="16"/>
                <w:szCs w:val="18"/>
              </w:rPr>
              <w:t>x</w:t>
            </w:r>
            <w:r>
              <w:rPr>
                <w:sz w:val="18"/>
                <w:szCs w:val="18"/>
              </w:rPr>
              <w:t xml:space="preserve"> 12 – “Mesi” </w:t>
            </w:r>
            <w:proofErr w:type="spellStart"/>
            <w:r>
              <w:rPr>
                <w:sz w:val="18"/>
                <w:szCs w:val="18"/>
              </w:rPr>
              <w:t>assenz</w:t>
            </w:r>
            <w:proofErr w:type="spellEnd"/>
            <w:r>
              <w:rPr>
                <w:sz w:val="18"/>
                <w:szCs w:val="18"/>
              </w:rPr>
              <w:t>.)</w:t>
            </w:r>
          </w:p>
          <w:p>
            <w:pPr>
              <w:pStyle w:val="CorpoAltF0"/>
              <w:rPr>
                <w:sz w:val="18"/>
                <w:szCs w:val="18"/>
              </w:rPr>
            </w:pPr>
          </w:p>
          <w:p>
            <w:pPr>
              <w:pStyle w:val="CorpoAltF0"/>
              <w:rPr>
                <w:b/>
                <w:sz w:val="18"/>
                <w:szCs w:val="18"/>
              </w:rPr>
            </w:pPr>
            <w:r>
              <w:rPr>
                <w:b/>
                <w:sz w:val="18"/>
                <w:szCs w:val="18"/>
              </w:rPr>
              <w:t xml:space="preserve">Riproporzionamento della rata da anticipare </w:t>
            </w:r>
          </w:p>
          <w:p>
            <w:pPr>
              <w:pStyle w:val="CorpoAltF0"/>
              <w:spacing w:before="60"/>
              <w:rPr>
                <w:sz w:val="18"/>
                <w:szCs w:val="18"/>
              </w:rPr>
            </w:pPr>
            <w:r>
              <w:rPr>
                <w:sz w:val="18"/>
                <w:szCs w:val="18"/>
              </w:rPr>
              <w:t>Nella sezione “</w:t>
            </w:r>
            <w:r>
              <w:rPr>
                <w:i/>
                <w:sz w:val="18"/>
                <w:szCs w:val="18"/>
              </w:rPr>
              <w:t>Rata anno successivo</w:t>
            </w:r>
            <w:r>
              <w:rPr>
                <w:sz w:val="18"/>
                <w:szCs w:val="18"/>
              </w:rPr>
              <w:t>” il campo “</w:t>
            </w:r>
            <w:r>
              <w:rPr>
                <w:b/>
                <w:i/>
                <w:sz w:val="18"/>
                <w:szCs w:val="18"/>
              </w:rPr>
              <w:t>Mesi</w:t>
            </w:r>
            <w:r>
              <w:rPr>
                <w:sz w:val="18"/>
                <w:szCs w:val="18"/>
              </w:rPr>
              <w:t>” consente indicare il numero dei mesi di assenza del/i socio/i usciti dal nucleo indicati, nella colonna U1.</w:t>
            </w:r>
          </w:p>
          <w:p>
            <w:pPr>
              <w:pStyle w:val="CorpoAltF0"/>
              <w:spacing w:before="120"/>
              <w:rPr>
                <w:sz w:val="18"/>
                <w:szCs w:val="18"/>
                <w:u w:val="single"/>
              </w:rPr>
            </w:pPr>
            <w:r>
              <w:rPr>
                <w:sz w:val="18"/>
                <w:szCs w:val="18"/>
                <w:u w:val="single"/>
              </w:rPr>
              <w:t>Cessazione dell’attività di uno o più soggetti entro il 31.12 dell’anno di regolazione</w:t>
            </w:r>
          </w:p>
          <w:p>
            <w:pPr>
              <w:pStyle w:val="CorpoAltF0"/>
              <w:rPr>
                <w:sz w:val="18"/>
                <w:szCs w:val="18"/>
              </w:rPr>
            </w:pPr>
            <w:r>
              <w:rPr>
                <w:sz w:val="18"/>
                <w:szCs w:val="18"/>
              </w:rPr>
              <w:t xml:space="preserve">In caso di cessazione nel corso dell'anno di regolazione, il premio relativo agli artigiani cessati non è dovuto per l’anno di rata. </w:t>
            </w:r>
          </w:p>
          <w:p>
            <w:pPr>
              <w:pStyle w:val="CorpoAltF0"/>
              <w:rPr>
                <w:sz w:val="18"/>
                <w:szCs w:val="18"/>
              </w:rPr>
            </w:pPr>
            <w:r>
              <w:rPr>
                <w:sz w:val="18"/>
                <w:szCs w:val="18"/>
              </w:rPr>
              <w:t>A tal fine, i soggetti usciti prima dell’anno di rata non vengono riportati nel riquadro “</w:t>
            </w:r>
            <w:r>
              <w:rPr>
                <w:i/>
                <w:sz w:val="18"/>
                <w:szCs w:val="18"/>
              </w:rPr>
              <w:t>Rata anno successivo</w:t>
            </w:r>
            <w:r>
              <w:rPr>
                <w:sz w:val="18"/>
                <w:szCs w:val="18"/>
              </w:rPr>
              <w:t xml:space="preserve">” della sezione in oggetto (non vengono computati nel numero dei soggetti per il calcolo del premio di rata: colonna </w:t>
            </w:r>
            <w:r>
              <w:rPr>
                <w:b/>
                <w:sz w:val="18"/>
                <w:szCs w:val="18"/>
              </w:rPr>
              <w:t>N</w:t>
            </w:r>
            <w:r>
              <w:rPr>
                <w:sz w:val="18"/>
                <w:szCs w:val="18"/>
              </w:rPr>
              <w:t xml:space="preserve"> del riquadro stesso) (Fig. 2).</w:t>
            </w:r>
          </w:p>
          <w:p>
            <w:pPr>
              <w:pStyle w:val="CorpoAltF0"/>
              <w:rPr>
                <w:sz w:val="18"/>
                <w:szCs w:val="18"/>
              </w:rPr>
            </w:pPr>
          </w:p>
          <w:p>
            <w:pPr>
              <w:pStyle w:val="CorpoAltF0"/>
              <w:rPr>
                <w:sz w:val="18"/>
                <w:szCs w:val="18"/>
                <w:u w:val="single"/>
              </w:rPr>
            </w:pPr>
            <w:r>
              <w:rPr>
                <w:sz w:val="18"/>
                <w:szCs w:val="18"/>
                <w:u w:val="single"/>
              </w:rPr>
              <w:t>Cessazione dell’attività di uno o più soggetti tra l’1.1 dell’anno di rata e la scadenza dell’autoliquidazione (16.05.19)</w:t>
            </w:r>
          </w:p>
          <w:p>
            <w:pPr>
              <w:pStyle w:val="CorpoAltF0"/>
              <w:rPr>
                <w:sz w:val="18"/>
                <w:szCs w:val="18"/>
              </w:rPr>
            </w:pPr>
            <w:r>
              <w:rPr>
                <w:sz w:val="18"/>
                <w:szCs w:val="18"/>
              </w:rPr>
              <w:t>(dall’1.1.2019 la riduzione della rata si applica anche al premio speciale unitario del singolo componente del nucleo artigiano che ha cessato l’attività)</w:t>
            </w:r>
          </w:p>
          <w:p>
            <w:pPr>
              <w:pStyle w:val="CorpoAltF0"/>
              <w:rPr>
                <w:sz w:val="18"/>
                <w:szCs w:val="18"/>
              </w:rPr>
            </w:pPr>
            <w:r>
              <w:rPr>
                <w:sz w:val="18"/>
                <w:szCs w:val="18"/>
              </w:rPr>
              <w:t>In tal caso, il riquadro “</w:t>
            </w:r>
            <w:r>
              <w:rPr>
                <w:i/>
                <w:sz w:val="18"/>
                <w:szCs w:val="18"/>
              </w:rPr>
              <w:t>Rata anno successivo</w:t>
            </w:r>
            <w:r>
              <w:rPr>
                <w:sz w:val="18"/>
                <w:szCs w:val="18"/>
              </w:rPr>
              <w:t>” della sez. “</w:t>
            </w:r>
            <w:r>
              <w:rPr>
                <w:i/>
                <w:sz w:val="18"/>
                <w:szCs w:val="18"/>
              </w:rPr>
              <w:t>Composizione del nucleo artigiano</w:t>
            </w:r>
            <w:r>
              <w:rPr>
                <w:sz w:val="18"/>
                <w:szCs w:val="18"/>
              </w:rPr>
              <w:t>” viene compilato come indicato (Fig. 3):</w:t>
            </w:r>
          </w:p>
          <w:p>
            <w:pPr>
              <w:pStyle w:val="CorpoAltF0"/>
              <w:rPr>
                <w:sz w:val="18"/>
                <w:szCs w:val="18"/>
              </w:rPr>
            </w:pPr>
            <w:r>
              <w:rPr>
                <w:b/>
                <w:sz w:val="18"/>
                <w:szCs w:val="18"/>
              </w:rPr>
              <w:t>N</w:t>
            </w:r>
            <w:r>
              <w:rPr>
                <w:sz w:val="18"/>
                <w:szCs w:val="18"/>
              </w:rPr>
              <w:t xml:space="preserve"> = numero totale dei soggetti che hanno prestato attività nel nucleo artigiani nel corso del 2019 (nell’esempio 3)</w:t>
            </w:r>
          </w:p>
          <w:p>
            <w:pPr>
              <w:pStyle w:val="CorpoAltF0"/>
              <w:rPr>
                <w:sz w:val="18"/>
                <w:szCs w:val="18"/>
              </w:rPr>
            </w:pPr>
            <w:r>
              <w:rPr>
                <w:b/>
                <w:sz w:val="18"/>
                <w:szCs w:val="18"/>
              </w:rPr>
              <w:t>U1</w:t>
            </w:r>
            <w:r>
              <w:rPr>
                <w:sz w:val="18"/>
                <w:szCs w:val="18"/>
              </w:rPr>
              <w:t xml:space="preserve"> = numero di soci usciti dal nucleo (nell’esempio, 2 soggetti usciti il 31.01.2019)</w:t>
            </w:r>
          </w:p>
          <w:p>
            <w:pPr>
              <w:pStyle w:val="CorpoAltF0"/>
              <w:rPr>
                <w:sz w:val="18"/>
                <w:szCs w:val="18"/>
              </w:rPr>
            </w:pPr>
            <w:r>
              <w:rPr>
                <w:b/>
                <w:sz w:val="18"/>
                <w:szCs w:val="18"/>
              </w:rPr>
              <w:t>Mesi</w:t>
            </w:r>
            <w:r>
              <w:rPr>
                <w:sz w:val="18"/>
                <w:szCs w:val="18"/>
              </w:rPr>
              <w:t xml:space="preserve"> = numero di mesi per i quali non deve essere calcolato il premio (nell’esempio 22)</w:t>
            </w:r>
          </w:p>
          <w:p>
            <w:pPr>
              <w:pStyle w:val="CorpoAltF0"/>
            </w:pPr>
          </w:p>
          <w:p>
            <w:pPr>
              <w:pStyle w:val="CorpoAltF0"/>
              <w:rPr>
                <w:sz w:val="18"/>
                <w:szCs w:val="18"/>
              </w:rPr>
            </w:pPr>
            <w:r>
              <w:rPr>
                <w:sz w:val="18"/>
                <w:szCs w:val="18"/>
              </w:rPr>
              <w:t>L’importo della rata da anticipare sarà calcolato:</w:t>
            </w:r>
          </w:p>
          <w:p>
            <w:pPr>
              <w:pStyle w:val="CorpoAltF0"/>
              <w:spacing w:before="120"/>
              <w:jc w:val="center"/>
              <w:rPr>
                <w:sz w:val="18"/>
                <w:szCs w:val="18"/>
              </w:rPr>
            </w:pPr>
            <w:r>
              <w:rPr>
                <w:sz w:val="18"/>
                <w:szCs w:val="18"/>
              </w:rPr>
              <w:t xml:space="preserve">Premio/12  x (“N” soci </w:t>
            </w:r>
            <w:r>
              <w:rPr>
                <w:sz w:val="16"/>
                <w:szCs w:val="18"/>
              </w:rPr>
              <w:t>x</w:t>
            </w:r>
            <w:r>
              <w:rPr>
                <w:sz w:val="18"/>
                <w:szCs w:val="18"/>
              </w:rPr>
              <w:t xml:space="preserve"> 12 – “Mesi” </w:t>
            </w:r>
            <w:proofErr w:type="spellStart"/>
            <w:r>
              <w:rPr>
                <w:sz w:val="18"/>
                <w:szCs w:val="18"/>
              </w:rPr>
              <w:t>assenz</w:t>
            </w:r>
            <w:proofErr w:type="spellEnd"/>
            <w:r>
              <w:rPr>
                <w:sz w:val="18"/>
                <w:szCs w:val="18"/>
              </w:rPr>
              <w:t>.)</w:t>
            </w:r>
          </w:p>
          <w:p>
            <w:pPr>
              <w:pStyle w:val="CorpoAltF0"/>
            </w:pPr>
          </w:p>
          <w:p>
            <w:pPr>
              <w:pStyle w:val="CorpoAltF0"/>
              <w:rPr>
                <w:b/>
                <w:sz w:val="18"/>
                <w:szCs w:val="18"/>
              </w:rPr>
            </w:pPr>
            <w:r>
              <w:rPr>
                <w:b/>
                <w:sz w:val="18"/>
                <w:szCs w:val="18"/>
              </w:rPr>
              <w:t>Sconto artigiani</w:t>
            </w:r>
          </w:p>
          <w:p>
            <w:pPr>
              <w:pStyle w:val="CorpoAltF0"/>
              <w:spacing w:before="60"/>
              <w:rPr>
                <w:sz w:val="18"/>
                <w:szCs w:val="18"/>
              </w:rPr>
            </w:pPr>
            <w:r>
              <w:rPr>
                <w:sz w:val="18"/>
                <w:szCs w:val="18"/>
              </w:rPr>
              <w:t>In caso di azienda artigiana con diritto all’agevolazione di cui all’art.1, c. 780 e 781, L. 296/2006 (valorizzazione del campo “</w:t>
            </w:r>
            <w:r>
              <w:rPr>
                <w:i/>
                <w:sz w:val="18"/>
                <w:szCs w:val="18"/>
              </w:rPr>
              <w:t>Requisiti ex l.296/06 art.1 c.780/781 – Anno prec.</w:t>
            </w:r>
            <w:r>
              <w:rPr>
                <w:sz w:val="18"/>
                <w:szCs w:val="18"/>
              </w:rPr>
              <w:t>” della scheda “</w:t>
            </w:r>
            <w:r>
              <w:rPr>
                <w:i/>
                <w:sz w:val="18"/>
                <w:szCs w:val="18"/>
              </w:rPr>
              <w:t>Dati contributivi</w:t>
            </w:r>
            <w:r>
              <w:rPr>
                <w:sz w:val="18"/>
                <w:szCs w:val="18"/>
              </w:rPr>
              <w:t xml:space="preserve">” di </w:t>
            </w:r>
            <w:r>
              <w:rPr>
                <w:b/>
                <w:sz w:val="18"/>
                <w:szCs w:val="18"/>
              </w:rPr>
              <w:t>AZIE</w:t>
            </w:r>
            <w:r>
              <w:rPr>
                <w:sz w:val="18"/>
                <w:szCs w:val="18"/>
              </w:rPr>
              <w:t>), sul premio speciale artigiani dovuto (su regolazione) viene calcolata la percentuale di riduzione indicata al campo “</w:t>
            </w:r>
            <w:r>
              <w:rPr>
                <w:i/>
                <w:sz w:val="18"/>
                <w:szCs w:val="18"/>
              </w:rPr>
              <w:t>Calcolo sconto premio artigiani su regolazione</w:t>
            </w:r>
            <w:r>
              <w:rPr>
                <w:sz w:val="18"/>
                <w:szCs w:val="18"/>
              </w:rPr>
              <w:t xml:space="preserve">” della tabella </w:t>
            </w:r>
            <w:r>
              <w:rPr>
                <w:b/>
                <w:sz w:val="18"/>
                <w:szCs w:val="18"/>
              </w:rPr>
              <w:t>TB0703</w:t>
            </w:r>
            <w:r>
              <w:rPr>
                <w:sz w:val="18"/>
                <w:szCs w:val="18"/>
              </w:rPr>
              <w:t>.</w:t>
            </w:r>
          </w:p>
          <w:p>
            <w:pPr>
              <w:pStyle w:val="CorpoAltF0"/>
              <w:rPr>
                <w:sz w:val="18"/>
                <w:szCs w:val="18"/>
              </w:rPr>
            </w:pPr>
            <w:r>
              <w:rPr>
                <w:sz w:val="18"/>
                <w:szCs w:val="18"/>
              </w:rPr>
              <w:t>Nella presente sezione verrà evidenziata (in sola visualizzazione) la percentuale di riduzione prevista e, nella colonna “</w:t>
            </w:r>
            <w:r>
              <w:rPr>
                <w:i/>
                <w:sz w:val="18"/>
                <w:szCs w:val="18"/>
              </w:rPr>
              <w:t>Sconto artigiani</w:t>
            </w:r>
            <w:r>
              <w:rPr>
                <w:sz w:val="18"/>
                <w:szCs w:val="18"/>
              </w:rPr>
              <w:t>”, l’importo di riduzione calcolato con riferimento a ciascuna classe di rischio/periodo (Fig. 4, [A]).</w:t>
            </w:r>
          </w:p>
          <w:p>
            <w:pPr>
              <w:pStyle w:val="CorpoAltF0"/>
              <w:rPr>
                <w:highlight w:val="yellow"/>
              </w:rPr>
            </w:pPr>
          </w:p>
          <w:p>
            <w:pPr>
              <w:pStyle w:val="CorpoAltF0"/>
              <w:rPr>
                <w:b/>
                <w:sz w:val="18"/>
                <w:szCs w:val="18"/>
              </w:rPr>
            </w:pPr>
            <w:r>
              <w:rPr>
                <w:b/>
                <w:sz w:val="18"/>
                <w:szCs w:val="18"/>
              </w:rPr>
              <w:t>Riduzione L. 147/13</w:t>
            </w:r>
          </w:p>
          <w:p>
            <w:pPr>
              <w:pStyle w:val="CorpoAltF0"/>
              <w:rPr>
                <w:sz w:val="18"/>
                <w:szCs w:val="18"/>
              </w:rPr>
            </w:pPr>
            <w:r>
              <w:rPr>
                <w:sz w:val="18"/>
                <w:szCs w:val="18"/>
              </w:rPr>
              <w:t>In caso di applicazione della riduzione L. 147/13 (campo “</w:t>
            </w:r>
            <w:r>
              <w:rPr>
                <w:i/>
                <w:sz w:val="18"/>
                <w:szCs w:val="18"/>
              </w:rPr>
              <w:t>L. 147/13</w:t>
            </w:r>
            <w:r>
              <w:rPr>
                <w:sz w:val="18"/>
                <w:szCs w:val="18"/>
              </w:rPr>
              <w:t>” nella sezione “</w:t>
            </w:r>
            <w:r>
              <w:rPr>
                <w:i/>
                <w:sz w:val="18"/>
                <w:szCs w:val="18"/>
              </w:rPr>
              <w:t>Funzioni &gt; Soci</w:t>
            </w:r>
            <w:r>
              <w:rPr>
                <w:sz w:val="18"/>
                <w:szCs w:val="18"/>
              </w:rPr>
              <w:t>” della posizione INAIL aziendale), nella presente sezione viene evidenziato l’importo della riduzione, calcolato applicando la percentuale prevista (campo “</w:t>
            </w:r>
            <w:r>
              <w:rPr>
                <w:i/>
                <w:sz w:val="18"/>
                <w:szCs w:val="18"/>
              </w:rPr>
              <w:t>Sconto L. 147/13 su regolazione</w:t>
            </w:r>
            <w:r>
              <w:rPr>
                <w:sz w:val="18"/>
                <w:szCs w:val="18"/>
              </w:rPr>
              <w:t xml:space="preserve">” di </w:t>
            </w:r>
            <w:r>
              <w:rPr>
                <w:b/>
                <w:sz w:val="18"/>
                <w:szCs w:val="18"/>
              </w:rPr>
              <w:t>TB0703</w:t>
            </w:r>
            <w:r>
              <w:rPr>
                <w:sz w:val="18"/>
                <w:szCs w:val="18"/>
              </w:rPr>
              <w:t>) sull’importo di regolazione (diminuito dell’eventuale riduzione artigiani L. 296/06) (Fig. 4, [B]).</w:t>
            </w:r>
          </w:p>
          <w:p>
            <w:pPr>
              <w:pStyle w:val="CorpoAltF0"/>
              <w:rPr>
                <w:sz w:val="18"/>
                <w:szCs w:val="18"/>
              </w:rPr>
            </w:pPr>
            <w:r>
              <w:rPr>
                <w:sz w:val="18"/>
                <w:szCs w:val="18"/>
              </w:rPr>
              <w:t>Si precisa che la riduzione in oggetto non trova più applicazione a partire dal 2019; pertanto, indipendentemente dall’impostazione del suddetto campo “</w:t>
            </w:r>
            <w:r>
              <w:rPr>
                <w:i/>
                <w:sz w:val="18"/>
                <w:szCs w:val="18"/>
              </w:rPr>
              <w:t>L. 147/13</w:t>
            </w:r>
            <w:r>
              <w:rPr>
                <w:sz w:val="18"/>
                <w:szCs w:val="18"/>
              </w:rPr>
              <w:t>”, lo sconto non viene calcolato con riferimento al premio di rata.</w:t>
            </w:r>
          </w:p>
          <w:p>
            <w:pPr>
              <w:pStyle w:val="CorpoAltF0"/>
              <w:rPr>
                <w:sz w:val="18"/>
                <w:szCs w:val="18"/>
                <w:highlight w:val="yellow"/>
              </w:rPr>
            </w:pPr>
          </w:p>
        </w:tc>
        <w:tc>
          <w:tcPr>
            <w:tcW w:w="5613" w:type="dxa"/>
            <w:shd w:val="clear" w:color="auto" w:fill="auto"/>
          </w:tcPr>
          <w:p>
            <w:pPr>
              <w:pStyle w:val="CorpoAltF0"/>
            </w:pPr>
          </w:p>
          <w:p>
            <w:pPr>
              <w:pStyle w:val="CorpoAltF0"/>
            </w:pPr>
          </w:p>
          <w:p>
            <w:pPr>
              <w:pStyle w:val="CorpoAltF0"/>
            </w:pPr>
          </w:p>
          <w:p>
            <w:pPr>
              <w:pStyle w:val="CorpoAltF0"/>
            </w:pPr>
          </w:p>
          <w:p>
            <w:pPr>
              <w:pStyle w:val="CorpoAltF0"/>
            </w:pPr>
          </w:p>
          <w:p>
            <w:pPr>
              <w:pStyle w:val="CorpoAltF0"/>
              <w:rPr>
                <w:sz w:val="18"/>
                <w:szCs w:val="18"/>
                <w:u w:val="single"/>
              </w:rPr>
            </w:pPr>
            <w:r>
              <w:rPr>
                <w:sz w:val="18"/>
                <w:szCs w:val="18"/>
                <w:u w:val="single"/>
              </w:rPr>
              <w:t>Retribuzione</w:t>
            </w:r>
          </w:p>
          <w:p>
            <w:pPr>
              <w:pStyle w:val="CorpoAltF0"/>
              <w:rPr>
                <w:sz w:val="18"/>
                <w:szCs w:val="18"/>
              </w:rPr>
            </w:pPr>
            <w:r>
              <w:rPr>
                <w:sz w:val="18"/>
                <w:szCs w:val="18"/>
              </w:rPr>
              <w:t>L’importo della retribuzione e del premio unitario va indicato interamente come riportato nelle basi di calcolo</w:t>
            </w: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r>
              <w:rPr>
                <w:noProof/>
              </w:rPr>
              <w:drawing>
                <wp:inline distT="0" distB="0" distL="0" distR="0">
                  <wp:extent cx="3420000" cy="1854939"/>
                  <wp:effectExtent l="0" t="0" r="9525" b="0"/>
                  <wp:docPr id="121" name="Immagin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420000" cy="1854939"/>
                          </a:xfrm>
                          <a:prstGeom prst="rect">
                            <a:avLst/>
                          </a:prstGeom>
                        </pic:spPr>
                      </pic:pic>
                    </a:graphicData>
                  </a:graphic>
                </wp:inline>
              </w:drawing>
            </w:r>
          </w:p>
          <w:p>
            <w:pPr>
              <w:pStyle w:val="CorpoAltF0"/>
              <w:ind w:left="115"/>
              <w:rPr>
                <w:sz w:val="18"/>
                <w:szCs w:val="18"/>
              </w:rPr>
            </w:pPr>
            <w:r>
              <w:rPr>
                <w:sz w:val="18"/>
                <w:szCs w:val="18"/>
              </w:rPr>
              <w:t>Fig. 1</w:t>
            </w: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r>
              <w:rPr>
                <w:noProof/>
              </w:rPr>
              <w:drawing>
                <wp:inline distT="0" distB="0" distL="0" distR="0">
                  <wp:extent cx="3420000" cy="1273763"/>
                  <wp:effectExtent l="0" t="0" r="0" b="3175"/>
                  <wp:docPr id="122" name="Immagin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420000" cy="1273763"/>
                          </a:xfrm>
                          <a:prstGeom prst="rect">
                            <a:avLst/>
                          </a:prstGeom>
                        </pic:spPr>
                      </pic:pic>
                    </a:graphicData>
                  </a:graphic>
                </wp:inline>
              </w:drawing>
            </w:r>
          </w:p>
          <w:p>
            <w:pPr>
              <w:pStyle w:val="CorpoAltF0"/>
              <w:ind w:left="115"/>
              <w:rPr>
                <w:sz w:val="18"/>
                <w:szCs w:val="18"/>
              </w:rPr>
            </w:pPr>
            <w:r>
              <w:rPr>
                <w:sz w:val="18"/>
                <w:szCs w:val="18"/>
              </w:rPr>
              <w:t>Fig. 2</w:t>
            </w: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r>
              <w:rPr>
                <w:noProof/>
              </w:rPr>
              <w:drawing>
                <wp:inline distT="0" distB="0" distL="0" distR="0">
                  <wp:extent cx="3420000" cy="1281214"/>
                  <wp:effectExtent l="0" t="0" r="0" b="0"/>
                  <wp:docPr id="131" name="Immagin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420000" cy="1281214"/>
                          </a:xfrm>
                          <a:prstGeom prst="rect">
                            <a:avLst/>
                          </a:prstGeom>
                        </pic:spPr>
                      </pic:pic>
                    </a:graphicData>
                  </a:graphic>
                </wp:inline>
              </w:drawing>
            </w:r>
          </w:p>
          <w:p>
            <w:pPr>
              <w:pStyle w:val="CorpoAltF0"/>
              <w:ind w:left="115"/>
              <w:rPr>
                <w:sz w:val="18"/>
                <w:szCs w:val="18"/>
              </w:rPr>
            </w:pPr>
            <w:r>
              <w:rPr>
                <w:sz w:val="18"/>
                <w:szCs w:val="18"/>
              </w:rPr>
              <w:t>Fig. 3</w:t>
            </w: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p>
          <w:p>
            <w:pPr>
              <w:pStyle w:val="CorpoAltF0"/>
              <w:rPr>
                <w:sz w:val="18"/>
                <w:szCs w:val="18"/>
              </w:rPr>
            </w:pPr>
            <w:r>
              <w:rPr>
                <w:noProof/>
              </w:rPr>
              <w:drawing>
                <wp:inline distT="0" distB="0" distL="0" distR="0">
                  <wp:extent cx="3420000" cy="1282988"/>
                  <wp:effectExtent l="0" t="0" r="0" b="0"/>
                  <wp:docPr id="133" name="Immagin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420000" cy="1282988"/>
                          </a:xfrm>
                          <a:prstGeom prst="rect">
                            <a:avLst/>
                          </a:prstGeom>
                        </pic:spPr>
                      </pic:pic>
                    </a:graphicData>
                  </a:graphic>
                </wp:inline>
              </w:drawing>
            </w:r>
          </w:p>
          <w:p>
            <w:pPr>
              <w:pStyle w:val="CorpoAltF0"/>
              <w:ind w:left="156"/>
              <w:rPr>
                <w:sz w:val="18"/>
                <w:szCs w:val="18"/>
              </w:rPr>
            </w:pPr>
            <w:r>
              <w:rPr>
                <w:sz w:val="18"/>
                <w:szCs w:val="18"/>
              </w:rPr>
              <w:t>Fig. 4</w:t>
            </w:r>
          </w:p>
          <w:p>
            <w:pPr>
              <w:pStyle w:val="CorpoAltF0"/>
              <w:rPr>
                <w:sz w:val="18"/>
                <w:szCs w:val="18"/>
              </w:rPr>
            </w:pPr>
          </w:p>
        </w:tc>
      </w:tr>
    </w:tbl>
    <w:p>
      <w:pPr>
        <w:pStyle w:val="CorpoAltF0"/>
        <w:rPr>
          <w:highlight w:val="yellow"/>
        </w:rPr>
      </w:pPr>
      <w:r>
        <w:rPr>
          <w:highlight w:val="yellow"/>
        </w:rPr>
        <w:br w:type="page"/>
      </w:r>
    </w:p>
    <w:p>
      <w:pPr>
        <w:pStyle w:val="CorpoAltF0"/>
        <w:rPr>
          <w:highlight w:val="yellow"/>
        </w:rPr>
      </w:pPr>
    </w:p>
    <w:p>
      <w:pPr>
        <w:pStyle w:val="TS-titolo-05"/>
      </w:pPr>
      <w:bookmarkStart w:id="59" w:name="_Toc471235858"/>
      <w:bookmarkStart w:id="60" w:name="_Toc6329824"/>
      <w:r>
        <w:t>Denuncia delle retribuzioni corrisposte</w:t>
      </w:r>
      <w:bookmarkEnd w:id="59"/>
      <w:bookmarkEnd w:id="6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3"/>
        <w:gridCol w:w="5616"/>
      </w:tblGrid>
      <w:tr>
        <w:tc>
          <w:tcPr>
            <w:tcW w:w="4381" w:type="dxa"/>
            <w:shd w:val="clear" w:color="auto" w:fill="auto"/>
          </w:tcPr>
          <w:p>
            <w:pPr>
              <w:pStyle w:val="CorpoAltF0"/>
              <w:rPr>
                <w:sz w:val="18"/>
                <w:szCs w:val="18"/>
                <w:highlight w:val="yellow"/>
              </w:rPr>
            </w:pPr>
          </w:p>
          <w:p>
            <w:pPr>
              <w:pStyle w:val="CorpoAltF0"/>
              <w:numPr>
                <w:ilvl w:val="0"/>
                <w:numId w:val="12"/>
              </w:numPr>
              <w:ind w:left="284" w:hanging="284"/>
              <w:rPr>
                <w:b/>
                <w:sz w:val="18"/>
                <w:szCs w:val="18"/>
              </w:rPr>
            </w:pPr>
            <w:r>
              <w:rPr>
                <w:b/>
                <w:sz w:val="18"/>
                <w:szCs w:val="18"/>
              </w:rPr>
              <w:t>Retribuzioni</w:t>
            </w:r>
          </w:p>
          <w:p>
            <w:pPr>
              <w:pStyle w:val="CorpoAltF0"/>
              <w:numPr>
                <w:ilvl w:val="0"/>
                <w:numId w:val="12"/>
              </w:numPr>
              <w:ind w:left="284" w:hanging="284"/>
              <w:rPr>
                <w:b/>
                <w:sz w:val="18"/>
                <w:szCs w:val="18"/>
              </w:rPr>
            </w:pPr>
            <w:r>
              <w:rPr>
                <w:b/>
                <w:sz w:val="18"/>
                <w:szCs w:val="18"/>
              </w:rPr>
              <w:t>Retribuzioni per lo sconto</w:t>
            </w:r>
          </w:p>
          <w:p>
            <w:pPr>
              <w:pStyle w:val="CorpoAltF0"/>
              <w:numPr>
                <w:ilvl w:val="0"/>
                <w:numId w:val="12"/>
              </w:numPr>
              <w:ind w:left="284" w:hanging="284"/>
              <w:rPr>
                <w:b/>
                <w:sz w:val="18"/>
                <w:szCs w:val="18"/>
              </w:rPr>
            </w:pPr>
            <w:r>
              <w:rPr>
                <w:b/>
                <w:sz w:val="18"/>
                <w:szCs w:val="18"/>
              </w:rPr>
              <w:t>Retribuzioni per rata (autoriduzione premio)</w:t>
            </w:r>
          </w:p>
          <w:p>
            <w:pPr>
              <w:pStyle w:val="CorpoAltF0"/>
              <w:rPr>
                <w:sz w:val="18"/>
                <w:szCs w:val="18"/>
              </w:rPr>
            </w:pPr>
          </w:p>
          <w:p>
            <w:pPr>
              <w:pStyle w:val="CorpoAltF0"/>
              <w:rPr>
                <w:b/>
                <w:sz w:val="18"/>
                <w:szCs w:val="18"/>
              </w:rPr>
            </w:pPr>
            <w:r>
              <w:rPr>
                <w:b/>
                <w:sz w:val="18"/>
                <w:szCs w:val="18"/>
              </w:rPr>
              <w:t>Importo A – Retribuzioni complessive</w:t>
            </w:r>
          </w:p>
          <w:p>
            <w:pPr>
              <w:pStyle w:val="CorpoAltF0"/>
              <w:spacing w:before="60"/>
              <w:rPr>
                <w:sz w:val="18"/>
                <w:szCs w:val="18"/>
              </w:rPr>
            </w:pPr>
            <w:r>
              <w:rPr>
                <w:sz w:val="18"/>
                <w:szCs w:val="18"/>
              </w:rPr>
              <w:t>In tale campo vengono riportate le seguenti retribuzioni:</w:t>
            </w:r>
          </w:p>
          <w:p>
            <w:pPr>
              <w:pStyle w:val="CorpoAltF0"/>
              <w:rPr>
                <w:sz w:val="18"/>
                <w:szCs w:val="18"/>
              </w:rPr>
            </w:pPr>
          </w:p>
          <w:p>
            <w:pPr>
              <w:pStyle w:val="CorpoAltF0"/>
              <w:rPr>
                <w:b/>
                <w:sz w:val="18"/>
                <w:szCs w:val="18"/>
              </w:rPr>
            </w:pPr>
            <w:r>
              <w:rPr>
                <w:b/>
                <w:sz w:val="18"/>
                <w:szCs w:val="18"/>
              </w:rPr>
              <w:t>Retribuzioni dipendenti:</w:t>
            </w:r>
          </w:p>
          <w:p>
            <w:pPr>
              <w:pStyle w:val="CorpoAltF0"/>
              <w:spacing w:before="60"/>
              <w:rPr>
                <w:sz w:val="18"/>
                <w:szCs w:val="18"/>
              </w:rPr>
            </w:pPr>
            <w:r>
              <w:rPr>
                <w:sz w:val="18"/>
                <w:szCs w:val="18"/>
              </w:rPr>
              <w:t>Gli importi vengono acquisiti dai progressivi del dipendente (</w:t>
            </w:r>
            <w:r>
              <w:rPr>
                <w:b/>
                <w:sz w:val="18"/>
                <w:szCs w:val="18"/>
              </w:rPr>
              <w:t>DIPE</w:t>
            </w:r>
            <w:r>
              <w:rPr>
                <w:sz w:val="18"/>
                <w:szCs w:val="18"/>
              </w:rPr>
              <w:t>&gt;sez. “</w:t>
            </w:r>
            <w:r>
              <w:rPr>
                <w:i/>
                <w:sz w:val="18"/>
                <w:szCs w:val="18"/>
              </w:rPr>
              <w:t>Progressivi</w:t>
            </w:r>
            <w:r>
              <w:rPr>
                <w:sz w:val="18"/>
                <w:szCs w:val="18"/>
              </w:rPr>
              <w:t xml:space="preserve"> &gt; </w:t>
            </w:r>
            <w:r>
              <w:rPr>
                <w:i/>
                <w:sz w:val="18"/>
                <w:szCs w:val="18"/>
              </w:rPr>
              <w:t>Inail</w:t>
            </w:r>
            <w:r>
              <w:rPr>
                <w:sz w:val="18"/>
                <w:szCs w:val="18"/>
              </w:rPr>
              <w:t>”).</w:t>
            </w:r>
          </w:p>
          <w:p>
            <w:pPr>
              <w:pStyle w:val="CorpoAltF0"/>
            </w:pPr>
          </w:p>
          <w:p>
            <w:pPr>
              <w:pStyle w:val="CorpoAltF0"/>
              <w:rPr>
                <w:b/>
                <w:sz w:val="18"/>
                <w:szCs w:val="18"/>
              </w:rPr>
            </w:pPr>
            <w:r>
              <w:rPr>
                <w:b/>
                <w:sz w:val="18"/>
                <w:szCs w:val="18"/>
              </w:rPr>
              <w:t xml:space="preserve">Retribuzione soci non artigiani: </w:t>
            </w:r>
          </w:p>
          <w:p>
            <w:pPr>
              <w:pStyle w:val="CorpoAltF0"/>
              <w:spacing w:before="60"/>
              <w:rPr>
                <w:sz w:val="18"/>
                <w:szCs w:val="18"/>
              </w:rPr>
            </w:pPr>
            <w:r>
              <w:rPr>
                <w:sz w:val="18"/>
                <w:szCs w:val="18"/>
              </w:rPr>
              <w:t>Nel campo “</w:t>
            </w:r>
            <w:r>
              <w:rPr>
                <w:i/>
                <w:sz w:val="18"/>
                <w:szCs w:val="18"/>
              </w:rPr>
              <w:t>di cui soci</w:t>
            </w:r>
            <w:r>
              <w:rPr>
                <w:sz w:val="18"/>
                <w:szCs w:val="18"/>
              </w:rPr>
              <w:t>” è possibile verificare la parte delle retribuzioni incluse nel totale relative ai Soci non artigiani.</w:t>
            </w:r>
          </w:p>
          <w:p>
            <w:pPr>
              <w:pStyle w:val="CorpoAltF0"/>
            </w:pPr>
          </w:p>
          <w:p>
            <w:pPr>
              <w:pStyle w:val="CorpoAltF0"/>
              <w:rPr>
                <w:b/>
                <w:bCs/>
                <w:sz w:val="18"/>
                <w:szCs w:val="18"/>
              </w:rPr>
            </w:pPr>
            <w:r>
              <w:rPr>
                <w:b/>
                <w:sz w:val="18"/>
                <w:szCs w:val="18"/>
              </w:rPr>
              <w:t>Retribuzioni collaboratori:</w:t>
            </w:r>
          </w:p>
          <w:p>
            <w:pPr>
              <w:pStyle w:val="CorpoAltF0"/>
              <w:spacing w:before="60"/>
              <w:rPr>
                <w:sz w:val="18"/>
                <w:szCs w:val="18"/>
              </w:rPr>
            </w:pPr>
            <w:r>
              <w:rPr>
                <w:sz w:val="18"/>
                <w:szCs w:val="18"/>
              </w:rPr>
              <w:t>Nel campo “</w:t>
            </w:r>
            <w:r>
              <w:rPr>
                <w:i/>
                <w:sz w:val="18"/>
                <w:szCs w:val="18"/>
              </w:rPr>
              <w:t>di cui collaboratori</w:t>
            </w:r>
            <w:r>
              <w:rPr>
                <w:sz w:val="18"/>
                <w:szCs w:val="18"/>
              </w:rPr>
              <w:t>” è possibile verificare la parte delle retribuzioni incluse nel totale relative ai collaboratori (dipendenti con codice trattamento Irpef = 8 e 9).</w:t>
            </w:r>
          </w:p>
          <w:p>
            <w:pPr>
              <w:pStyle w:val="CorpoAltF0"/>
              <w:rPr>
                <w:sz w:val="18"/>
                <w:szCs w:val="18"/>
              </w:rPr>
            </w:pPr>
            <w:r>
              <w:rPr>
                <w:sz w:val="18"/>
                <w:szCs w:val="18"/>
              </w:rPr>
              <w:t xml:space="preserve">Gli imponibili vengono acquisiti da </w:t>
            </w:r>
            <w:r>
              <w:rPr>
                <w:b/>
                <w:sz w:val="18"/>
                <w:szCs w:val="18"/>
              </w:rPr>
              <w:t>DIPE</w:t>
            </w:r>
            <w:r>
              <w:rPr>
                <w:sz w:val="18"/>
                <w:szCs w:val="18"/>
              </w:rPr>
              <w:t xml:space="preserve">&gt; “sez. </w:t>
            </w:r>
            <w:r>
              <w:rPr>
                <w:i/>
                <w:sz w:val="18"/>
                <w:szCs w:val="18"/>
              </w:rPr>
              <w:t>Progressivi &gt; Collaboratori</w:t>
            </w:r>
            <w:r>
              <w:rPr>
                <w:sz w:val="18"/>
                <w:szCs w:val="18"/>
              </w:rPr>
              <w:t>”.</w:t>
            </w:r>
          </w:p>
          <w:p>
            <w:pPr>
              <w:pStyle w:val="CorpoAltF0"/>
              <w:rPr>
                <w:sz w:val="18"/>
                <w:szCs w:val="18"/>
              </w:rPr>
            </w:pPr>
            <w:r>
              <w:rPr>
                <w:sz w:val="18"/>
                <w:szCs w:val="18"/>
              </w:rPr>
              <w:t>Il programma determina la retribuzione imponibile partendo dall’importo del campo “</w:t>
            </w:r>
            <w:r>
              <w:rPr>
                <w:i/>
                <w:sz w:val="18"/>
                <w:szCs w:val="18"/>
              </w:rPr>
              <w:t>Imponibile INAIL</w:t>
            </w:r>
            <w:r>
              <w:rPr>
                <w:sz w:val="18"/>
                <w:szCs w:val="18"/>
              </w:rPr>
              <w:t>”, sottraendo quello presente al campo “</w:t>
            </w:r>
            <w:r>
              <w:rPr>
                <w:i/>
                <w:sz w:val="18"/>
                <w:szCs w:val="18"/>
              </w:rPr>
              <w:t xml:space="preserve">Imponibile </w:t>
            </w:r>
            <w:proofErr w:type="spellStart"/>
            <w:r>
              <w:rPr>
                <w:i/>
                <w:sz w:val="18"/>
                <w:szCs w:val="18"/>
              </w:rPr>
              <w:t>inail</w:t>
            </w:r>
            <w:proofErr w:type="spellEnd"/>
            <w:r>
              <w:rPr>
                <w:i/>
                <w:sz w:val="18"/>
                <w:szCs w:val="18"/>
              </w:rPr>
              <w:t xml:space="preserve"> competenza AP</w:t>
            </w:r>
            <w:r>
              <w:rPr>
                <w:sz w:val="18"/>
                <w:szCs w:val="18"/>
              </w:rPr>
              <w:t>” ed aggiungendo quello presente al campo “</w:t>
            </w:r>
            <w:r>
              <w:rPr>
                <w:i/>
                <w:sz w:val="18"/>
                <w:szCs w:val="18"/>
              </w:rPr>
              <w:t xml:space="preserve">Imponibile </w:t>
            </w:r>
            <w:proofErr w:type="spellStart"/>
            <w:r>
              <w:rPr>
                <w:i/>
                <w:sz w:val="18"/>
                <w:szCs w:val="18"/>
              </w:rPr>
              <w:t>inail</w:t>
            </w:r>
            <w:proofErr w:type="spellEnd"/>
            <w:r>
              <w:rPr>
                <w:i/>
                <w:sz w:val="18"/>
                <w:szCs w:val="18"/>
              </w:rPr>
              <w:t xml:space="preserve"> competenza AP</w:t>
            </w:r>
            <w:r>
              <w:rPr>
                <w:sz w:val="18"/>
                <w:szCs w:val="18"/>
              </w:rPr>
              <w:t>” dell’anno successivo.</w:t>
            </w:r>
          </w:p>
          <w:p>
            <w:pPr>
              <w:pStyle w:val="CorpoAltF0"/>
              <w:spacing w:before="120"/>
              <w:rPr>
                <w:sz w:val="18"/>
                <w:szCs w:val="18"/>
              </w:rPr>
            </w:pPr>
            <w:r>
              <w:rPr>
                <w:sz w:val="18"/>
                <w:szCs w:val="18"/>
              </w:rPr>
              <w:t>Esempio:</w:t>
            </w:r>
          </w:p>
          <w:p>
            <w:pPr>
              <w:pStyle w:val="CorpoAltF0"/>
              <w:rPr>
                <w:i/>
                <w:sz w:val="18"/>
                <w:szCs w:val="18"/>
              </w:rPr>
            </w:pPr>
            <w:r>
              <w:rPr>
                <w:i/>
                <w:sz w:val="18"/>
                <w:szCs w:val="18"/>
              </w:rPr>
              <w:t>L’imponibile INAIL relativo al 2018 sarà determinato nel seguente modo:</w:t>
            </w:r>
          </w:p>
          <w:p>
            <w:pPr>
              <w:pStyle w:val="CorpoAltF0"/>
              <w:rPr>
                <w:i/>
                <w:sz w:val="18"/>
                <w:szCs w:val="18"/>
              </w:rPr>
            </w:pPr>
            <w:r>
              <w:rPr>
                <w:i/>
                <w:sz w:val="18"/>
                <w:szCs w:val="18"/>
              </w:rPr>
              <w:t xml:space="preserve">“Imponibile INAIL” (2018) – “Imponibile </w:t>
            </w:r>
            <w:proofErr w:type="spellStart"/>
            <w:r>
              <w:rPr>
                <w:i/>
                <w:sz w:val="18"/>
                <w:szCs w:val="18"/>
              </w:rPr>
              <w:t>inail</w:t>
            </w:r>
            <w:proofErr w:type="spellEnd"/>
            <w:r>
              <w:rPr>
                <w:i/>
                <w:sz w:val="18"/>
                <w:szCs w:val="18"/>
              </w:rPr>
              <w:t xml:space="preserve"> competenza AP” (2018) + “Imponibile </w:t>
            </w:r>
            <w:proofErr w:type="spellStart"/>
            <w:r>
              <w:rPr>
                <w:i/>
                <w:sz w:val="18"/>
                <w:szCs w:val="18"/>
              </w:rPr>
              <w:t>inail</w:t>
            </w:r>
            <w:proofErr w:type="spellEnd"/>
            <w:r>
              <w:rPr>
                <w:i/>
                <w:sz w:val="18"/>
                <w:szCs w:val="18"/>
              </w:rPr>
              <w:t xml:space="preserve"> competenza AP” (2019).</w:t>
            </w:r>
          </w:p>
          <w:p>
            <w:pPr>
              <w:pStyle w:val="CorpoAltF0"/>
              <w:rPr>
                <w:sz w:val="18"/>
                <w:szCs w:val="18"/>
              </w:rPr>
            </w:pPr>
          </w:p>
          <w:p>
            <w:pPr>
              <w:pStyle w:val="CorpoAltF0"/>
              <w:rPr>
                <w:b/>
                <w:bCs/>
                <w:sz w:val="18"/>
                <w:szCs w:val="18"/>
              </w:rPr>
            </w:pPr>
            <w:r>
              <w:rPr>
                <w:b/>
                <w:sz w:val="18"/>
                <w:szCs w:val="18"/>
              </w:rPr>
              <w:t>Retribuzioni dipendenti “</w:t>
            </w:r>
            <w:r>
              <w:rPr>
                <w:b/>
                <w:i/>
                <w:sz w:val="18"/>
                <w:szCs w:val="18"/>
              </w:rPr>
              <w:t>ex-marca</w:t>
            </w:r>
            <w:r>
              <w:rPr>
                <w:b/>
                <w:sz w:val="18"/>
                <w:szCs w:val="18"/>
              </w:rPr>
              <w:t>”:</w:t>
            </w:r>
          </w:p>
          <w:p>
            <w:pPr>
              <w:pStyle w:val="CorpoAltF0"/>
              <w:spacing w:before="60"/>
              <w:rPr>
                <w:sz w:val="18"/>
                <w:szCs w:val="18"/>
              </w:rPr>
            </w:pPr>
            <w:r>
              <w:rPr>
                <w:sz w:val="18"/>
                <w:szCs w:val="18"/>
              </w:rPr>
              <w:t>Analogamente agli apprendisti, le retribuzioni dei dipendenti “</w:t>
            </w:r>
            <w:r>
              <w:rPr>
                <w:i/>
                <w:sz w:val="18"/>
                <w:szCs w:val="18"/>
              </w:rPr>
              <w:t>ex-marca</w:t>
            </w:r>
            <w:r>
              <w:rPr>
                <w:sz w:val="18"/>
                <w:szCs w:val="18"/>
              </w:rPr>
              <w:t>” (dipendenti che presentano una posizione assicurativa per la quale, nella “</w:t>
            </w:r>
            <w:r>
              <w:rPr>
                <w:i/>
                <w:sz w:val="18"/>
                <w:szCs w:val="18"/>
              </w:rPr>
              <w:t>Tabella agevolazioni contributive</w:t>
            </w:r>
            <w:r>
              <w:rPr>
                <w:sz w:val="18"/>
                <w:szCs w:val="18"/>
              </w:rPr>
              <w:t>” (</w:t>
            </w:r>
            <w:r>
              <w:rPr>
                <w:b/>
                <w:sz w:val="18"/>
                <w:szCs w:val="18"/>
              </w:rPr>
              <w:t>TB0202</w:t>
            </w:r>
            <w:r>
              <w:rPr>
                <w:sz w:val="18"/>
                <w:szCs w:val="18"/>
              </w:rPr>
              <w:t>), risulta collegato il codice “</w:t>
            </w:r>
            <w:r>
              <w:rPr>
                <w:b/>
                <w:sz w:val="18"/>
                <w:szCs w:val="18"/>
              </w:rPr>
              <w:t>A</w:t>
            </w:r>
            <w:r>
              <w:rPr>
                <w:sz w:val="18"/>
                <w:szCs w:val="18"/>
              </w:rPr>
              <w:t>” nel corrispondente campo della colonna “</w:t>
            </w:r>
            <w:r>
              <w:rPr>
                <w:i/>
                <w:sz w:val="18"/>
                <w:szCs w:val="18"/>
              </w:rPr>
              <w:t>marca</w:t>
            </w:r>
            <w:r>
              <w:rPr>
                <w:sz w:val="18"/>
                <w:szCs w:val="18"/>
              </w:rPr>
              <w:t>”), non vengono prelevate in quanto, per tali dipendenti, il contributo a titolo di assicurazione contro gli infortuni risulta già compreso nella percentuale contributiva.</w:t>
            </w:r>
          </w:p>
          <w:p>
            <w:pPr>
              <w:pStyle w:val="CorpoAltF0"/>
              <w:rPr>
                <w:sz w:val="18"/>
                <w:szCs w:val="18"/>
              </w:rPr>
            </w:pPr>
          </w:p>
          <w:p>
            <w:pPr>
              <w:pStyle w:val="CorpoAltF0"/>
              <w:rPr>
                <w:b/>
                <w:sz w:val="18"/>
                <w:szCs w:val="18"/>
              </w:rPr>
            </w:pPr>
            <w:r>
              <w:rPr>
                <w:b/>
                <w:sz w:val="18"/>
                <w:szCs w:val="18"/>
              </w:rPr>
              <w:t>Retribuzione convenzionale dirigenti / quadri:</w:t>
            </w:r>
          </w:p>
          <w:p>
            <w:pPr>
              <w:pStyle w:val="CorpoAltF0"/>
              <w:spacing w:before="60"/>
              <w:rPr>
                <w:sz w:val="18"/>
                <w:szCs w:val="18"/>
              </w:rPr>
            </w:pPr>
            <w:r>
              <w:rPr>
                <w:sz w:val="18"/>
                <w:szCs w:val="18"/>
              </w:rPr>
              <w:t>Se valorizzato il campo “</w:t>
            </w:r>
            <w:r>
              <w:rPr>
                <w:i/>
                <w:sz w:val="18"/>
                <w:szCs w:val="18"/>
              </w:rPr>
              <w:t>Retribuzione convenzionale dirigenti / quadri</w:t>
            </w:r>
            <w:r>
              <w:rPr>
                <w:sz w:val="18"/>
                <w:szCs w:val="18"/>
              </w:rPr>
              <w:t>” in gestione della posizione INAIL azienda, per i dirigenti o quadri collegati a tale posizione l’imponibile Inail viene così determinato:</w:t>
            </w:r>
          </w:p>
          <w:p>
            <w:pPr>
              <w:pStyle w:val="CorpoAltF0"/>
              <w:rPr>
                <w:sz w:val="18"/>
                <w:szCs w:val="18"/>
              </w:rPr>
            </w:pPr>
          </w:p>
          <w:p>
            <w:pPr>
              <w:pStyle w:val="CorpoAltF0"/>
              <w:rPr>
                <w:sz w:val="18"/>
                <w:szCs w:val="18"/>
              </w:rPr>
            </w:pPr>
          </w:p>
          <w:p>
            <w:pPr>
              <w:pStyle w:val="CorpoAltF0"/>
              <w:rPr>
                <w:sz w:val="18"/>
                <w:szCs w:val="18"/>
              </w:rPr>
            </w:pPr>
          </w:p>
          <w:p>
            <w:pPr>
              <w:pStyle w:val="CorpoAltF0"/>
              <w:numPr>
                <w:ilvl w:val="0"/>
                <w:numId w:val="28"/>
              </w:numPr>
              <w:spacing w:before="120"/>
              <w:ind w:left="142" w:hanging="142"/>
              <w:rPr>
                <w:sz w:val="18"/>
                <w:szCs w:val="18"/>
              </w:rPr>
            </w:pPr>
            <w:r>
              <w:rPr>
                <w:sz w:val="18"/>
                <w:szCs w:val="18"/>
              </w:rPr>
              <w:lastRenderedPageBreak/>
              <w:t>Dirigente/quadro full-time</w:t>
            </w:r>
          </w:p>
          <w:p>
            <w:pPr>
              <w:pStyle w:val="CorpoAltF0"/>
              <w:ind w:left="142"/>
              <w:rPr>
                <w:sz w:val="18"/>
                <w:szCs w:val="18"/>
              </w:rPr>
            </w:pPr>
            <w:r>
              <w:rPr>
                <w:sz w:val="18"/>
                <w:szCs w:val="18"/>
              </w:rPr>
              <w:t>retribuzione convenzionale (</w:t>
            </w:r>
            <w:r>
              <w:rPr>
                <w:b/>
                <w:sz w:val="18"/>
                <w:szCs w:val="18"/>
              </w:rPr>
              <w:t>TB0703</w:t>
            </w:r>
            <w:r>
              <w:rPr>
                <w:sz w:val="18"/>
                <w:szCs w:val="18"/>
              </w:rPr>
              <w:t>) / 300 x giorni memorizzati nei “</w:t>
            </w:r>
            <w:r>
              <w:rPr>
                <w:i/>
                <w:sz w:val="18"/>
                <w:szCs w:val="18"/>
              </w:rPr>
              <w:t>Progressivi</w:t>
            </w:r>
            <w:r>
              <w:rPr>
                <w:sz w:val="18"/>
                <w:szCs w:val="18"/>
              </w:rPr>
              <w:t xml:space="preserve"> &gt; </w:t>
            </w:r>
            <w:r>
              <w:rPr>
                <w:i/>
                <w:sz w:val="18"/>
                <w:szCs w:val="18"/>
              </w:rPr>
              <w:t>INAIL</w:t>
            </w:r>
            <w:r>
              <w:rPr>
                <w:sz w:val="18"/>
                <w:szCs w:val="18"/>
              </w:rPr>
              <w:t xml:space="preserve">” di </w:t>
            </w:r>
            <w:r>
              <w:rPr>
                <w:b/>
                <w:sz w:val="18"/>
                <w:szCs w:val="18"/>
              </w:rPr>
              <w:t>DIPE</w:t>
            </w:r>
            <w:r>
              <w:rPr>
                <w:sz w:val="18"/>
                <w:szCs w:val="18"/>
              </w:rPr>
              <w:t xml:space="preserve"> (giorni Inps </w:t>
            </w:r>
            <w:r>
              <w:rPr>
                <w:b/>
                <w:sz w:val="18"/>
                <w:szCs w:val="18"/>
                <w:vertAlign w:val="superscript"/>
              </w:rPr>
              <w:t>(</w:t>
            </w:r>
            <w:r>
              <w:rPr>
                <w:b/>
                <w:sz w:val="18"/>
                <w:szCs w:val="18"/>
              </w:rPr>
              <w:t>*</w:t>
            </w:r>
            <w:r>
              <w:rPr>
                <w:b/>
                <w:sz w:val="18"/>
                <w:szCs w:val="18"/>
                <w:vertAlign w:val="superscript"/>
              </w:rPr>
              <w:t>)</w:t>
            </w:r>
            <w:r>
              <w:rPr>
                <w:sz w:val="18"/>
                <w:szCs w:val="18"/>
              </w:rPr>
              <w:t xml:space="preserve"> mensili, nel limite di 25).</w:t>
            </w:r>
          </w:p>
          <w:p>
            <w:pPr>
              <w:pStyle w:val="CorpoAltF0"/>
              <w:numPr>
                <w:ilvl w:val="0"/>
                <w:numId w:val="28"/>
              </w:numPr>
              <w:spacing w:before="120"/>
              <w:ind w:left="142" w:hanging="142"/>
              <w:rPr>
                <w:sz w:val="18"/>
                <w:szCs w:val="18"/>
              </w:rPr>
            </w:pPr>
            <w:r>
              <w:rPr>
                <w:sz w:val="18"/>
                <w:szCs w:val="18"/>
              </w:rPr>
              <w:t>Dirigente/quadro part-time</w:t>
            </w:r>
          </w:p>
          <w:p>
            <w:pPr>
              <w:pStyle w:val="CorpoAltF0"/>
              <w:ind w:left="142"/>
              <w:rPr>
                <w:sz w:val="18"/>
                <w:szCs w:val="18"/>
              </w:rPr>
            </w:pPr>
            <w:r>
              <w:rPr>
                <w:sz w:val="18"/>
                <w:szCs w:val="18"/>
              </w:rPr>
              <w:t>retribuzione convenzionale (</w:t>
            </w:r>
            <w:r>
              <w:rPr>
                <w:b/>
                <w:sz w:val="18"/>
                <w:szCs w:val="18"/>
              </w:rPr>
              <w:t>TB0703</w:t>
            </w:r>
            <w:r>
              <w:rPr>
                <w:sz w:val="18"/>
                <w:szCs w:val="18"/>
              </w:rPr>
              <w:t>) / 300 / 8 x ore memorizzate nei “</w:t>
            </w:r>
            <w:r>
              <w:rPr>
                <w:i/>
                <w:sz w:val="18"/>
                <w:szCs w:val="18"/>
              </w:rPr>
              <w:t>Progressivi</w:t>
            </w:r>
            <w:r>
              <w:rPr>
                <w:sz w:val="18"/>
                <w:szCs w:val="18"/>
              </w:rPr>
              <w:t xml:space="preserve"> &gt; </w:t>
            </w:r>
            <w:r>
              <w:rPr>
                <w:i/>
                <w:sz w:val="18"/>
                <w:szCs w:val="18"/>
              </w:rPr>
              <w:t>INAIL</w:t>
            </w:r>
            <w:r>
              <w:rPr>
                <w:sz w:val="18"/>
                <w:szCs w:val="18"/>
              </w:rPr>
              <w:t xml:space="preserve">” di </w:t>
            </w:r>
            <w:r>
              <w:rPr>
                <w:b/>
                <w:sz w:val="18"/>
                <w:szCs w:val="18"/>
              </w:rPr>
              <w:t>DIPE</w:t>
            </w:r>
            <w:r>
              <w:rPr>
                <w:sz w:val="18"/>
                <w:szCs w:val="18"/>
              </w:rPr>
              <w:t xml:space="preserve"> (ore Inps </w:t>
            </w:r>
            <w:r>
              <w:rPr>
                <w:b/>
                <w:sz w:val="18"/>
                <w:szCs w:val="18"/>
                <w:vertAlign w:val="superscript"/>
              </w:rPr>
              <w:t>(</w:t>
            </w:r>
            <w:r>
              <w:rPr>
                <w:b/>
                <w:sz w:val="18"/>
                <w:szCs w:val="18"/>
              </w:rPr>
              <w:t>*</w:t>
            </w:r>
            <w:r>
              <w:rPr>
                <w:b/>
                <w:sz w:val="18"/>
                <w:szCs w:val="18"/>
                <w:vertAlign w:val="superscript"/>
              </w:rPr>
              <w:t>)</w:t>
            </w:r>
            <w:r>
              <w:rPr>
                <w:sz w:val="18"/>
                <w:szCs w:val="18"/>
              </w:rPr>
              <w:t xml:space="preserve"> mensili).</w:t>
            </w:r>
          </w:p>
          <w:p>
            <w:pPr>
              <w:pStyle w:val="CorpoAltF0"/>
              <w:rPr>
                <w:highlight w:val="yellow"/>
              </w:rPr>
            </w:pPr>
          </w:p>
          <w:p>
            <w:pPr>
              <w:pStyle w:val="CorpoAltF0"/>
              <w:ind w:left="992" w:hanging="992"/>
              <w:jc w:val="left"/>
              <w:rPr>
                <w:b/>
                <w:sz w:val="18"/>
                <w:szCs w:val="18"/>
              </w:rPr>
            </w:pPr>
            <w:r>
              <w:rPr>
                <w:b/>
                <w:sz w:val="18"/>
                <w:szCs w:val="18"/>
              </w:rPr>
              <w:t xml:space="preserve">Importo B – </w:t>
            </w:r>
            <w:proofErr w:type="spellStart"/>
            <w:r>
              <w:rPr>
                <w:b/>
                <w:sz w:val="18"/>
                <w:szCs w:val="18"/>
              </w:rPr>
              <w:t>Retrib</w:t>
            </w:r>
            <w:proofErr w:type="spellEnd"/>
            <w:r>
              <w:rPr>
                <w:b/>
                <w:sz w:val="18"/>
                <w:szCs w:val="18"/>
              </w:rPr>
              <w:t>. parzialmente esenti</w:t>
            </w:r>
          </w:p>
          <w:p>
            <w:pPr>
              <w:pStyle w:val="CorpoAltF0"/>
              <w:spacing w:before="60"/>
              <w:rPr>
                <w:sz w:val="18"/>
                <w:szCs w:val="18"/>
              </w:rPr>
            </w:pPr>
            <w:r>
              <w:rPr>
                <w:sz w:val="18"/>
                <w:szCs w:val="18"/>
              </w:rPr>
              <w:t xml:space="preserve">In tale campo, tramite il tasto F6 è possibile visualizzare e/o inserire il dettaglio relativo alle retribuzioni parzialmente esenti (Fig. 2) con il codice della relativa tipologia (vedi pag. </w:t>
            </w:r>
            <w:r>
              <w:rPr>
                <w:sz w:val="18"/>
                <w:szCs w:val="18"/>
              </w:rPr>
              <w:fldChar w:fldCharType="begin"/>
            </w:r>
            <w:r>
              <w:rPr>
                <w:sz w:val="18"/>
                <w:szCs w:val="18"/>
              </w:rPr>
              <w:instrText xml:space="preserve"> PAGEREF CodiciRiduzioni \h </w:instrText>
            </w:r>
            <w:r>
              <w:rPr>
                <w:sz w:val="18"/>
                <w:szCs w:val="18"/>
              </w:rPr>
            </w:r>
            <w:r>
              <w:rPr>
                <w:sz w:val="18"/>
                <w:szCs w:val="18"/>
              </w:rPr>
              <w:fldChar w:fldCharType="separate"/>
            </w:r>
            <w:r>
              <w:rPr>
                <w:noProof/>
                <w:sz w:val="18"/>
                <w:szCs w:val="18"/>
              </w:rPr>
              <w:t>41</w:t>
            </w:r>
            <w:r>
              <w:rPr>
                <w:sz w:val="18"/>
                <w:szCs w:val="18"/>
              </w:rPr>
              <w:fldChar w:fldCharType="end"/>
            </w:r>
            <w:r>
              <w:rPr>
                <w:sz w:val="18"/>
                <w:szCs w:val="18"/>
              </w:rPr>
              <w:t>).</w:t>
            </w:r>
          </w:p>
          <w:p>
            <w:pPr>
              <w:pStyle w:val="CorpoAltF0"/>
              <w:rPr>
                <w:highlight w:val="yellow"/>
              </w:rPr>
            </w:pPr>
          </w:p>
          <w:p>
            <w:pPr>
              <w:pStyle w:val="CorpoAltF0"/>
              <w:rPr>
                <w:b/>
                <w:sz w:val="18"/>
                <w:szCs w:val="18"/>
              </w:rPr>
            </w:pPr>
            <w:r>
              <w:rPr>
                <w:b/>
                <w:sz w:val="18"/>
                <w:szCs w:val="18"/>
              </w:rPr>
              <w:t xml:space="preserve">Importo C - Retribuzione </w:t>
            </w:r>
            <w:proofErr w:type="spellStart"/>
            <w:r>
              <w:rPr>
                <w:b/>
                <w:sz w:val="18"/>
                <w:szCs w:val="18"/>
              </w:rPr>
              <w:t>Sil</w:t>
            </w:r>
            <w:proofErr w:type="spellEnd"/>
            <w:r>
              <w:rPr>
                <w:b/>
                <w:sz w:val="18"/>
                <w:szCs w:val="18"/>
              </w:rPr>
              <w:t>./</w:t>
            </w:r>
            <w:proofErr w:type="spellStart"/>
            <w:r>
              <w:rPr>
                <w:b/>
                <w:sz w:val="18"/>
                <w:szCs w:val="18"/>
              </w:rPr>
              <w:t>Asb</w:t>
            </w:r>
            <w:proofErr w:type="spellEnd"/>
            <w:r>
              <w:rPr>
                <w:b/>
                <w:sz w:val="18"/>
                <w:szCs w:val="18"/>
              </w:rPr>
              <w:t>:</w:t>
            </w:r>
          </w:p>
          <w:p>
            <w:pPr>
              <w:pStyle w:val="CorpoAltF0"/>
              <w:spacing w:before="60"/>
              <w:rPr>
                <w:sz w:val="18"/>
                <w:szCs w:val="18"/>
              </w:rPr>
            </w:pPr>
            <w:r>
              <w:rPr>
                <w:sz w:val="18"/>
                <w:szCs w:val="18"/>
              </w:rPr>
              <w:t>In tale campo viene riportata la parte della retribuzione relativa al premio silicosi/asbestosi.</w:t>
            </w:r>
          </w:p>
          <w:p>
            <w:pPr>
              <w:pStyle w:val="CorpoAltF0"/>
              <w:rPr>
                <w:sz w:val="18"/>
                <w:szCs w:val="18"/>
              </w:rPr>
            </w:pPr>
            <w:r>
              <w:rPr>
                <w:sz w:val="18"/>
                <w:szCs w:val="18"/>
              </w:rPr>
              <w:t xml:space="preserve">Nel campo </w:t>
            </w:r>
            <w:r>
              <w:rPr>
                <w:i/>
                <w:sz w:val="18"/>
                <w:szCs w:val="18"/>
              </w:rPr>
              <w:t>“Di cui soci”</w:t>
            </w:r>
            <w:r>
              <w:rPr>
                <w:sz w:val="18"/>
                <w:szCs w:val="18"/>
              </w:rPr>
              <w:t xml:space="preserve"> viene riportata la quota riferita ai Soci non artigiani.</w:t>
            </w:r>
          </w:p>
          <w:p>
            <w:pPr>
              <w:pStyle w:val="CorpoAltF0"/>
              <w:rPr>
                <w:sz w:val="18"/>
                <w:szCs w:val="18"/>
              </w:rPr>
            </w:pPr>
            <w:r>
              <w:rPr>
                <w:sz w:val="18"/>
                <w:szCs w:val="18"/>
              </w:rPr>
              <w:t xml:space="preserve">Nel campo </w:t>
            </w:r>
            <w:r>
              <w:rPr>
                <w:i/>
                <w:sz w:val="18"/>
                <w:szCs w:val="18"/>
              </w:rPr>
              <w:t>“Di cui edili”</w:t>
            </w:r>
            <w:r>
              <w:rPr>
                <w:sz w:val="18"/>
                <w:szCs w:val="18"/>
              </w:rPr>
              <w:t xml:space="preserve"> viene riportata la quota riferita ai dipendenti edili soggetti allo sconto Inail.</w:t>
            </w:r>
          </w:p>
          <w:p>
            <w:pPr>
              <w:pStyle w:val="CorpoAltF0"/>
              <w:rPr>
                <w:sz w:val="18"/>
                <w:szCs w:val="18"/>
              </w:rPr>
            </w:pPr>
            <w:r>
              <w:rPr>
                <w:sz w:val="18"/>
                <w:szCs w:val="18"/>
              </w:rPr>
              <w:t>La retribuzione complessiva per il calcolo dell’eventuale sconto edili è data dalla retribuzione imponibile dei dipendenti con posizione assicurativa “30” ed il relativo premio silicosi/asbestosi (se previsto).</w:t>
            </w:r>
          </w:p>
          <w:p>
            <w:pPr>
              <w:pStyle w:val="CorpoAltF0"/>
              <w:rPr>
                <w:sz w:val="18"/>
                <w:szCs w:val="18"/>
              </w:rPr>
            </w:pPr>
          </w:p>
          <w:p>
            <w:pPr>
              <w:pStyle w:val="CorpoAltF0"/>
              <w:rPr>
                <w:b/>
                <w:sz w:val="18"/>
                <w:szCs w:val="18"/>
              </w:rPr>
            </w:pPr>
            <w:r>
              <w:rPr>
                <w:b/>
                <w:sz w:val="18"/>
                <w:szCs w:val="18"/>
              </w:rPr>
              <w:t>Retribuzioni soggette a sconto:</w:t>
            </w:r>
          </w:p>
          <w:p>
            <w:pPr>
              <w:pStyle w:val="CorpoAltF0"/>
              <w:spacing w:before="60"/>
              <w:rPr>
                <w:b/>
                <w:sz w:val="18"/>
                <w:szCs w:val="18"/>
              </w:rPr>
            </w:pPr>
            <w:r>
              <w:rPr>
                <w:sz w:val="18"/>
                <w:szCs w:val="18"/>
              </w:rPr>
              <w:t xml:space="preserve">Al campo </w:t>
            </w:r>
            <w:r>
              <w:rPr>
                <w:i/>
                <w:sz w:val="18"/>
                <w:szCs w:val="18"/>
              </w:rPr>
              <w:t>“</w:t>
            </w:r>
            <w:r>
              <w:rPr>
                <w:b/>
                <w:i/>
                <w:sz w:val="18"/>
                <w:szCs w:val="18"/>
              </w:rPr>
              <w:t>Riduzioni contributive</w:t>
            </w:r>
            <w:r>
              <w:rPr>
                <w:i/>
                <w:sz w:val="18"/>
                <w:szCs w:val="18"/>
              </w:rPr>
              <w:t>”</w:t>
            </w:r>
            <w:r>
              <w:rPr>
                <w:sz w:val="18"/>
                <w:szCs w:val="18"/>
              </w:rPr>
              <w:t xml:space="preserve"> vanno riportate le retribuzioni soggette a sconto, con indicazione del relativo codice identificativo:</w:t>
            </w:r>
          </w:p>
          <w:p>
            <w:pPr>
              <w:pStyle w:val="CorpoAltF0"/>
              <w:rPr>
                <w:sz w:val="18"/>
                <w:szCs w:val="18"/>
              </w:rPr>
            </w:pPr>
            <w:r>
              <w:rPr>
                <w:b/>
                <w:sz w:val="18"/>
                <w:szCs w:val="18"/>
              </w:rPr>
              <w:t xml:space="preserve">1 = </w:t>
            </w:r>
            <w:r>
              <w:rPr>
                <w:sz w:val="18"/>
                <w:szCs w:val="18"/>
              </w:rPr>
              <w:t>sconto settore edilizia</w:t>
            </w:r>
          </w:p>
          <w:p>
            <w:pPr>
              <w:pStyle w:val="CorpoAltF0"/>
              <w:rPr>
                <w:sz w:val="18"/>
                <w:szCs w:val="18"/>
              </w:rPr>
            </w:pPr>
            <w:r>
              <w:rPr>
                <w:b/>
                <w:sz w:val="18"/>
                <w:szCs w:val="18"/>
              </w:rPr>
              <w:t xml:space="preserve">3 = </w:t>
            </w:r>
            <w:r>
              <w:rPr>
                <w:sz w:val="18"/>
                <w:szCs w:val="18"/>
              </w:rPr>
              <w:t>sconto settore pesca</w:t>
            </w:r>
          </w:p>
          <w:p>
            <w:pPr>
              <w:pStyle w:val="CorpoAltF0"/>
              <w:rPr>
                <w:sz w:val="18"/>
                <w:szCs w:val="18"/>
              </w:rPr>
            </w:pPr>
            <w:r>
              <w:rPr>
                <w:b/>
                <w:sz w:val="18"/>
                <w:szCs w:val="18"/>
              </w:rPr>
              <w:t xml:space="preserve">7 = </w:t>
            </w:r>
            <w:r>
              <w:rPr>
                <w:sz w:val="18"/>
                <w:szCs w:val="18"/>
              </w:rPr>
              <w:t>sconto sostegno della maternità e paternità</w:t>
            </w:r>
          </w:p>
          <w:p>
            <w:pPr>
              <w:pStyle w:val="CorpoAltF0"/>
              <w:spacing w:before="120"/>
              <w:ind w:left="356" w:hanging="356"/>
              <w:rPr>
                <w:sz w:val="18"/>
                <w:szCs w:val="18"/>
              </w:rPr>
            </w:pPr>
            <w:r>
              <w:rPr>
                <w:b/>
                <w:sz w:val="18"/>
                <w:szCs w:val="18"/>
              </w:rPr>
              <w:t xml:space="preserve">PS: </w:t>
            </w:r>
            <w:r>
              <w:rPr>
                <w:sz w:val="18"/>
                <w:szCs w:val="18"/>
              </w:rPr>
              <w:t>lo sconto per il settore artigiano non viene evidenziato nella presente sezione bensì all’interno della scelta 5 – “</w:t>
            </w:r>
            <w:r>
              <w:rPr>
                <w:i/>
                <w:sz w:val="18"/>
                <w:szCs w:val="18"/>
              </w:rPr>
              <w:t>Totali</w:t>
            </w:r>
            <w:r>
              <w:rPr>
                <w:sz w:val="18"/>
                <w:szCs w:val="18"/>
              </w:rPr>
              <w:t>” (v. pag. seguente).</w:t>
            </w:r>
          </w:p>
          <w:p>
            <w:pPr>
              <w:pStyle w:val="CorpoAltF0"/>
              <w:rPr>
                <w:sz w:val="18"/>
                <w:szCs w:val="18"/>
              </w:rPr>
            </w:pPr>
          </w:p>
          <w:p>
            <w:pPr>
              <w:pStyle w:val="CorpoAltF0"/>
              <w:rPr>
                <w:b/>
                <w:sz w:val="18"/>
                <w:szCs w:val="18"/>
              </w:rPr>
            </w:pPr>
            <w:r>
              <w:rPr>
                <w:b/>
                <w:sz w:val="18"/>
                <w:szCs w:val="18"/>
              </w:rPr>
              <w:t>Retribuzioni totalmente esenti (fig. 3):</w:t>
            </w:r>
          </w:p>
          <w:p>
            <w:pPr>
              <w:pStyle w:val="CorpoAltF0"/>
              <w:spacing w:before="60"/>
              <w:rPr>
                <w:sz w:val="18"/>
                <w:szCs w:val="18"/>
              </w:rPr>
            </w:pPr>
            <w:r>
              <w:rPr>
                <w:sz w:val="18"/>
                <w:szCs w:val="18"/>
              </w:rPr>
              <w:t>Nel campo “</w:t>
            </w:r>
            <w:r>
              <w:rPr>
                <w:i/>
                <w:sz w:val="18"/>
                <w:szCs w:val="18"/>
              </w:rPr>
              <w:t>Quote esenti 100%</w:t>
            </w:r>
            <w:r>
              <w:rPr>
                <w:sz w:val="18"/>
                <w:szCs w:val="18"/>
              </w:rPr>
              <w:t xml:space="preserve">” viene evidenziato l’importo complessivo delle retribuzioni dei dipendenti con agevolazione totale dei contributi; tramite il tasto F6 è possibile visualizzare e/o inserire il dettaglio di tali retribuzioni per singola tipologia prevista (attualmente non previste; v. pag. </w:t>
            </w:r>
            <w:r>
              <w:rPr>
                <w:sz w:val="18"/>
                <w:szCs w:val="18"/>
              </w:rPr>
              <w:fldChar w:fldCharType="begin"/>
            </w:r>
            <w:r>
              <w:rPr>
                <w:sz w:val="18"/>
                <w:szCs w:val="18"/>
              </w:rPr>
              <w:instrText xml:space="preserve"> PAGEREF CodiciRiduzioni \h </w:instrText>
            </w:r>
            <w:r>
              <w:rPr>
                <w:sz w:val="18"/>
                <w:szCs w:val="18"/>
              </w:rPr>
            </w:r>
            <w:r>
              <w:rPr>
                <w:sz w:val="18"/>
                <w:szCs w:val="18"/>
              </w:rPr>
              <w:fldChar w:fldCharType="separate"/>
            </w:r>
            <w:r>
              <w:rPr>
                <w:noProof/>
                <w:sz w:val="18"/>
                <w:szCs w:val="18"/>
              </w:rPr>
              <w:t>41</w:t>
            </w:r>
            <w:r>
              <w:rPr>
                <w:sz w:val="18"/>
                <w:szCs w:val="18"/>
              </w:rPr>
              <w:fldChar w:fldCharType="end"/>
            </w:r>
            <w:r>
              <w:rPr>
                <w:sz w:val="18"/>
                <w:szCs w:val="18"/>
              </w:rPr>
              <w:t>)</w:t>
            </w:r>
          </w:p>
          <w:p>
            <w:pPr>
              <w:pStyle w:val="CorpoAltF0"/>
              <w:rPr>
                <w:sz w:val="18"/>
                <w:szCs w:val="18"/>
                <w:highlight w:val="yellow"/>
              </w:rPr>
            </w:pPr>
          </w:p>
          <w:p>
            <w:pPr>
              <w:pStyle w:val="CorpoAltF0"/>
              <w:rPr>
                <w:b/>
                <w:sz w:val="18"/>
                <w:szCs w:val="18"/>
              </w:rPr>
            </w:pPr>
            <w:r>
              <w:rPr>
                <w:b/>
                <w:sz w:val="18"/>
                <w:szCs w:val="18"/>
              </w:rPr>
              <w:t>Autoriduzione del premio</w:t>
            </w:r>
          </w:p>
          <w:p>
            <w:pPr>
              <w:pStyle w:val="CorpoAltF0"/>
              <w:spacing w:before="60"/>
              <w:rPr>
                <w:sz w:val="18"/>
                <w:szCs w:val="18"/>
              </w:rPr>
            </w:pPr>
            <w:r>
              <w:rPr>
                <w:sz w:val="18"/>
                <w:szCs w:val="18"/>
              </w:rPr>
              <w:t>Nella sezione “</w:t>
            </w:r>
            <w:r>
              <w:rPr>
                <w:i/>
                <w:sz w:val="18"/>
                <w:szCs w:val="18"/>
              </w:rPr>
              <w:t>Denuncia delle retribuzioni corrisposte</w:t>
            </w:r>
            <w:r>
              <w:rPr>
                <w:sz w:val="18"/>
                <w:szCs w:val="18"/>
              </w:rPr>
              <w:t>”, inoltre, è possibile effettuare l’autoriduzione della rata da anticipare per l’anno in corso intervenendo ai campi "</w:t>
            </w:r>
            <w:r>
              <w:rPr>
                <w:i/>
                <w:sz w:val="18"/>
                <w:szCs w:val="18"/>
              </w:rPr>
              <w:t>Importo A per rata</w:t>
            </w:r>
            <w:r>
              <w:rPr>
                <w:sz w:val="18"/>
                <w:szCs w:val="18"/>
              </w:rPr>
              <w:t>" e "</w:t>
            </w:r>
            <w:r>
              <w:rPr>
                <w:i/>
                <w:sz w:val="18"/>
                <w:szCs w:val="18"/>
              </w:rPr>
              <w:t>Importo B per rata</w:t>
            </w:r>
            <w:r>
              <w:rPr>
                <w:sz w:val="18"/>
                <w:szCs w:val="18"/>
              </w:rPr>
              <w:t>".</w:t>
            </w:r>
          </w:p>
          <w:p>
            <w:pPr>
              <w:pStyle w:val="CorpoAltF0"/>
              <w:rPr>
                <w:sz w:val="18"/>
                <w:szCs w:val="18"/>
              </w:rPr>
            </w:pPr>
          </w:p>
          <w:p>
            <w:pPr>
              <w:pStyle w:val="CorpoAltF0"/>
              <w:rPr>
                <w:b/>
                <w:sz w:val="18"/>
                <w:szCs w:val="18"/>
              </w:rPr>
            </w:pPr>
            <w:r>
              <w:rPr>
                <w:b/>
                <w:sz w:val="18"/>
                <w:szCs w:val="18"/>
              </w:rPr>
              <w:t>Funzione di “</w:t>
            </w:r>
            <w:r>
              <w:rPr>
                <w:b/>
                <w:i/>
                <w:sz w:val="18"/>
                <w:szCs w:val="18"/>
              </w:rPr>
              <w:t>Blocco ricalcolo</w:t>
            </w:r>
            <w:r>
              <w:rPr>
                <w:b/>
                <w:sz w:val="18"/>
                <w:szCs w:val="18"/>
              </w:rPr>
              <w:t>”</w:t>
            </w:r>
          </w:p>
          <w:p>
            <w:pPr>
              <w:pStyle w:val="CorpoAltF0"/>
              <w:spacing w:before="60"/>
              <w:rPr>
                <w:sz w:val="18"/>
              </w:rPr>
            </w:pPr>
            <w:r>
              <w:rPr>
                <w:sz w:val="18"/>
              </w:rPr>
              <w:t>Per evitare che le informazioni eventualmente corrette rispetto a quelle trasferite dal ricalcolo vengano modificate da un successivo prelievo, è possibile selezionare il pulsante “</w:t>
            </w:r>
            <w:r>
              <w:rPr>
                <w:i/>
                <w:sz w:val="18"/>
              </w:rPr>
              <w:t>Blocco ricalcolo</w:t>
            </w:r>
            <w:r>
              <w:rPr>
                <w:sz w:val="18"/>
              </w:rPr>
              <w:t xml:space="preserve">” presente nella parte inferiore della videata; in tal caso, nella parte superiore verrà </w:t>
            </w:r>
            <w:r>
              <w:rPr>
                <w:sz w:val="18"/>
              </w:rPr>
              <w:lastRenderedPageBreak/>
              <w:t>evidenziata la dicitura “</w:t>
            </w:r>
            <w:r>
              <w:rPr>
                <w:i/>
                <w:sz w:val="18"/>
              </w:rPr>
              <w:t>Manuale</w:t>
            </w:r>
            <w:r>
              <w:rPr>
                <w:sz w:val="18"/>
              </w:rPr>
              <w:t>” in luogo di “</w:t>
            </w:r>
            <w:r>
              <w:rPr>
                <w:i/>
                <w:sz w:val="18"/>
              </w:rPr>
              <w:t>Automatico</w:t>
            </w:r>
            <w:r>
              <w:rPr>
                <w:sz w:val="18"/>
              </w:rPr>
              <w:t>”.</w:t>
            </w:r>
          </w:p>
          <w:p>
            <w:pPr>
              <w:pStyle w:val="CorpoAltF0"/>
              <w:ind w:left="142"/>
              <w:rPr>
                <w:highlight w:val="yellow"/>
              </w:rPr>
            </w:pPr>
          </w:p>
        </w:tc>
        <w:tc>
          <w:tcPr>
            <w:tcW w:w="5616" w:type="dxa"/>
            <w:shd w:val="clear" w:color="auto" w:fill="auto"/>
          </w:tcPr>
          <w:p>
            <w:pPr>
              <w:pStyle w:val="CorpoAltF0"/>
              <w:rPr>
                <w:highlight w:val="yellow"/>
              </w:rPr>
            </w:pPr>
          </w:p>
          <w:p>
            <w:pPr>
              <w:pStyle w:val="CorpoAltF0"/>
            </w:pPr>
            <w:r>
              <w:rPr>
                <w:noProof/>
              </w:rPr>
              <w:drawing>
                <wp:inline distT="0" distB="0" distL="0" distR="0">
                  <wp:extent cx="3420000" cy="1851036"/>
                  <wp:effectExtent l="0" t="0" r="9525"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420000" cy="1851036"/>
                          </a:xfrm>
                          <a:prstGeom prst="rect">
                            <a:avLst/>
                          </a:prstGeom>
                        </pic:spPr>
                      </pic:pic>
                    </a:graphicData>
                  </a:graphic>
                </wp:inline>
              </w:drawing>
            </w:r>
          </w:p>
          <w:p>
            <w:pPr>
              <w:pStyle w:val="CorpoAltF0"/>
              <w:ind w:left="156"/>
            </w:pPr>
            <w:r>
              <w:rPr>
                <w:sz w:val="18"/>
                <w:szCs w:val="18"/>
              </w:rPr>
              <w:t>Fig. 1</w:t>
            </w: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pPr>
          </w:p>
          <w:p>
            <w:pPr>
              <w:pStyle w:val="CorpoAltF0"/>
              <w:rPr>
                <w:sz w:val="18"/>
                <w:szCs w:val="18"/>
              </w:rPr>
            </w:pPr>
            <w:r>
              <w:rPr>
                <w:b/>
                <w:sz w:val="18"/>
                <w:szCs w:val="18"/>
                <w:vertAlign w:val="superscript"/>
              </w:rPr>
              <w:t>(</w:t>
            </w:r>
            <w:r>
              <w:rPr>
                <w:b/>
                <w:sz w:val="18"/>
                <w:szCs w:val="18"/>
              </w:rPr>
              <w:t>*</w:t>
            </w:r>
            <w:r>
              <w:rPr>
                <w:b/>
                <w:sz w:val="18"/>
                <w:szCs w:val="18"/>
                <w:vertAlign w:val="superscript"/>
              </w:rPr>
              <w:t>)</w:t>
            </w:r>
            <w:r>
              <w:rPr>
                <w:sz w:val="18"/>
                <w:szCs w:val="18"/>
              </w:rPr>
              <w:t xml:space="preserve"> Come precisato nella Circolare INAIL n. 21 del 27.03.2014 (punto 5, nota 27), i giorni di effettiva presenza da considerare ai fini della determinazione dell’imponibile convenzionale, devono essere determinati considerando i giorni in cui il lavoratore viene retribuito in forza di legge o di contratto, pur non essendo fisicamente presente al lavoro (giorni di ferie, permessi retribuiti, ecc.). Pertanto, la retribuzione convenzionale imponibile INAIL viene determinata in proporzione ai giorni/ore retribuiti (giorni/ore INPS) in luogo delle giornate effettivamente lavorate (giorni INAIL).</w:t>
            </w:r>
          </w:p>
          <w:p>
            <w:pPr>
              <w:pStyle w:val="CorpoAltF0"/>
              <w:rPr>
                <w:sz w:val="18"/>
                <w:szCs w:val="18"/>
              </w:rPr>
            </w:pPr>
          </w:p>
          <w:p>
            <w:pPr>
              <w:pStyle w:val="CorpoAltF0"/>
              <w:rPr>
                <w:sz w:val="18"/>
                <w:szCs w:val="18"/>
              </w:rPr>
            </w:pPr>
          </w:p>
          <w:p>
            <w:pPr>
              <w:pStyle w:val="CorpoAltF0"/>
              <w:rPr>
                <w:sz w:val="18"/>
                <w:szCs w:val="18"/>
              </w:rPr>
            </w:pPr>
            <w:r>
              <w:rPr>
                <w:noProof/>
              </w:rPr>
              <w:drawing>
                <wp:inline distT="0" distB="0" distL="0" distR="0">
                  <wp:extent cx="3420000" cy="1429524"/>
                  <wp:effectExtent l="0" t="0" r="9525" b="0"/>
                  <wp:docPr id="147" name="Immagin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420000" cy="1429524"/>
                          </a:xfrm>
                          <a:prstGeom prst="rect">
                            <a:avLst/>
                          </a:prstGeom>
                        </pic:spPr>
                      </pic:pic>
                    </a:graphicData>
                  </a:graphic>
                </wp:inline>
              </w:drawing>
            </w:r>
          </w:p>
          <w:p>
            <w:pPr>
              <w:pStyle w:val="CorpoAltF0"/>
              <w:ind w:left="65"/>
            </w:pPr>
            <w:r>
              <w:rPr>
                <w:sz w:val="18"/>
                <w:szCs w:val="18"/>
              </w:rPr>
              <w:t>Fig. 2</w:t>
            </w: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rPr>
                <w:highlight w:val="yellow"/>
              </w:rPr>
            </w:pPr>
          </w:p>
          <w:p>
            <w:pPr>
              <w:pStyle w:val="CorpoAltF0"/>
            </w:pPr>
          </w:p>
          <w:p>
            <w:pPr>
              <w:pStyle w:val="CorpoAltF0"/>
            </w:pPr>
            <w:r>
              <w:rPr>
                <w:noProof/>
              </w:rPr>
              <w:drawing>
                <wp:inline distT="0" distB="0" distL="0" distR="0">
                  <wp:extent cx="3420000" cy="822092"/>
                  <wp:effectExtent l="0" t="0" r="0" b="0"/>
                  <wp:docPr id="148" name="Immagin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420000" cy="822092"/>
                          </a:xfrm>
                          <a:prstGeom prst="rect">
                            <a:avLst/>
                          </a:prstGeom>
                        </pic:spPr>
                      </pic:pic>
                    </a:graphicData>
                  </a:graphic>
                </wp:inline>
              </w:drawing>
            </w:r>
          </w:p>
          <w:p>
            <w:pPr>
              <w:pStyle w:val="CorpoAltF0"/>
              <w:ind w:left="65"/>
            </w:pPr>
            <w:r>
              <w:rPr>
                <w:sz w:val="18"/>
                <w:szCs w:val="18"/>
              </w:rPr>
              <w:t>Fig. 3</w:t>
            </w:r>
          </w:p>
          <w:p>
            <w:pPr>
              <w:pStyle w:val="CorpoAltF0"/>
              <w:rPr>
                <w:highlight w:val="yellow"/>
              </w:rPr>
            </w:pPr>
          </w:p>
        </w:tc>
      </w:tr>
    </w:tbl>
    <w:p>
      <w:pPr>
        <w:pStyle w:val="CorpoAltF0"/>
        <w:rPr>
          <w:highlight w:val="yellow"/>
        </w:rPr>
      </w:pPr>
    </w:p>
    <w:p>
      <w:pPr>
        <w:pStyle w:val="CorpoAltF0"/>
        <w:rPr>
          <w:highlight w:val="yellow"/>
        </w:rPr>
      </w:pPr>
    </w:p>
    <w:p>
      <w:pPr>
        <w:pStyle w:val="TS-titolo-05"/>
      </w:pPr>
      <w:bookmarkStart w:id="61" w:name="_Toc471235859"/>
      <w:bookmarkStart w:id="62" w:name="_Toc6329825"/>
      <w:r>
        <w:t>Totali</w:t>
      </w:r>
      <w:bookmarkEnd w:id="61"/>
      <w:bookmarkEnd w:id="62"/>
    </w:p>
    <w:tbl>
      <w:tblPr>
        <w:tblW w:w="99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1"/>
        <w:gridCol w:w="5616"/>
      </w:tblGrid>
      <w:tr>
        <w:tc>
          <w:tcPr>
            <w:tcW w:w="4447" w:type="dxa"/>
            <w:shd w:val="clear" w:color="auto" w:fill="auto"/>
          </w:tcPr>
          <w:p>
            <w:pPr>
              <w:pStyle w:val="CorpoAltF0"/>
              <w:rPr>
                <w:sz w:val="18"/>
                <w:szCs w:val="18"/>
                <w:highlight w:val="yellow"/>
              </w:rPr>
            </w:pPr>
          </w:p>
          <w:p>
            <w:pPr>
              <w:pStyle w:val="CorpoAltF0"/>
              <w:numPr>
                <w:ilvl w:val="0"/>
                <w:numId w:val="12"/>
              </w:numPr>
              <w:ind w:left="284" w:hanging="284"/>
              <w:rPr>
                <w:b/>
                <w:sz w:val="18"/>
                <w:szCs w:val="18"/>
              </w:rPr>
            </w:pPr>
            <w:r>
              <w:rPr>
                <w:b/>
                <w:sz w:val="18"/>
                <w:szCs w:val="18"/>
              </w:rPr>
              <w:t>Risultanze del calcolo sulla PAT</w:t>
            </w:r>
          </w:p>
          <w:p>
            <w:pPr>
              <w:pStyle w:val="CorpoAltF0"/>
              <w:spacing w:before="120"/>
              <w:rPr>
                <w:sz w:val="18"/>
                <w:szCs w:val="18"/>
              </w:rPr>
            </w:pPr>
            <w:r>
              <w:rPr>
                <w:sz w:val="18"/>
                <w:szCs w:val="18"/>
              </w:rPr>
              <w:t>Pagina di visualizzazione dei totali dei premi per rata e regolazione per ogni singola PAT. Gli importi vengono totalizzati nella pagina “</w:t>
            </w:r>
            <w:r>
              <w:rPr>
                <w:i/>
                <w:sz w:val="18"/>
                <w:szCs w:val="18"/>
              </w:rPr>
              <w:t>Liquidazione</w:t>
            </w:r>
            <w:r>
              <w:rPr>
                <w:sz w:val="18"/>
                <w:szCs w:val="18"/>
              </w:rPr>
              <w:t xml:space="preserve"> </w:t>
            </w:r>
            <w:r>
              <w:rPr>
                <w:i/>
                <w:sz w:val="18"/>
                <w:szCs w:val="18"/>
              </w:rPr>
              <w:t>dei</w:t>
            </w:r>
            <w:r>
              <w:rPr>
                <w:sz w:val="18"/>
                <w:szCs w:val="18"/>
              </w:rPr>
              <w:t xml:space="preserve"> </w:t>
            </w:r>
            <w:r>
              <w:rPr>
                <w:i/>
                <w:sz w:val="18"/>
                <w:szCs w:val="18"/>
              </w:rPr>
              <w:t>premi</w:t>
            </w:r>
            <w:r>
              <w:rPr>
                <w:sz w:val="18"/>
                <w:szCs w:val="18"/>
              </w:rPr>
              <w:t>” per tutte le PAT dell’azienda.</w:t>
            </w:r>
          </w:p>
          <w:p>
            <w:pPr>
              <w:pStyle w:val="CorpoAltF0"/>
              <w:spacing w:before="120"/>
              <w:rPr>
                <w:sz w:val="18"/>
                <w:szCs w:val="18"/>
              </w:rPr>
            </w:pPr>
            <w:r>
              <w:rPr>
                <w:sz w:val="18"/>
                <w:szCs w:val="18"/>
              </w:rPr>
              <w:t>Di seguito si riporta il dettaglio dei campi utilizzati nella determinazione del “</w:t>
            </w:r>
            <w:r>
              <w:rPr>
                <w:i/>
                <w:sz w:val="18"/>
                <w:szCs w:val="18"/>
              </w:rPr>
              <w:t>Totale premio Inail</w:t>
            </w:r>
            <w:r>
              <w:rPr>
                <w:sz w:val="18"/>
                <w:szCs w:val="18"/>
              </w:rPr>
              <w:t>”:</w:t>
            </w:r>
          </w:p>
          <w:p>
            <w:pPr>
              <w:pStyle w:val="CorpoAltF0"/>
              <w:spacing w:before="120"/>
              <w:rPr>
                <w:sz w:val="18"/>
                <w:szCs w:val="18"/>
              </w:rPr>
            </w:pPr>
            <w:r>
              <w:rPr>
                <w:b/>
                <w:i/>
                <w:sz w:val="18"/>
                <w:szCs w:val="18"/>
              </w:rPr>
              <w:t>Premio infortuni e M.P.</w:t>
            </w:r>
            <w:r>
              <w:rPr>
                <w:b/>
                <w:sz w:val="18"/>
                <w:szCs w:val="18"/>
              </w:rPr>
              <w:t>:</w:t>
            </w:r>
          </w:p>
          <w:p>
            <w:pPr>
              <w:pStyle w:val="CorpoAltF0"/>
              <w:ind w:left="284"/>
              <w:rPr>
                <w:b/>
                <w:sz w:val="18"/>
                <w:szCs w:val="18"/>
              </w:rPr>
            </w:pPr>
            <w:r>
              <w:rPr>
                <w:sz w:val="18"/>
                <w:szCs w:val="18"/>
              </w:rPr>
              <w:t>in tale campo viene riportato in sola visualizzazione il premio infortuni al lordo delle eventuali agevolazioni indicate al campo successivo;</w:t>
            </w:r>
          </w:p>
          <w:p>
            <w:pPr>
              <w:pStyle w:val="CorpoAltF0"/>
              <w:spacing w:before="120"/>
              <w:rPr>
                <w:sz w:val="18"/>
                <w:szCs w:val="18"/>
              </w:rPr>
            </w:pPr>
            <w:r>
              <w:rPr>
                <w:b/>
                <w:i/>
                <w:sz w:val="18"/>
                <w:szCs w:val="18"/>
              </w:rPr>
              <w:t xml:space="preserve">Agevolazioni </w:t>
            </w:r>
            <w:proofErr w:type="gramStart"/>
            <w:r>
              <w:rPr>
                <w:b/>
                <w:i/>
                <w:sz w:val="18"/>
                <w:szCs w:val="18"/>
              </w:rPr>
              <w:t>I°</w:t>
            </w:r>
            <w:proofErr w:type="gramEnd"/>
            <w:r>
              <w:rPr>
                <w:b/>
                <w:i/>
                <w:sz w:val="18"/>
                <w:szCs w:val="18"/>
              </w:rPr>
              <w:t xml:space="preserve"> periodo</w:t>
            </w:r>
            <w:r>
              <w:rPr>
                <w:b/>
                <w:sz w:val="18"/>
                <w:szCs w:val="18"/>
              </w:rPr>
              <w:t>:</w:t>
            </w:r>
          </w:p>
          <w:p>
            <w:pPr>
              <w:pStyle w:val="CorpoAltF0"/>
              <w:ind w:left="284"/>
              <w:rPr>
                <w:sz w:val="18"/>
                <w:szCs w:val="18"/>
              </w:rPr>
            </w:pPr>
            <w:r>
              <w:rPr>
                <w:sz w:val="18"/>
                <w:szCs w:val="18"/>
              </w:rPr>
              <w:t>in tale campo viene riportato in sola visualizzazione l’importo dell’eventuale agevolazione determinata in base alla percentuale indicata al campo “</w:t>
            </w:r>
            <w:r>
              <w:rPr>
                <w:i/>
                <w:sz w:val="18"/>
                <w:szCs w:val="18"/>
              </w:rPr>
              <w:t>% Agevolazione</w:t>
            </w:r>
            <w:r>
              <w:rPr>
                <w:sz w:val="18"/>
                <w:szCs w:val="18"/>
              </w:rPr>
              <w:t>” della sezione “</w:t>
            </w:r>
            <w:r>
              <w:rPr>
                <w:i/>
                <w:sz w:val="18"/>
                <w:szCs w:val="18"/>
              </w:rPr>
              <w:t>Tasso Inail e periodi</w:t>
            </w:r>
            <w:r>
              <w:rPr>
                <w:sz w:val="18"/>
                <w:szCs w:val="18"/>
              </w:rPr>
              <w:t>” della “</w:t>
            </w:r>
            <w:r>
              <w:rPr>
                <w:i/>
                <w:sz w:val="18"/>
                <w:szCs w:val="18"/>
              </w:rPr>
              <w:t>Gestione PAT</w:t>
            </w:r>
            <w:r>
              <w:rPr>
                <w:sz w:val="18"/>
                <w:szCs w:val="18"/>
              </w:rPr>
              <w:t>”. Tale percentuale viene applicata sul premio (campo precedente) diminuito degli eventuali sconti contributivi indicati nei successivi campi “</w:t>
            </w:r>
            <w:r>
              <w:rPr>
                <w:i/>
                <w:sz w:val="18"/>
                <w:szCs w:val="18"/>
              </w:rPr>
              <w:t>Riduzioni contributive</w:t>
            </w:r>
            <w:r>
              <w:rPr>
                <w:sz w:val="18"/>
                <w:szCs w:val="18"/>
              </w:rPr>
              <w:t>” e “</w:t>
            </w:r>
            <w:r>
              <w:rPr>
                <w:i/>
                <w:sz w:val="18"/>
                <w:szCs w:val="18"/>
              </w:rPr>
              <w:t>Sconto artigiani</w:t>
            </w:r>
            <w:r>
              <w:rPr>
                <w:sz w:val="18"/>
                <w:szCs w:val="18"/>
              </w:rPr>
              <w:t>” (quest’ultimo considerato solo per la parte calcolata sul premio infortuni e non per la parte calcolata sul premio speciale artigiani);</w:t>
            </w:r>
          </w:p>
          <w:p>
            <w:pPr>
              <w:pStyle w:val="CorpoAltF0"/>
              <w:spacing w:before="120"/>
              <w:rPr>
                <w:sz w:val="18"/>
                <w:szCs w:val="18"/>
              </w:rPr>
            </w:pPr>
            <w:r>
              <w:rPr>
                <w:b/>
                <w:i/>
                <w:sz w:val="18"/>
                <w:szCs w:val="18"/>
              </w:rPr>
              <w:t>Premio al netto delle agevolazioni</w:t>
            </w:r>
            <w:r>
              <w:rPr>
                <w:b/>
                <w:sz w:val="18"/>
                <w:szCs w:val="18"/>
              </w:rPr>
              <w:t>:</w:t>
            </w:r>
          </w:p>
          <w:p>
            <w:pPr>
              <w:pStyle w:val="CorpoAltF0"/>
              <w:ind w:left="284"/>
              <w:rPr>
                <w:sz w:val="18"/>
                <w:szCs w:val="18"/>
              </w:rPr>
            </w:pPr>
            <w:r>
              <w:rPr>
                <w:sz w:val="18"/>
                <w:szCs w:val="18"/>
              </w:rPr>
              <w:t>in tale campo viene evidenziato il premio infortuni al netto delle eventuali agevolazioni (campo “</w:t>
            </w:r>
            <w:r>
              <w:rPr>
                <w:i/>
                <w:sz w:val="18"/>
                <w:szCs w:val="18"/>
              </w:rPr>
              <w:t>Premio infortuni e M.P.</w:t>
            </w:r>
            <w:r>
              <w:rPr>
                <w:sz w:val="18"/>
                <w:szCs w:val="18"/>
              </w:rPr>
              <w:t>” – campo “</w:t>
            </w:r>
            <w:r>
              <w:rPr>
                <w:i/>
                <w:sz w:val="18"/>
                <w:szCs w:val="18"/>
              </w:rPr>
              <w:t xml:space="preserve">Agevolazioni </w:t>
            </w:r>
            <w:proofErr w:type="gramStart"/>
            <w:r>
              <w:rPr>
                <w:i/>
                <w:sz w:val="18"/>
                <w:szCs w:val="18"/>
              </w:rPr>
              <w:t>I°</w:t>
            </w:r>
            <w:proofErr w:type="gramEnd"/>
            <w:r>
              <w:rPr>
                <w:i/>
                <w:sz w:val="18"/>
                <w:szCs w:val="18"/>
              </w:rPr>
              <w:t xml:space="preserve"> periodo</w:t>
            </w:r>
            <w:r>
              <w:rPr>
                <w:sz w:val="18"/>
                <w:szCs w:val="18"/>
              </w:rPr>
              <w:t>”);</w:t>
            </w:r>
          </w:p>
          <w:p>
            <w:pPr>
              <w:pStyle w:val="CorpoAltF0"/>
              <w:spacing w:before="120"/>
              <w:rPr>
                <w:sz w:val="18"/>
                <w:szCs w:val="18"/>
              </w:rPr>
            </w:pPr>
            <w:r>
              <w:rPr>
                <w:b/>
                <w:i/>
                <w:sz w:val="18"/>
                <w:szCs w:val="18"/>
              </w:rPr>
              <w:t>Eventuale</w:t>
            </w:r>
            <w:r>
              <w:rPr>
                <w:i/>
                <w:sz w:val="18"/>
                <w:szCs w:val="18"/>
              </w:rPr>
              <w:t xml:space="preserve"> </w:t>
            </w:r>
            <w:r>
              <w:rPr>
                <w:b/>
                <w:i/>
                <w:sz w:val="18"/>
                <w:szCs w:val="18"/>
              </w:rPr>
              <w:t>secondo</w:t>
            </w:r>
            <w:r>
              <w:rPr>
                <w:i/>
                <w:sz w:val="18"/>
                <w:szCs w:val="18"/>
              </w:rPr>
              <w:t xml:space="preserve"> </w:t>
            </w:r>
            <w:r>
              <w:rPr>
                <w:b/>
                <w:i/>
                <w:sz w:val="18"/>
                <w:szCs w:val="18"/>
              </w:rPr>
              <w:t>periodo</w:t>
            </w:r>
            <w:r>
              <w:rPr>
                <w:b/>
                <w:sz w:val="18"/>
                <w:szCs w:val="18"/>
              </w:rPr>
              <w:t>:</w:t>
            </w:r>
          </w:p>
          <w:p>
            <w:pPr>
              <w:pStyle w:val="CorpoAltF0"/>
              <w:rPr>
                <w:b/>
                <w:sz w:val="18"/>
                <w:szCs w:val="18"/>
              </w:rPr>
            </w:pPr>
            <w:r>
              <w:rPr>
                <w:b/>
                <w:i/>
                <w:sz w:val="18"/>
                <w:szCs w:val="18"/>
              </w:rPr>
              <w:t xml:space="preserve">Agevolazioni </w:t>
            </w:r>
            <w:proofErr w:type="gramStart"/>
            <w:r>
              <w:rPr>
                <w:b/>
                <w:i/>
                <w:sz w:val="18"/>
                <w:szCs w:val="18"/>
              </w:rPr>
              <w:t>II°</w:t>
            </w:r>
            <w:proofErr w:type="gramEnd"/>
            <w:r>
              <w:rPr>
                <w:b/>
                <w:i/>
                <w:sz w:val="18"/>
                <w:szCs w:val="18"/>
              </w:rPr>
              <w:t xml:space="preserve"> periodo</w:t>
            </w:r>
            <w:r>
              <w:rPr>
                <w:b/>
                <w:sz w:val="18"/>
                <w:szCs w:val="18"/>
              </w:rPr>
              <w:t>:</w:t>
            </w:r>
          </w:p>
          <w:p>
            <w:pPr>
              <w:pStyle w:val="CorpoAltF0"/>
              <w:rPr>
                <w:b/>
                <w:sz w:val="18"/>
                <w:szCs w:val="18"/>
              </w:rPr>
            </w:pPr>
            <w:r>
              <w:rPr>
                <w:b/>
                <w:i/>
                <w:sz w:val="18"/>
                <w:szCs w:val="18"/>
              </w:rPr>
              <w:t>Secondo periodo al netto delle agevolazioni</w:t>
            </w:r>
            <w:r>
              <w:rPr>
                <w:b/>
                <w:sz w:val="18"/>
                <w:szCs w:val="18"/>
              </w:rPr>
              <w:t>:</w:t>
            </w:r>
          </w:p>
          <w:p>
            <w:pPr>
              <w:pStyle w:val="CorpoAltF0"/>
              <w:ind w:left="284"/>
              <w:rPr>
                <w:sz w:val="18"/>
                <w:szCs w:val="18"/>
              </w:rPr>
            </w:pPr>
            <w:r>
              <w:rPr>
                <w:sz w:val="18"/>
                <w:szCs w:val="18"/>
              </w:rPr>
              <w:t xml:space="preserve">tali campi sono analoghi ai precedenti, con riferimento al </w:t>
            </w:r>
            <w:proofErr w:type="gramStart"/>
            <w:r>
              <w:rPr>
                <w:sz w:val="18"/>
                <w:szCs w:val="18"/>
              </w:rPr>
              <w:t>II°</w:t>
            </w:r>
            <w:proofErr w:type="gramEnd"/>
            <w:r>
              <w:rPr>
                <w:sz w:val="18"/>
                <w:szCs w:val="18"/>
              </w:rPr>
              <w:t xml:space="preserve"> periodo eventualmente impostato nella sezione “</w:t>
            </w:r>
            <w:r>
              <w:rPr>
                <w:i/>
                <w:sz w:val="18"/>
                <w:szCs w:val="18"/>
              </w:rPr>
              <w:t>Tasso Inail e periodi</w:t>
            </w:r>
            <w:r>
              <w:rPr>
                <w:sz w:val="18"/>
                <w:szCs w:val="18"/>
              </w:rPr>
              <w:t>” della “</w:t>
            </w:r>
            <w:r>
              <w:rPr>
                <w:i/>
                <w:sz w:val="18"/>
                <w:szCs w:val="18"/>
              </w:rPr>
              <w:t>Gestione PAT</w:t>
            </w:r>
            <w:r>
              <w:rPr>
                <w:sz w:val="18"/>
                <w:szCs w:val="18"/>
              </w:rPr>
              <w:t>”;</w:t>
            </w:r>
          </w:p>
          <w:p>
            <w:pPr>
              <w:pStyle w:val="CorpoAltF0"/>
              <w:spacing w:before="120"/>
              <w:rPr>
                <w:sz w:val="18"/>
                <w:szCs w:val="18"/>
              </w:rPr>
            </w:pPr>
            <w:r>
              <w:rPr>
                <w:b/>
                <w:i/>
                <w:sz w:val="18"/>
                <w:szCs w:val="18"/>
              </w:rPr>
              <w:t>Premio silicosi/asbestosi</w:t>
            </w:r>
            <w:r>
              <w:rPr>
                <w:b/>
                <w:sz w:val="18"/>
                <w:szCs w:val="18"/>
              </w:rPr>
              <w:t>:</w:t>
            </w:r>
          </w:p>
          <w:p>
            <w:pPr>
              <w:pStyle w:val="CorpoAltF0"/>
              <w:ind w:left="284"/>
              <w:rPr>
                <w:sz w:val="18"/>
                <w:szCs w:val="18"/>
              </w:rPr>
            </w:pPr>
            <w:r>
              <w:rPr>
                <w:sz w:val="18"/>
                <w:szCs w:val="18"/>
              </w:rPr>
              <w:t>importo del premio silicosi/asbestosi calcolato in caso di valorizzazione del campo “</w:t>
            </w:r>
            <w:r>
              <w:rPr>
                <w:i/>
                <w:sz w:val="18"/>
                <w:szCs w:val="18"/>
              </w:rPr>
              <w:t>Silicosi/Asbestosi</w:t>
            </w:r>
            <w:r>
              <w:rPr>
                <w:sz w:val="18"/>
                <w:szCs w:val="18"/>
              </w:rPr>
              <w:t>” della sezione “</w:t>
            </w:r>
            <w:r>
              <w:rPr>
                <w:i/>
                <w:sz w:val="18"/>
                <w:szCs w:val="18"/>
              </w:rPr>
              <w:t>Tasso Inail e periodi</w:t>
            </w:r>
            <w:r>
              <w:rPr>
                <w:sz w:val="18"/>
                <w:szCs w:val="18"/>
              </w:rPr>
              <w:t>”</w:t>
            </w:r>
            <w:r>
              <w:rPr>
                <w:i/>
                <w:sz w:val="18"/>
                <w:szCs w:val="18"/>
              </w:rPr>
              <w:t xml:space="preserve"> </w:t>
            </w:r>
            <w:r>
              <w:rPr>
                <w:sz w:val="18"/>
                <w:szCs w:val="18"/>
              </w:rPr>
              <w:t>(il contributo viene comunque calcolato solo sul premio di regolazione 2018).</w:t>
            </w:r>
          </w:p>
          <w:p>
            <w:pPr>
              <w:pStyle w:val="CorpoAltF0"/>
              <w:spacing w:before="120"/>
              <w:rPr>
                <w:b/>
                <w:sz w:val="18"/>
                <w:szCs w:val="18"/>
              </w:rPr>
            </w:pPr>
            <w:r>
              <w:rPr>
                <w:b/>
                <w:i/>
                <w:sz w:val="18"/>
                <w:szCs w:val="18"/>
              </w:rPr>
              <w:t>Riduzioni contributive</w:t>
            </w:r>
            <w:r>
              <w:rPr>
                <w:b/>
                <w:sz w:val="18"/>
                <w:szCs w:val="18"/>
              </w:rPr>
              <w:t>:</w:t>
            </w:r>
          </w:p>
          <w:p>
            <w:pPr>
              <w:pStyle w:val="CorpoAltF0"/>
              <w:ind w:left="284"/>
              <w:rPr>
                <w:sz w:val="18"/>
                <w:szCs w:val="18"/>
              </w:rPr>
            </w:pPr>
            <w:r>
              <w:rPr>
                <w:sz w:val="18"/>
                <w:szCs w:val="18"/>
              </w:rPr>
              <w:t>in tale campo viene riportato il totale degli sconti contributivi previsti (settore edile, pesca, sostegno maternità/paternità), nonché la riduzione spettante ai sensi dell’art.1, c. 128, L. 147/2013 evidenziata distintamente nei campi “</w:t>
            </w:r>
            <w:r>
              <w:rPr>
                <w:i/>
                <w:sz w:val="18"/>
                <w:szCs w:val="18"/>
              </w:rPr>
              <w:t>Sconto L. 147/13 reg.</w:t>
            </w:r>
            <w:r>
              <w:rPr>
                <w:sz w:val="18"/>
                <w:szCs w:val="18"/>
              </w:rPr>
              <w:t>” (a lato della sezione in oggetto).</w:t>
            </w:r>
          </w:p>
          <w:p>
            <w:pPr>
              <w:pStyle w:val="CorpoAltF0"/>
              <w:spacing w:before="120"/>
              <w:ind w:left="284"/>
              <w:rPr>
                <w:sz w:val="18"/>
                <w:szCs w:val="18"/>
              </w:rPr>
            </w:pPr>
            <w:r>
              <w:rPr>
                <w:sz w:val="18"/>
                <w:szCs w:val="18"/>
              </w:rPr>
              <w:t>Nei campi “</w:t>
            </w:r>
            <w:r>
              <w:rPr>
                <w:b/>
                <w:i/>
                <w:sz w:val="18"/>
                <w:szCs w:val="18"/>
              </w:rPr>
              <w:t>Sconto L. 147/13</w:t>
            </w:r>
            <w:r>
              <w:rPr>
                <w:sz w:val="18"/>
                <w:szCs w:val="18"/>
              </w:rPr>
              <w:t xml:space="preserve">” viene evidenziato l’importo della riduzione L. 147/13 sulla regolazione, suddiviso fra importo relativo al </w:t>
            </w:r>
            <w:r>
              <w:rPr>
                <w:sz w:val="18"/>
                <w:szCs w:val="18"/>
              </w:rPr>
              <w:lastRenderedPageBreak/>
              <w:t>premio dipendenti (</w:t>
            </w:r>
            <w:proofErr w:type="gramStart"/>
            <w:r>
              <w:rPr>
                <w:sz w:val="18"/>
                <w:szCs w:val="18"/>
              </w:rPr>
              <w:t>1°</w:t>
            </w:r>
            <w:proofErr w:type="gramEnd"/>
            <w:r>
              <w:rPr>
                <w:sz w:val="18"/>
                <w:szCs w:val="18"/>
              </w:rPr>
              <w:t xml:space="preserve"> campo) e importo relativo al premio speciale artigiani (2° campo); i valori evidenziati in tale campo sono un “</w:t>
            </w:r>
            <w:r>
              <w:rPr>
                <w:i/>
                <w:sz w:val="18"/>
                <w:szCs w:val="18"/>
              </w:rPr>
              <w:t>di cui</w:t>
            </w:r>
            <w:r>
              <w:rPr>
                <w:sz w:val="18"/>
                <w:szCs w:val="18"/>
              </w:rPr>
              <w:t>” del campo “</w:t>
            </w:r>
            <w:r>
              <w:rPr>
                <w:i/>
                <w:sz w:val="18"/>
                <w:szCs w:val="18"/>
              </w:rPr>
              <w:t>Riduzioni contributive</w:t>
            </w:r>
            <w:r>
              <w:rPr>
                <w:sz w:val="18"/>
                <w:szCs w:val="18"/>
              </w:rPr>
              <w:t>”.</w:t>
            </w:r>
          </w:p>
          <w:p>
            <w:pPr>
              <w:pStyle w:val="CorpoAltF0"/>
              <w:ind w:left="284"/>
              <w:rPr>
                <w:sz w:val="18"/>
                <w:szCs w:val="18"/>
                <w:highlight w:val="yellow"/>
              </w:rPr>
            </w:pPr>
            <w:r>
              <w:rPr>
                <w:sz w:val="18"/>
                <w:szCs w:val="18"/>
              </w:rPr>
              <w:t>La riduzione viene calcolata applicando la percentuale indicata nel campo “</w:t>
            </w:r>
            <w:r>
              <w:rPr>
                <w:i/>
                <w:sz w:val="18"/>
                <w:szCs w:val="18"/>
              </w:rPr>
              <w:t>Sconto L. 147/13 su regolazione</w:t>
            </w:r>
            <w:r>
              <w:rPr>
                <w:sz w:val="18"/>
                <w:szCs w:val="18"/>
              </w:rPr>
              <w:t xml:space="preserve">” di </w:t>
            </w:r>
            <w:r>
              <w:rPr>
                <w:b/>
                <w:sz w:val="18"/>
                <w:szCs w:val="18"/>
              </w:rPr>
              <w:t>TB0703</w:t>
            </w:r>
            <w:r>
              <w:rPr>
                <w:sz w:val="18"/>
                <w:szCs w:val="18"/>
              </w:rPr>
              <w:t>.</w:t>
            </w:r>
          </w:p>
          <w:p>
            <w:pPr>
              <w:pStyle w:val="CorpoAltF0"/>
              <w:ind w:left="284"/>
              <w:rPr>
                <w:sz w:val="18"/>
                <w:szCs w:val="18"/>
              </w:rPr>
            </w:pPr>
          </w:p>
          <w:p>
            <w:pPr>
              <w:pStyle w:val="CorpoAltF0"/>
              <w:ind w:left="284"/>
              <w:rPr>
                <w:sz w:val="18"/>
                <w:szCs w:val="18"/>
              </w:rPr>
            </w:pPr>
            <w:r>
              <w:rPr>
                <w:sz w:val="18"/>
                <w:szCs w:val="18"/>
              </w:rPr>
              <w:t>Tale percentuale di riduzione viene applicata come di seguito indicato:</w:t>
            </w:r>
          </w:p>
          <w:p>
            <w:pPr>
              <w:pStyle w:val="CorpoAltF0"/>
              <w:numPr>
                <w:ilvl w:val="0"/>
                <w:numId w:val="25"/>
              </w:numPr>
              <w:spacing w:before="120"/>
              <w:ind w:left="426" w:hanging="142"/>
              <w:rPr>
                <w:sz w:val="18"/>
                <w:szCs w:val="18"/>
              </w:rPr>
            </w:pPr>
            <w:r>
              <w:rPr>
                <w:sz w:val="18"/>
                <w:szCs w:val="18"/>
              </w:rPr>
              <w:t xml:space="preserve">con riferimento alla </w:t>
            </w:r>
            <w:r>
              <w:rPr>
                <w:sz w:val="18"/>
                <w:szCs w:val="18"/>
                <w:u w:val="single"/>
              </w:rPr>
              <w:t>polizza dipendenti</w:t>
            </w:r>
            <w:r>
              <w:rPr>
                <w:sz w:val="18"/>
                <w:szCs w:val="18"/>
              </w:rPr>
              <w:t>, viene applicata sul premio infortuni al netto degli eventuali sconti (edilizia, pesca, ecc.) e riduzioni (Campione d’Italia, cooperative L. 240/84 in zone svantaggiate o montane), nonché dell’eventuale riduzione artigiani (L. 296/96).</w:t>
            </w:r>
          </w:p>
          <w:p>
            <w:pPr>
              <w:pStyle w:val="CorpoAltF0"/>
              <w:ind w:left="426"/>
              <w:rPr>
                <w:sz w:val="18"/>
                <w:szCs w:val="18"/>
              </w:rPr>
            </w:pPr>
            <w:r>
              <w:rPr>
                <w:sz w:val="18"/>
                <w:szCs w:val="18"/>
              </w:rPr>
              <w:t>In presenza di premio per rischio silicosi/asbestosi, la riduzione L. 147/2013 viene calcolata anche su tale premio (sempre al netto dei relativi sconti).</w:t>
            </w:r>
          </w:p>
          <w:p>
            <w:pPr>
              <w:pStyle w:val="CorpoAltF0"/>
              <w:numPr>
                <w:ilvl w:val="0"/>
                <w:numId w:val="25"/>
              </w:numPr>
              <w:spacing w:before="120"/>
              <w:ind w:left="426" w:hanging="142"/>
              <w:rPr>
                <w:sz w:val="18"/>
                <w:szCs w:val="18"/>
              </w:rPr>
            </w:pPr>
            <w:r>
              <w:rPr>
                <w:sz w:val="18"/>
                <w:szCs w:val="18"/>
              </w:rPr>
              <w:t xml:space="preserve">con riferimento alla </w:t>
            </w:r>
            <w:r>
              <w:rPr>
                <w:sz w:val="18"/>
                <w:szCs w:val="18"/>
                <w:u w:val="single"/>
              </w:rPr>
              <w:t>polizza artigiani</w:t>
            </w:r>
            <w:r>
              <w:rPr>
                <w:sz w:val="18"/>
                <w:szCs w:val="18"/>
              </w:rPr>
              <w:t>, viene applicata sull’importo dovuto a titolo di regolazione/rata per le classi di rischio rientranti nell’agevolazione, al netto della eventuale riduzione artigiani L. 296/2006 (v. sezione “</w:t>
            </w:r>
            <w:r>
              <w:rPr>
                <w:i/>
                <w:iCs/>
                <w:sz w:val="18"/>
                <w:szCs w:val="18"/>
              </w:rPr>
              <w:t>Composizione nucleo artigiano</w:t>
            </w:r>
            <w:r>
              <w:rPr>
                <w:sz w:val="18"/>
                <w:szCs w:val="18"/>
              </w:rPr>
              <w:t>”).</w:t>
            </w:r>
          </w:p>
          <w:p>
            <w:pPr>
              <w:pStyle w:val="CorpoAltF0"/>
              <w:spacing w:before="120"/>
              <w:rPr>
                <w:sz w:val="18"/>
                <w:szCs w:val="18"/>
              </w:rPr>
            </w:pPr>
            <w:r>
              <w:rPr>
                <w:b/>
                <w:i/>
                <w:sz w:val="18"/>
                <w:szCs w:val="18"/>
              </w:rPr>
              <w:t>Premio speciale artigiani</w:t>
            </w:r>
            <w:r>
              <w:rPr>
                <w:b/>
                <w:sz w:val="18"/>
                <w:szCs w:val="18"/>
              </w:rPr>
              <w:t>:</w:t>
            </w:r>
          </w:p>
          <w:p>
            <w:pPr>
              <w:pStyle w:val="CorpoAltF0"/>
              <w:ind w:left="284"/>
              <w:rPr>
                <w:sz w:val="18"/>
                <w:szCs w:val="18"/>
              </w:rPr>
            </w:pPr>
            <w:r>
              <w:rPr>
                <w:sz w:val="18"/>
                <w:szCs w:val="18"/>
              </w:rPr>
              <w:t>importo del premio speciale unitario artigiani evidenziato nella sezione “</w:t>
            </w:r>
            <w:r>
              <w:rPr>
                <w:i/>
                <w:sz w:val="18"/>
                <w:szCs w:val="18"/>
              </w:rPr>
              <w:t>Composizione nucleo artigiani</w:t>
            </w:r>
            <w:r>
              <w:rPr>
                <w:sz w:val="18"/>
                <w:szCs w:val="18"/>
              </w:rPr>
              <w:t>” della “</w:t>
            </w:r>
            <w:r>
              <w:rPr>
                <w:i/>
                <w:sz w:val="18"/>
                <w:szCs w:val="18"/>
              </w:rPr>
              <w:t>Gestione PAT</w:t>
            </w:r>
            <w:r>
              <w:rPr>
                <w:sz w:val="18"/>
                <w:szCs w:val="18"/>
              </w:rPr>
              <w:t>”.</w:t>
            </w:r>
          </w:p>
          <w:p>
            <w:pPr>
              <w:pStyle w:val="CorpoAltF0"/>
              <w:spacing w:before="120"/>
              <w:rPr>
                <w:sz w:val="18"/>
                <w:szCs w:val="18"/>
              </w:rPr>
            </w:pPr>
            <w:r>
              <w:rPr>
                <w:b/>
                <w:i/>
                <w:sz w:val="18"/>
                <w:szCs w:val="18"/>
              </w:rPr>
              <w:t>Sconto artigiani</w:t>
            </w:r>
            <w:r>
              <w:rPr>
                <w:b/>
                <w:sz w:val="18"/>
                <w:szCs w:val="18"/>
              </w:rPr>
              <w:t>:</w:t>
            </w:r>
          </w:p>
          <w:p>
            <w:pPr>
              <w:pStyle w:val="CorpoAltF0"/>
              <w:ind w:left="284"/>
              <w:rPr>
                <w:sz w:val="18"/>
                <w:szCs w:val="18"/>
              </w:rPr>
            </w:pPr>
            <w:r>
              <w:rPr>
                <w:sz w:val="18"/>
                <w:szCs w:val="18"/>
              </w:rPr>
              <w:t>importo della riduzione prevista a favore delle aziende artigiane (7,09% su regolazione 2018).</w:t>
            </w:r>
          </w:p>
          <w:p>
            <w:pPr>
              <w:pStyle w:val="CorpoAltF0"/>
              <w:ind w:left="284"/>
              <w:rPr>
                <w:sz w:val="18"/>
                <w:szCs w:val="18"/>
              </w:rPr>
            </w:pPr>
            <w:r>
              <w:rPr>
                <w:sz w:val="18"/>
                <w:szCs w:val="18"/>
              </w:rPr>
              <w:t>Tale percentuale di riduzione viene applicata sull’importo del premio infortuni e premio silicosi/asbestosi (al lordo delle altre riduzioni contributive), nonché del premio speciale unitario.</w:t>
            </w:r>
          </w:p>
          <w:p>
            <w:pPr>
              <w:pStyle w:val="CorpoAltF0"/>
              <w:rPr>
                <w:sz w:val="18"/>
                <w:szCs w:val="18"/>
              </w:rPr>
            </w:pPr>
          </w:p>
          <w:p>
            <w:pPr>
              <w:pStyle w:val="CorpoAltF0"/>
              <w:rPr>
                <w:sz w:val="18"/>
                <w:szCs w:val="18"/>
              </w:rPr>
            </w:pPr>
          </w:p>
          <w:p>
            <w:pPr>
              <w:pStyle w:val="CorpoAltF0"/>
              <w:rPr>
                <w:sz w:val="18"/>
                <w:szCs w:val="18"/>
              </w:rPr>
            </w:pPr>
            <w:r>
              <w:rPr>
                <w:sz w:val="18"/>
                <w:szCs w:val="18"/>
              </w:rPr>
              <w:t>Nel campo “</w:t>
            </w:r>
            <w:r>
              <w:rPr>
                <w:b/>
                <w:i/>
                <w:sz w:val="18"/>
                <w:szCs w:val="18"/>
              </w:rPr>
              <w:t>Addizionale art. 181</w:t>
            </w:r>
            <w:r>
              <w:rPr>
                <w:sz w:val="18"/>
                <w:szCs w:val="18"/>
              </w:rPr>
              <w:t>” viene evidenziato l’importo dell’addizionale ANMIL ex art. 181 DPR 1124/65, calcolato applicando la percentuale dell’1% sul totale premio Inail.</w:t>
            </w:r>
          </w:p>
          <w:p>
            <w:pPr>
              <w:pStyle w:val="CorpoAltF0"/>
              <w:rPr>
                <w:sz w:val="18"/>
                <w:szCs w:val="18"/>
              </w:rPr>
            </w:pPr>
          </w:p>
          <w:p>
            <w:pPr>
              <w:pStyle w:val="CorpoAltF0"/>
              <w:rPr>
                <w:sz w:val="18"/>
                <w:szCs w:val="18"/>
              </w:rPr>
            </w:pPr>
            <w:r>
              <w:rPr>
                <w:sz w:val="18"/>
                <w:szCs w:val="18"/>
              </w:rPr>
              <w:t>Nel campo “</w:t>
            </w:r>
            <w:r>
              <w:rPr>
                <w:b/>
                <w:i/>
                <w:sz w:val="18"/>
                <w:szCs w:val="18"/>
              </w:rPr>
              <w:t>Rata</w:t>
            </w:r>
            <w:r>
              <w:rPr>
                <w:i/>
                <w:sz w:val="18"/>
                <w:szCs w:val="18"/>
              </w:rPr>
              <w:t xml:space="preserve"> </w:t>
            </w:r>
            <w:r>
              <w:rPr>
                <w:b/>
                <w:i/>
                <w:sz w:val="18"/>
                <w:szCs w:val="18"/>
              </w:rPr>
              <w:t>anticipata</w:t>
            </w:r>
            <w:r>
              <w:rPr>
                <w:sz w:val="18"/>
                <w:szCs w:val="18"/>
              </w:rPr>
              <w:t>” (importo prelevato dall’equivalente campo presente nella sezione “</w:t>
            </w:r>
            <w:r>
              <w:rPr>
                <w:i/>
                <w:sz w:val="18"/>
                <w:szCs w:val="18"/>
              </w:rPr>
              <w:t>2 - Tasso Inail e periodi</w:t>
            </w:r>
            <w:r>
              <w:rPr>
                <w:sz w:val="18"/>
                <w:szCs w:val="18"/>
              </w:rPr>
              <w:t>”) è attivo il tasto “</w:t>
            </w:r>
            <w:r>
              <w:rPr>
                <w:i/>
                <w:sz w:val="18"/>
                <w:szCs w:val="18"/>
              </w:rPr>
              <w:t>F4=Dettaglio rata anticipata</w:t>
            </w:r>
            <w:r>
              <w:rPr>
                <w:sz w:val="18"/>
                <w:szCs w:val="18"/>
              </w:rPr>
              <w:t>” che consente di visualizzare il “di cui” relativo ai dipendenti, ai collaboratori, ai soci artigiani ed ai soci non artigiani.</w:t>
            </w:r>
          </w:p>
          <w:p>
            <w:pPr>
              <w:pStyle w:val="CorpoAltF0"/>
              <w:rPr>
                <w:sz w:val="18"/>
                <w:szCs w:val="18"/>
              </w:rPr>
            </w:pPr>
          </w:p>
          <w:p>
            <w:pPr>
              <w:pStyle w:val="CorpoAltF0"/>
              <w:rPr>
                <w:sz w:val="18"/>
                <w:szCs w:val="18"/>
              </w:rPr>
            </w:pPr>
            <w:r>
              <w:rPr>
                <w:sz w:val="18"/>
                <w:szCs w:val="18"/>
              </w:rPr>
              <w:t>Tali importi possono essere visualizzati anche dopo la chiusura della dichiarazione (pulsante “</w:t>
            </w:r>
            <w:r>
              <w:rPr>
                <w:i/>
                <w:sz w:val="18"/>
                <w:szCs w:val="18"/>
              </w:rPr>
              <w:t>Dettaglio rata</w:t>
            </w:r>
            <w:r>
              <w:rPr>
                <w:sz w:val="18"/>
                <w:szCs w:val="18"/>
              </w:rPr>
              <w:t>”).</w:t>
            </w:r>
          </w:p>
          <w:p>
            <w:pPr>
              <w:pStyle w:val="CorpoAltF0"/>
              <w:rPr>
                <w:sz w:val="18"/>
                <w:szCs w:val="18"/>
                <w:highlight w:val="yellow"/>
              </w:rPr>
            </w:pPr>
          </w:p>
          <w:p>
            <w:pPr>
              <w:pStyle w:val="CorpoAltF0"/>
              <w:rPr>
                <w:highlight w:val="yellow"/>
              </w:rPr>
            </w:pPr>
            <w:r>
              <w:rPr>
                <w:sz w:val="18"/>
                <w:szCs w:val="18"/>
              </w:rPr>
              <w:t>Gli importi non in sola visualizzazione possono essere variati dall’utente; i dati modificati vengono contrassegnati con un bollino rosso.</w:t>
            </w:r>
          </w:p>
        </w:tc>
        <w:tc>
          <w:tcPr>
            <w:tcW w:w="5550" w:type="dxa"/>
          </w:tcPr>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r>
              <w:rPr>
                <w:noProof/>
              </w:rPr>
              <w:drawing>
                <wp:inline distT="0" distB="0" distL="0" distR="0">
                  <wp:extent cx="3420000" cy="1839683"/>
                  <wp:effectExtent l="0" t="0" r="9525" b="825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420000" cy="1839683"/>
                          </a:xfrm>
                          <a:prstGeom prst="rect">
                            <a:avLst/>
                          </a:prstGeom>
                        </pic:spPr>
                      </pic:pic>
                    </a:graphicData>
                  </a:graphic>
                </wp:inline>
              </w:drawing>
            </w:r>
          </w:p>
          <w:p>
            <w:pPr>
              <w:pStyle w:val="CorpoAltF0"/>
              <w:rPr>
                <w:sz w:val="18"/>
                <w:szCs w:val="18"/>
                <w:highlight w:val="yellow"/>
              </w:rPr>
            </w:pPr>
            <w:r>
              <w:rPr>
                <w:noProof/>
              </w:rPr>
              <w:drawing>
                <wp:inline distT="0" distB="0" distL="0" distR="0">
                  <wp:extent cx="2520000" cy="2034828"/>
                  <wp:effectExtent l="0" t="0" r="0" b="381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520000" cy="2034828"/>
                          </a:xfrm>
                          <a:prstGeom prst="rect">
                            <a:avLst/>
                          </a:prstGeom>
                        </pic:spPr>
                      </pic:pic>
                    </a:graphicData>
                  </a:graphic>
                </wp:inline>
              </w:drawing>
            </w:r>
          </w:p>
          <w:p>
            <w:pPr>
              <w:pStyle w:val="CorpoAltF0"/>
              <w:spacing w:before="120"/>
              <w:rPr>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sz w:val="18"/>
                <w:szCs w:val="18"/>
                <w:highlight w:val="yellow"/>
              </w:rPr>
            </w:pPr>
          </w:p>
          <w:p>
            <w:pPr>
              <w:pStyle w:val="CorpoAltF0"/>
              <w:rPr>
                <w:noProof/>
                <w:sz w:val="18"/>
                <w:szCs w:val="18"/>
                <w:highlight w:val="yellow"/>
              </w:rPr>
            </w:pPr>
          </w:p>
          <w:p>
            <w:pPr>
              <w:pStyle w:val="CorpoAltF0"/>
              <w:rPr>
                <w:noProof/>
                <w:sz w:val="18"/>
                <w:szCs w:val="18"/>
                <w:highlight w:val="yellow"/>
              </w:rPr>
            </w:pPr>
            <w:r>
              <w:rPr>
                <w:noProof/>
              </w:rPr>
              <w:drawing>
                <wp:inline distT="0" distB="0" distL="0" distR="0">
                  <wp:extent cx="3420000" cy="1918095"/>
                  <wp:effectExtent l="0" t="0" r="0" b="6350"/>
                  <wp:docPr id="103" name="Immagin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420000" cy="1918095"/>
                          </a:xfrm>
                          <a:prstGeom prst="rect">
                            <a:avLst/>
                          </a:prstGeom>
                        </pic:spPr>
                      </pic:pic>
                    </a:graphicData>
                  </a:graphic>
                </wp:inline>
              </w:drawing>
            </w:r>
          </w:p>
          <w:p>
            <w:pPr>
              <w:pStyle w:val="CorpoAltF0"/>
              <w:rPr>
                <w:highlight w:val="yellow"/>
              </w:rPr>
            </w:pPr>
          </w:p>
        </w:tc>
      </w:tr>
    </w:tbl>
    <w:p>
      <w:pPr>
        <w:pStyle w:val="CorpoAltF0"/>
        <w:rPr>
          <w:highlight w:val="yellow"/>
        </w:rPr>
      </w:pPr>
      <w:r>
        <w:rPr>
          <w:highlight w:val="yellow"/>
        </w:rPr>
        <w:br w:type="page"/>
      </w:r>
    </w:p>
    <w:p>
      <w:pPr>
        <w:pStyle w:val="CorpoAltF0"/>
        <w:rPr>
          <w:highlight w:val="yellow"/>
        </w:rPr>
      </w:pPr>
    </w:p>
    <w:p>
      <w:pPr>
        <w:pStyle w:val="TS-titolo-04"/>
      </w:pPr>
      <w:bookmarkStart w:id="63" w:name="_Toc471235860"/>
      <w:bookmarkStart w:id="64" w:name="_Toc6329826"/>
      <w:r>
        <w:t>Gestione liquidazioni: dettaglio operazioni su riepilogo premi per azienda</w:t>
      </w:r>
      <w:bookmarkEnd w:id="63"/>
      <w:bookmarkEnd w:id="64"/>
    </w:p>
    <w:p>
      <w:pPr>
        <w:pStyle w:val="TS-titolo-05"/>
      </w:pPr>
      <w:bookmarkStart w:id="65" w:name="_Toc471235861"/>
      <w:bookmarkStart w:id="66" w:name="_Toc6329827"/>
      <w:r>
        <w:t>Gestione contributi associativi</w:t>
      </w:r>
      <w:bookmarkEnd w:id="65"/>
      <w:bookmarkEnd w:id="6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5601"/>
      </w:tblGrid>
      <w:tr>
        <w:tc>
          <w:tcPr>
            <w:tcW w:w="4508" w:type="dxa"/>
            <w:shd w:val="clear" w:color="auto" w:fill="auto"/>
          </w:tcPr>
          <w:p>
            <w:pPr>
              <w:pStyle w:val="CorpoAltF0"/>
            </w:pPr>
          </w:p>
          <w:p>
            <w:pPr>
              <w:pStyle w:val="CorpoAltF0"/>
              <w:numPr>
                <w:ilvl w:val="0"/>
                <w:numId w:val="12"/>
              </w:numPr>
              <w:ind w:left="284" w:hanging="284"/>
            </w:pPr>
            <w:r>
              <w:rPr>
                <w:b/>
              </w:rPr>
              <w:t>Contributi associativi per regolazione</w:t>
            </w:r>
          </w:p>
          <w:p>
            <w:pPr>
              <w:pStyle w:val="CorpoAltF0"/>
              <w:numPr>
                <w:ilvl w:val="0"/>
                <w:numId w:val="12"/>
              </w:numPr>
              <w:ind w:left="284" w:hanging="284"/>
            </w:pPr>
            <w:r>
              <w:rPr>
                <w:b/>
              </w:rPr>
              <w:t>Contri buti associativi per rata</w:t>
            </w:r>
          </w:p>
          <w:p>
            <w:pPr>
              <w:pStyle w:val="CorpoAltF0"/>
              <w:rPr>
                <w:sz w:val="18"/>
                <w:szCs w:val="18"/>
              </w:rPr>
            </w:pPr>
          </w:p>
          <w:p>
            <w:pPr>
              <w:pStyle w:val="CorpoAltF0"/>
              <w:rPr>
                <w:sz w:val="18"/>
                <w:szCs w:val="18"/>
              </w:rPr>
            </w:pPr>
            <w:r>
              <w:rPr>
                <w:sz w:val="18"/>
                <w:szCs w:val="18"/>
              </w:rPr>
              <w:t>Inserire i contributi associativi per regolazione e per rata indicati nelle basi di calcolo INAIL.</w:t>
            </w:r>
          </w:p>
          <w:p>
            <w:pPr>
              <w:pStyle w:val="CorpoAltF0"/>
              <w:rPr>
                <w:sz w:val="18"/>
                <w:szCs w:val="18"/>
              </w:rPr>
            </w:pPr>
            <w:r>
              <w:rPr>
                <w:sz w:val="18"/>
                <w:szCs w:val="18"/>
              </w:rPr>
              <w:t>Le sigle e i parametri vanno inseriti in tabella “</w:t>
            </w:r>
            <w:r>
              <w:rPr>
                <w:i/>
                <w:sz w:val="18"/>
                <w:szCs w:val="18"/>
              </w:rPr>
              <w:t>Contributi associativi</w:t>
            </w:r>
            <w:r>
              <w:rPr>
                <w:sz w:val="18"/>
                <w:szCs w:val="18"/>
              </w:rPr>
              <w:t>” (</w:t>
            </w:r>
            <w:r>
              <w:rPr>
                <w:b/>
                <w:sz w:val="18"/>
                <w:szCs w:val="18"/>
              </w:rPr>
              <w:t>TB0702</w:t>
            </w:r>
            <w:r>
              <w:rPr>
                <w:sz w:val="18"/>
                <w:szCs w:val="18"/>
              </w:rPr>
              <w:t>).</w:t>
            </w:r>
          </w:p>
          <w:p>
            <w:pPr>
              <w:pStyle w:val="CorpoAltF0"/>
              <w:spacing w:before="120"/>
              <w:rPr>
                <w:sz w:val="18"/>
                <w:szCs w:val="18"/>
              </w:rPr>
            </w:pPr>
            <w:r>
              <w:rPr>
                <w:sz w:val="18"/>
                <w:szCs w:val="18"/>
              </w:rPr>
              <w:t>Il campo “</w:t>
            </w:r>
            <w:r>
              <w:rPr>
                <w:i/>
                <w:sz w:val="18"/>
                <w:szCs w:val="18"/>
              </w:rPr>
              <w:t>Rateizza versamento</w:t>
            </w:r>
            <w:r>
              <w:rPr>
                <w:sz w:val="18"/>
                <w:szCs w:val="18"/>
              </w:rPr>
              <w:t>” consente di suddividere in rate anche il pagamento dei contributi associativi dovuti (se previsto dalla specifica associazione).</w:t>
            </w:r>
          </w:p>
          <w:p>
            <w:pPr>
              <w:pStyle w:val="CorpoAltF0"/>
              <w:spacing w:before="120"/>
              <w:rPr>
                <w:sz w:val="18"/>
                <w:szCs w:val="18"/>
              </w:rPr>
            </w:pPr>
            <w:r>
              <w:rPr>
                <w:sz w:val="18"/>
                <w:szCs w:val="18"/>
              </w:rPr>
              <w:t>Si sottolinea comunque che nella Guida all’autoliquidazione 2018-2019 viene espressamente indicato che i contributi associativi devono essere versati in unica soluzione entro il 16 maggio 2019; pertanto, se contrassegnato il suddetto campo, verrà evidenziata un’apposita segnalazione, forzabile nel caso si intenda procedere comunque alla rateizzazione di tali contributi.</w:t>
            </w:r>
          </w:p>
          <w:p>
            <w:pPr>
              <w:pStyle w:val="CorpoAltF0"/>
              <w:spacing w:before="120"/>
              <w:rPr>
                <w:sz w:val="18"/>
                <w:szCs w:val="18"/>
              </w:rPr>
            </w:pPr>
            <w:r>
              <w:rPr>
                <w:sz w:val="18"/>
                <w:szCs w:val="18"/>
              </w:rPr>
              <w:t>La rateizzazione dei contributi associativi viene determinata con le stesse modalità previste per la rateizzazione dei premi per autoliquidazione, ma senza il calcolo di interessi.</w:t>
            </w:r>
          </w:p>
          <w:p>
            <w:pPr>
              <w:pStyle w:val="CorpoAltF0"/>
              <w:spacing w:before="120"/>
              <w:rPr>
                <w:b/>
                <w:sz w:val="18"/>
                <w:szCs w:val="18"/>
              </w:rPr>
            </w:pPr>
            <w:r>
              <w:rPr>
                <w:b/>
                <w:sz w:val="18"/>
                <w:szCs w:val="18"/>
              </w:rPr>
              <w:t>N.B.: nella gestione dei contributi associativi con tipo esazione 51 – 53 – 57 va indicato il totale del contributo indicato nelle basi di calcolo.</w:t>
            </w:r>
          </w:p>
          <w:p>
            <w:pPr>
              <w:pStyle w:val="CorpoAltF0"/>
              <w:rPr>
                <w:b/>
                <w:bCs/>
                <w:sz w:val="18"/>
                <w:szCs w:val="18"/>
              </w:rPr>
            </w:pPr>
            <w:r>
              <w:rPr>
                <w:b/>
                <w:bCs/>
                <w:sz w:val="18"/>
                <w:szCs w:val="18"/>
              </w:rPr>
              <w:t>Nella regolazione vengono riportati gli stessi dati presenti nella rata della denuncia salari relativa all’anno precedente; controllare tali dati.</w:t>
            </w:r>
          </w:p>
        </w:tc>
        <w:tc>
          <w:tcPr>
            <w:tcW w:w="5489" w:type="dxa"/>
            <w:shd w:val="clear" w:color="auto" w:fill="auto"/>
          </w:tcPr>
          <w:p>
            <w:pPr>
              <w:pStyle w:val="CorpoAltF0"/>
              <w:jc w:val="center"/>
              <w:rPr>
                <w:noProof/>
              </w:rPr>
            </w:pPr>
          </w:p>
          <w:p>
            <w:pPr>
              <w:pStyle w:val="CorpoAltF0"/>
              <w:jc w:val="center"/>
              <w:rPr>
                <w:noProof/>
              </w:rPr>
            </w:pPr>
            <w:r>
              <w:rPr>
                <w:noProof/>
              </w:rPr>
              <w:drawing>
                <wp:inline distT="0" distB="0" distL="0" distR="0">
                  <wp:extent cx="3420000" cy="1676116"/>
                  <wp:effectExtent l="0" t="0" r="0" b="635"/>
                  <wp:docPr id="88" name="Immagin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420000" cy="1676116"/>
                          </a:xfrm>
                          <a:prstGeom prst="rect">
                            <a:avLst/>
                          </a:prstGeom>
                        </pic:spPr>
                      </pic:pic>
                    </a:graphicData>
                  </a:graphic>
                </wp:inline>
              </w:drawing>
            </w:r>
          </w:p>
          <w:p>
            <w:pPr>
              <w:pStyle w:val="CorpoAltF0"/>
              <w:jc w:val="center"/>
            </w:pPr>
          </w:p>
        </w:tc>
      </w:tr>
    </w:tbl>
    <w:p>
      <w:pPr>
        <w:pStyle w:val="CorpoAltF0"/>
        <w:rPr>
          <w:highlight w:val="yellow"/>
        </w:rPr>
      </w:pPr>
    </w:p>
    <w:p>
      <w:pPr>
        <w:pStyle w:val="CorpoAltF0"/>
        <w:rPr>
          <w:highlight w:val="yellow"/>
        </w:rPr>
      </w:pPr>
      <w:r>
        <w:rPr>
          <w:highlight w:val="yellow"/>
        </w:rPr>
        <w:br w:type="page"/>
      </w:r>
    </w:p>
    <w:p>
      <w:pPr>
        <w:pStyle w:val="CorpoAltF0"/>
      </w:pPr>
      <w:bookmarkStart w:id="67" w:name="_Toc471235862"/>
    </w:p>
    <w:p>
      <w:pPr>
        <w:pStyle w:val="TS-titolo-05"/>
      </w:pPr>
      <w:bookmarkStart w:id="68" w:name="_Toc6329828"/>
      <w:r>
        <w:t>Liquidazione dei premi</w:t>
      </w:r>
      <w:bookmarkEnd w:id="67"/>
      <w:bookmarkEnd w:id="6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3"/>
        <w:gridCol w:w="5616"/>
      </w:tblGrid>
      <w:tr>
        <w:tc>
          <w:tcPr>
            <w:tcW w:w="4457" w:type="dxa"/>
            <w:shd w:val="clear" w:color="auto" w:fill="auto"/>
          </w:tcPr>
          <w:p>
            <w:pPr>
              <w:pStyle w:val="CorpoAltF0"/>
              <w:numPr>
                <w:ilvl w:val="0"/>
                <w:numId w:val="12"/>
              </w:numPr>
              <w:spacing w:before="120"/>
              <w:ind w:left="284" w:hanging="284"/>
              <w:rPr>
                <w:sz w:val="18"/>
                <w:szCs w:val="18"/>
              </w:rPr>
            </w:pPr>
            <w:r>
              <w:rPr>
                <w:b/>
                <w:sz w:val="18"/>
                <w:szCs w:val="18"/>
              </w:rPr>
              <w:t>Riepilogo premi sulle PAT</w:t>
            </w:r>
          </w:p>
          <w:p>
            <w:pPr>
              <w:pStyle w:val="CorpoAltF0"/>
              <w:numPr>
                <w:ilvl w:val="0"/>
                <w:numId w:val="12"/>
              </w:numPr>
              <w:ind w:left="284" w:hanging="284"/>
              <w:rPr>
                <w:sz w:val="18"/>
                <w:szCs w:val="18"/>
              </w:rPr>
            </w:pPr>
            <w:r>
              <w:rPr>
                <w:b/>
                <w:sz w:val="18"/>
                <w:szCs w:val="18"/>
              </w:rPr>
              <w:t>Pagamento rateale</w:t>
            </w:r>
          </w:p>
          <w:p>
            <w:pPr>
              <w:pStyle w:val="CorpoAltF0"/>
              <w:rPr>
                <w:sz w:val="18"/>
                <w:szCs w:val="18"/>
              </w:rPr>
            </w:pPr>
          </w:p>
          <w:p>
            <w:pPr>
              <w:pStyle w:val="CorpoAltF0"/>
              <w:rPr>
                <w:b/>
                <w:sz w:val="18"/>
                <w:szCs w:val="18"/>
              </w:rPr>
            </w:pPr>
            <w:r>
              <w:rPr>
                <w:b/>
                <w:sz w:val="18"/>
                <w:szCs w:val="18"/>
              </w:rPr>
              <w:t>Riepilogo premi sulle PAT</w:t>
            </w:r>
          </w:p>
          <w:p>
            <w:pPr>
              <w:pStyle w:val="CorpoAltF0"/>
              <w:rPr>
                <w:sz w:val="18"/>
                <w:szCs w:val="18"/>
              </w:rPr>
            </w:pPr>
            <w:r>
              <w:rPr>
                <w:sz w:val="18"/>
                <w:szCs w:val="18"/>
              </w:rPr>
              <w:t>Nella prima sezione della pagina vengono riportati su due colonne (regolazione e rata) gli importi totali che confluiscono dalle diverse PAT dell’azienda.</w:t>
            </w:r>
          </w:p>
          <w:p>
            <w:pPr>
              <w:pStyle w:val="CorpoAltF0"/>
              <w:rPr>
                <w:sz w:val="18"/>
                <w:szCs w:val="18"/>
              </w:rPr>
            </w:pPr>
            <w:r>
              <w:rPr>
                <w:sz w:val="18"/>
                <w:szCs w:val="18"/>
              </w:rPr>
              <w:t>Nel campo “</w:t>
            </w:r>
            <w:r>
              <w:rPr>
                <w:i/>
                <w:sz w:val="18"/>
                <w:szCs w:val="18"/>
              </w:rPr>
              <w:t>Totale anticipato</w:t>
            </w:r>
            <w:r>
              <w:rPr>
                <w:sz w:val="18"/>
                <w:szCs w:val="18"/>
              </w:rPr>
              <w:t xml:space="preserve">” viene riportato l’importo della rata anticipata nel 2018, prelevata dall’autoliquidazione dell’anno precedente e portata in diminuzione del premio ai fini della determinazione dell’importo da versare. </w:t>
            </w:r>
          </w:p>
          <w:p>
            <w:pPr>
              <w:pStyle w:val="CorpoAltF0"/>
              <w:spacing w:before="60"/>
              <w:rPr>
                <w:sz w:val="18"/>
                <w:szCs w:val="18"/>
              </w:rPr>
            </w:pPr>
            <w:r>
              <w:rPr>
                <w:sz w:val="18"/>
                <w:szCs w:val="18"/>
              </w:rPr>
              <w:t>Nel campo “</w:t>
            </w:r>
            <w:r>
              <w:rPr>
                <w:i/>
                <w:sz w:val="18"/>
                <w:szCs w:val="18"/>
              </w:rPr>
              <w:t>Totale anticipato (da basi di calcolo)</w:t>
            </w:r>
            <w:r>
              <w:rPr>
                <w:sz w:val="18"/>
                <w:szCs w:val="18"/>
              </w:rPr>
              <w:t>” viene visualizzato il corrispondente importo di rata risultante dalle basi di calcolo INAIL, rilevato mediante la funzione “</w:t>
            </w:r>
            <w:r>
              <w:rPr>
                <w:i/>
                <w:sz w:val="18"/>
                <w:szCs w:val="18"/>
              </w:rPr>
              <w:t>Aggiornamento tassi</w:t>
            </w:r>
            <w:r>
              <w:rPr>
                <w:sz w:val="18"/>
                <w:szCs w:val="18"/>
              </w:rPr>
              <w:t xml:space="preserve">” del comando </w:t>
            </w:r>
            <w:r>
              <w:rPr>
                <w:b/>
                <w:sz w:val="18"/>
                <w:szCs w:val="18"/>
              </w:rPr>
              <w:t>AGGTAS</w:t>
            </w:r>
            <w:r>
              <w:rPr>
                <w:sz w:val="18"/>
                <w:szCs w:val="18"/>
              </w:rPr>
              <w:t>.</w:t>
            </w:r>
          </w:p>
          <w:p>
            <w:pPr>
              <w:pStyle w:val="CorpoAltF0"/>
              <w:rPr>
                <w:sz w:val="18"/>
                <w:szCs w:val="18"/>
              </w:rPr>
            </w:pPr>
            <w:r>
              <w:rPr>
                <w:sz w:val="18"/>
                <w:szCs w:val="18"/>
              </w:rPr>
              <w:t>Nel campo “</w:t>
            </w:r>
            <w:r>
              <w:rPr>
                <w:i/>
                <w:sz w:val="18"/>
                <w:szCs w:val="18"/>
              </w:rPr>
              <w:t>Totale anticipato</w:t>
            </w:r>
            <w:r>
              <w:rPr>
                <w:sz w:val="18"/>
                <w:szCs w:val="18"/>
              </w:rPr>
              <w:t>” è disponibile il pulsante “</w:t>
            </w:r>
            <w:r>
              <w:rPr>
                <w:i/>
                <w:sz w:val="18"/>
                <w:szCs w:val="18"/>
              </w:rPr>
              <w:t>F4 Dettaglio</w:t>
            </w:r>
            <w:r>
              <w:rPr>
                <w:sz w:val="18"/>
                <w:szCs w:val="18"/>
              </w:rPr>
              <w:t>” con conserte di visualizzare la rata anticipata con riferimento a ciascuna PAT dell’azienda, distinta fra premio dipendenti (con “</w:t>
            </w:r>
            <w:r>
              <w:rPr>
                <w:i/>
                <w:sz w:val="18"/>
                <w:szCs w:val="18"/>
              </w:rPr>
              <w:t>di cui</w:t>
            </w:r>
            <w:r>
              <w:rPr>
                <w:sz w:val="18"/>
                <w:szCs w:val="18"/>
              </w:rPr>
              <w:t>” soci non artigiani) e premio soggetti autonomi artigiani, visualizzando sia l’importo prelevato dalla precedente autoliquidazione (</w:t>
            </w:r>
            <w:r>
              <w:rPr>
                <w:b/>
                <w:sz w:val="18"/>
                <w:szCs w:val="18"/>
              </w:rPr>
              <w:t>10SM</w:t>
            </w:r>
            <w:r>
              <w:rPr>
                <w:sz w:val="18"/>
                <w:szCs w:val="18"/>
              </w:rPr>
              <w:t>) che quello rilevato dalle basi di calcolo.</w:t>
            </w:r>
          </w:p>
          <w:p>
            <w:pPr>
              <w:pStyle w:val="CorpoAltF0"/>
              <w:spacing w:before="60"/>
              <w:rPr>
                <w:sz w:val="18"/>
                <w:szCs w:val="18"/>
              </w:rPr>
            </w:pPr>
            <w:r>
              <w:rPr>
                <w:sz w:val="18"/>
                <w:szCs w:val="18"/>
              </w:rPr>
              <w:t>Nei successivi campi, quindi, viene riportato il totale dei premi (di regolazione e di rata), il totale da versare ed il totale dei contributi associativi.</w:t>
            </w:r>
          </w:p>
          <w:p>
            <w:pPr>
              <w:pStyle w:val="CorpoAltF0"/>
              <w:rPr>
                <w:sz w:val="18"/>
                <w:szCs w:val="18"/>
              </w:rPr>
            </w:pPr>
          </w:p>
          <w:p>
            <w:pPr>
              <w:pStyle w:val="CorpoAltF0"/>
              <w:rPr>
                <w:b/>
                <w:sz w:val="18"/>
                <w:szCs w:val="18"/>
              </w:rPr>
            </w:pPr>
            <w:r>
              <w:rPr>
                <w:b/>
                <w:sz w:val="18"/>
                <w:szCs w:val="18"/>
              </w:rPr>
              <w:t>Data scadenza</w:t>
            </w:r>
          </w:p>
          <w:p>
            <w:pPr>
              <w:pStyle w:val="CorpoAltF0"/>
              <w:rPr>
                <w:sz w:val="18"/>
                <w:szCs w:val="18"/>
              </w:rPr>
            </w:pPr>
            <w:r>
              <w:rPr>
                <w:sz w:val="18"/>
                <w:szCs w:val="18"/>
              </w:rPr>
              <w:t>Data di scadenza del versamento dei premi in caso di versamento in unica soluzione o di versamento della prima rata in caso di versamento rateizzato.</w:t>
            </w:r>
          </w:p>
          <w:p>
            <w:pPr>
              <w:pStyle w:val="CorpoAltF0"/>
              <w:rPr>
                <w:sz w:val="18"/>
                <w:szCs w:val="18"/>
              </w:rPr>
            </w:pPr>
            <w:r>
              <w:rPr>
                <w:sz w:val="18"/>
                <w:szCs w:val="18"/>
              </w:rPr>
              <w:t>Con la chiusura della dichiarazione, gli importi da versare vengono trasferiti nella delega F24 del mese indicato nella data di scadenza. Questa va quindi modificata in corso d'anno per il versamento dei premi di posizioni cessate</w:t>
            </w:r>
          </w:p>
          <w:p>
            <w:pPr>
              <w:pStyle w:val="CorpoAltF0"/>
              <w:rPr>
                <w:sz w:val="18"/>
                <w:szCs w:val="18"/>
              </w:rPr>
            </w:pPr>
          </w:p>
          <w:p>
            <w:pPr>
              <w:pStyle w:val="CorpoAltF0"/>
              <w:rPr>
                <w:b/>
                <w:sz w:val="18"/>
                <w:szCs w:val="18"/>
              </w:rPr>
            </w:pPr>
            <w:r>
              <w:rPr>
                <w:b/>
                <w:sz w:val="18"/>
                <w:szCs w:val="18"/>
              </w:rPr>
              <w:t xml:space="preserve">Pagamento rateale </w:t>
            </w:r>
          </w:p>
          <w:p>
            <w:pPr>
              <w:pStyle w:val="CorpoAltF0"/>
              <w:rPr>
                <w:sz w:val="18"/>
                <w:szCs w:val="18"/>
              </w:rPr>
            </w:pPr>
            <w:r>
              <w:rPr>
                <w:sz w:val="18"/>
                <w:szCs w:val="18"/>
              </w:rPr>
              <w:t>Per effettuare la rateizzazione del totale da versare, contrassegnare il campo "</w:t>
            </w:r>
            <w:r>
              <w:rPr>
                <w:i/>
                <w:sz w:val="18"/>
                <w:szCs w:val="18"/>
              </w:rPr>
              <w:t>Pagamento rateale</w:t>
            </w:r>
            <w:r>
              <w:rPr>
                <w:sz w:val="18"/>
                <w:szCs w:val="18"/>
              </w:rPr>
              <w:t>".</w:t>
            </w:r>
          </w:p>
          <w:p>
            <w:pPr>
              <w:pStyle w:val="CorpoAltF0"/>
              <w:rPr>
                <w:sz w:val="18"/>
                <w:szCs w:val="18"/>
              </w:rPr>
            </w:pPr>
            <w:r>
              <w:rPr>
                <w:sz w:val="18"/>
                <w:szCs w:val="18"/>
              </w:rPr>
              <w:t xml:space="preserve">Il tasso ed i giorni di dilazione per il calcolo degli interessi vengono prelevati dalla tabella </w:t>
            </w:r>
            <w:r>
              <w:rPr>
                <w:b/>
                <w:sz w:val="18"/>
                <w:szCs w:val="18"/>
              </w:rPr>
              <w:t>TB0704</w:t>
            </w:r>
            <w:r>
              <w:rPr>
                <w:sz w:val="18"/>
                <w:szCs w:val="18"/>
              </w:rPr>
              <w:t>.</w:t>
            </w:r>
          </w:p>
          <w:p>
            <w:pPr>
              <w:pStyle w:val="CorpoAltF0"/>
              <w:rPr>
                <w:sz w:val="18"/>
                <w:szCs w:val="18"/>
              </w:rPr>
            </w:pPr>
            <w:r>
              <w:rPr>
                <w:sz w:val="18"/>
                <w:szCs w:val="18"/>
              </w:rPr>
              <w:t>Il dettaglio delle rate da versare alle varie scadenze con i relativi interessi sono riportati nella sezione inferiore della videata:</w:t>
            </w:r>
          </w:p>
          <w:p>
            <w:pPr>
              <w:pStyle w:val="CorpoAltF0"/>
              <w:rPr>
                <w:sz w:val="18"/>
                <w:szCs w:val="18"/>
              </w:rPr>
            </w:pPr>
            <w:r>
              <w:rPr>
                <w:b/>
                <w:bCs/>
                <w:sz w:val="18"/>
                <w:szCs w:val="18"/>
              </w:rPr>
              <w:t>Quota capitale</w:t>
            </w:r>
            <w:r>
              <w:rPr>
                <w:sz w:val="18"/>
                <w:szCs w:val="18"/>
              </w:rPr>
              <w:t>: contiene la quota capitale sulla quale vengono applicati gli interessi.</w:t>
            </w:r>
          </w:p>
          <w:p>
            <w:pPr>
              <w:pStyle w:val="CorpoAltF0"/>
              <w:rPr>
                <w:sz w:val="18"/>
                <w:szCs w:val="18"/>
              </w:rPr>
            </w:pPr>
            <w:r>
              <w:rPr>
                <w:b/>
                <w:bCs/>
                <w:sz w:val="18"/>
                <w:szCs w:val="18"/>
              </w:rPr>
              <w:t>Addizionale</w:t>
            </w:r>
            <w:r>
              <w:rPr>
                <w:sz w:val="18"/>
                <w:szCs w:val="18"/>
              </w:rPr>
              <w:t>: importo pari ad 1/4 dell’addizionale ANMIL (1%).</w:t>
            </w:r>
          </w:p>
          <w:p>
            <w:pPr>
              <w:pStyle w:val="CorpoAltF0"/>
              <w:rPr>
                <w:sz w:val="18"/>
                <w:szCs w:val="18"/>
              </w:rPr>
            </w:pPr>
            <w:r>
              <w:rPr>
                <w:b/>
                <w:bCs/>
                <w:sz w:val="18"/>
                <w:szCs w:val="18"/>
              </w:rPr>
              <w:t>Interessi</w:t>
            </w:r>
            <w:r>
              <w:rPr>
                <w:sz w:val="18"/>
                <w:szCs w:val="18"/>
              </w:rPr>
              <w:t>: interessi applicati.</w:t>
            </w:r>
          </w:p>
          <w:p>
            <w:pPr>
              <w:pStyle w:val="CorpoAltF0"/>
              <w:rPr>
                <w:sz w:val="18"/>
                <w:szCs w:val="18"/>
              </w:rPr>
            </w:pPr>
            <w:r>
              <w:rPr>
                <w:b/>
                <w:bCs/>
                <w:sz w:val="18"/>
                <w:szCs w:val="18"/>
              </w:rPr>
              <w:t>Importo</w:t>
            </w:r>
            <w:r>
              <w:rPr>
                <w:sz w:val="18"/>
                <w:szCs w:val="18"/>
              </w:rPr>
              <w:t xml:space="preserve">: importo da versare dato da: </w:t>
            </w:r>
          </w:p>
          <w:p>
            <w:pPr>
              <w:pStyle w:val="CorpoAltF0"/>
              <w:rPr>
                <w:sz w:val="18"/>
              </w:rPr>
            </w:pPr>
            <w:r>
              <w:rPr>
                <w:sz w:val="18"/>
                <w:szCs w:val="18"/>
              </w:rPr>
              <w:t>quota capitale + addizionale – riduzioni + interessi.</w:t>
            </w:r>
          </w:p>
          <w:p>
            <w:pPr>
              <w:pStyle w:val="CorpoAltF0"/>
              <w:spacing w:before="120"/>
              <w:rPr>
                <w:sz w:val="18"/>
                <w:szCs w:val="18"/>
              </w:rPr>
            </w:pPr>
            <w:r>
              <w:rPr>
                <w:sz w:val="18"/>
                <w:szCs w:val="18"/>
              </w:rPr>
              <w:t xml:space="preserve">Ai fini della compilazione del relativo file telematico, per le aziende che nell’anno </w:t>
            </w:r>
            <w:r>
              <w:rPr>
                <w:sz w:val="18"/>
                <w:szCs w:val="18"/>
              </w:rPr>
              <w:lastRenderedPageBreak/>
              <w:t xml:space="preserve">precedente abbiano già optato per il pagamento rateale dei premi, non occorre indicare il codice “R” (di rateizzazione) nel file telematico. </w:t>
            </w:r>
          </w:p>
          <w:p>
            <w:pPr>
              <w:pStyle w:val="CorpoAltF0"/>
              <w:rPr>
                <w:sz w:val="18"/>
                <w:szCs w:val="18"/>
              </w:rPr>
            </w:pPr>
            <w:r>
              <w:rPr>
                <w:sz w:val="18"/>
                <w:szCs w:val="18"/>
              </w:rPr>
              <w:t xml:space="preserve">Invece, le aziende che nell’anno precedente hanno optato per il pagamento rateale e che non intendono più pagare in quattro rate, devono manifestare tale volontà riportando nel file telematico il codice “W”. </w:t>
            </w:r>
          </w:p>
          <w:p>
            <w:pPr>
              <w:pStyle w:val="CorpoAltF0"/>
              <w:spacing w:before="120"/>
              <w:rPr>
                <w:sz w:val="18"/>
                <w:szCs w:val="18"/>
              </w:rPr>
            </w:pPr>
            <w:r>
              <w:rPr>
                <w:sz w:val="18"/>
                <w:szCs w:val="18"/>
              </w:rPr>
              <w:t>A tal fine, il programma verifica la modalità di compilazione dei campi “</w:t>
            </w:r>
            <w:r>
              <w:rPr>
                <w:i/>
                <w:sz w:val="18"/>
                <w:szCs w:val="18"/>
              </w:rPr>
              <w:t xml:space="preserve">Pagamento rateale </w:t>
            </w:r>
            <w:proofErr w:type="spellStart"/>
            <w:r>
              <w:rPr>
                <w:i/>
                <w:sz w:val="18"/>
                <w:szCs w:val="18"/>
              </w:rPr>
              <w:t>ap</w:t>
            </w:r>
            <w:proofErr w:type="spellEnd"/>
            <w:r>
              <w:rPr>
                <w:sz w:val="18"/>
                <w:szCs w:val="18"/>
              </w:rPr>
              <w:t>” e “</w:t>
            </w:r>
            <w:r>
              <w:rPr>
                <w:i/>
                <w:sz w:val="18"/>
                <w:szCs w:val="18"/>
              </w:rPr>
              <w:t>Pagamento rateale</w:t>
            </w:r>
            <w:r>
              <w:rPr>
                <w:sz w:val="18"/>
                <w:szCs w:val="18"/>
              </w:rPr>
              <w:t>” presenti nella sezione in esame:</w:t>
            </w:r>
          </w:p>
          <w:p>
            <w:pPr>
              <w:pStyle w:val="CorpoAltF0"/>
              <w:numPr>
                <w:ilvl w:val="0"/>
                <w:numId w:val="13"/>
              </w:numPr>
              <w:spacing w:before="80"/>
              <w:ind w:left="214" w:hanging="142"/>
              <w:rPr>
                <w:sz w:val="18"/>
                <w:szCs w:val="18"/>
              </w:rPr>
            </w:pPr>
            <w:r>
              <w:rPr>
                <w:sz w:val="18"/>
                <w:szCs w:val="18"/>
              </w:rPr>
              <w:t>se il campo “</w:t>
            </w:r>
            <w:r>
              <w:rPr>
                <w:i/>
                <w:sz w:val="18"/>
                <w:szCs w:val="18"/>
              </w:rPr>
              <w:t>Pagamento rateale</w:t>
            </w:r>
            <w:r>
              <w:rPr>
                <w:sz w:val="18"/>
                <w:szCs w:val="18"/>
              </w:rPr>
              <w:t>” risulta compilato mentre il campo “</w:t>
            </w:r>
            <w:r>
              <w:rPr>
                <w:i/>
                <w:sz w:val="18"/>
                <w:szCs w:val="18"/>
              </w:rPr>
              <w:t xml:space="preserve">Pagamento rateale </w:t>
            </w:r>
            <w:proofErr w:type="spellStart"/>
            <w:r>
              <w:rPr>
                <w:i/>
                <w:sz w:val="18"/>
                <w:szCs w:val="18"/>
              </w:rPr>
              <w:t>ap</w:t>
            </w:r>
            <w:proofErr w:type="spellEnd"/>
            <w:r>
              <w:rPr>
                <w:sz w:val="18"/>
                <w:szCs w:val="18"/>
              </w:rPr>
              <w:t>” NON risulta compilato, nella denuncia telematica viene riportato il codice “R”;</w:t>
            </w:r>
          </w:p>
          <w:p>
            <w:pPr>
              <w:pStyle w:val="CorpoAltF0"/>
              <w:numPr>
                <w:ilvl w:val="0"/>
                <w:numId w:val="13"/>
              </w:numPr>
              <w:spacing w:before="80"/>
              <w:ind w:left="214" w:hanging="142"/>
              <w:rPr>
                <w:sz w:val="18"/>
                <w:szCs w:val="18"/>
              </w:rPr>
            </w:pPr>
            <w:r>
              <w:rPr>
                <w:sz w:val="18"/>
                <w:szCs w:val="18"/>
              </w:rPr>
              <w:t>se il campo “</w:t>
            </w:r>
            <w:r>
              <w:rPr>
                <w:i/>
                <w:sz w:val="18"/>
                <w:szCs w:val="18"/>
              </w:rPr>
              <w:t>Pagamento rateale</w:t>
            </w:r>
            <w:r>
              <w:rPr>
                <w:sz w:val="18"/>
                <w:szCs w:val="18"/>
              </w:rPr>
              <w:t>” NON risulta compilato mentre il campo “</w:t>
            </w:r>
            <w:r>
              <w:rPr>
                <w:i/>
                <w:sz w:val="18"/>
                <w:szCs w:val="18"/>
              </w:rPr>
              <w:t xml:space="preserve">Pagamento rateale </w:t>
            </w:r>
            <w:proofErr w:type="spellStart"/>
            <w:r>
              <w:rPr>
                <w:i/>
                <w:sz w:val="18"/>
                <w:szCs w:val="18"/>
              </w:rPr>
              <w:t>ap</w:t>
            </w:r>
            <w:proofErr w:type="spellEnd"/>
            <w:r>
              <w:rPr>
                <w:sz w:val="18"/>
                <w:szCs w:val="18"/>
              </w:rPr>
              <w:t>” risulta compilato, nella denuncia telematica viene riportato il codice “W”;</w:t>
            </w:r>
          </w:p>
          <w:p>
            <w:pPr>
              <w:pStyle w:val="CorpoAltF0"/>
              <w:numPr>
                <w:ilvl w:val="0"/>
                <w:numId w:val="13"/>
              </w:numPr>
              <w:spacing w:before="80"/>
              <w:ind w:left="214" w:hanging="142"/>
              <w:rPr>
                <w:sz w:val="18"/>
                <w:szCs w:val="18"/>
              </w:rPr>
            </w:pPr>
            <w:r>
              <w:rPr>
                <w:sz w:val="18"/>
                <w:szCs w:val="18"/>
              </w:rPr>
              <w:t>se i campi “</w:t>
            </w:r>
            <w:r>
              <w:rPr>
                <w:i/>
                <w:sz w:val="18"/>
                <w:szCs w:val="18"/>
              </w:rPr>
              <w:t>Pagamento rateale</w:t>
            </w:r>
            <w:r>
              <w:rPr>
                <w:sz w:val="18"/>
                <w:szCs w:val="18"/>
              </w:rPr>
              <w:t>” e “</w:t>
            </w:r>
            <w:r>
              <w:rPr>
                <w:i/>
                <w:sz w:val="18"/>
                <w:szCs w:val="18"/>
              </w:rPr>
              <w:t xml:space="preserve">Pagamento rateale </w:t>
            </w:r>
            <w:proofErr w:type="spellStart"/>
            <w:r>
              <w:rPr>
                <w:i/>
                <w:sz w:val="18"/>
                <w:szCs w:val="18"/>
              </w:rPr>
              <w:t>ap</w:t>
            </w:r>
            <w:proofErr w:type="spellEnd"/>
            <w:r>
              <w:rPr>
                <w:sz w:val="18"/>
                <w:szCs w:val="18"/>
              </w:rPr>
              <w:t>” risultano entrambi compilati oppure entrambi NON compilati, nella denuncia telematica non viene riportato alcun codice (spazio).</w:t>
            </w:r>
          </w:p>
          <w:p>
            <w:pPr>
              <w:pStyle w:val="CorpoAltF0"/>
              <w:spacing w:before="60"/>
              <w:rPr>
                <w:sz w:val="18"/>
                <w:szCs w:val="18"/>
              </w:rPr>
            </w:pPr>
            <w:r>
              <w:rPr>
                <w:sz w:val="18"/>
                <w:szCs w:val="18"/>
              </w:rPr>
              <w:t>Si precisa che, al fine di riportare comunque il codice “R” (pagamento rateale) indipendentemente dall’applicazione della rateizzazione nella denuncia dell’anno precedente, è possibile indicare il valore “S” al campo “</w:t>
            </w:r>
            <w:r>
              <w:rPr>
                <w:i/>
                <w:sz w:val="18"/>
                <w:szCs w:val="18"/>
              </w:rPr>
              <w:t>Telematico: riportare ‘R’ anche per conferma di rateizzazione</w:t>
            </w:r>
            <w:r>
              <w:rPr>
                <w:sz w:val="18"/>
                <w:szCs w:val="18"/>
              </w:rPr>
              <w:t>” della sezione “</w:t>
            </w:r>
            <w:r>
              <w:rPr>
                <w:i/>
                <w:sz w:val="18"/>
                <w:szCs w:val="18"/>
              </w:rPr>
              <w:t>10SM</w:t>
            </w:r>
            <w:r>
              <w:rPr>
                <w:sz w:val="18"/>
                <w:szCs w:val="18"/>
              </w:rPr>
              <w:t xml:space="preserve">” di </w:t>
            </w:r>
            <w:r>
              <w:rPr>
                <w:b/>
                <w:sz w:val="18"/>
                <w:szCs w:val="18"/>
              </w:rPr>
              <w:t>TB1203</w:t>
            </w:r>
            <w:r>
              <w:rPr>
                <w:sz w:val="18"/>
                <w:szCs w:val="18"/>
              </w:rPr>
              <w:t>.</w:t>
            </w:r>
          </w:p>
          <w:p>
            <w:pPr>
              <w:pStyle w:val="CorpoAltF0"/>
              <w:rPr>
                <w:sz w:val="18"/>
                <w:szCs w:val="18"/>
                <w:highlight w:val="yellow"/>
              </w:rPr>
            </w:pPr>
          </w:p>
        </w:tc>
        <w:tc>
          <w:tcPr>
            <w:tcW w:w="5540" w:type="dxa"/>
            <w:shd w:val="clear" w:color="auto" w:fill="auto"/>
          </w:tcPr>
          <w:p>
            <w:pPr>
              <w:pStyle w:val="CorpoAltF0"/>
              <w:rPr>
                <w:sz w:val="18"/>
                <w:highlight w:val="yellow"/>
              </w:rPr>
            </w:pPr>
          </w:p>
          <w:p>
            <w:pPr>
              <w:pStyle w:val="CorpoAltF0"/>
              <w:rPr>
                <w:sz w:val="18"/>
                <w:highlight w:val="yellow"/>
              </w:rPr>
            </w:pPr>
          </w:p>
          <w:p>
            <w:pPr>
              <w:pStyle w:val="CorpoAltF0"/>
              <w:rPr>
                <w:sz w:val="18"/>
                <w:highlight w:val="yellow"/>
              </w:rPr>
            </w:pPr>
          </w:p>
          <w:p>
            <w:pPr>
              <w:pStyle w:val="CorpoAltF0"/>
              <w:rPr>
                <w:sz w:val="18"/>
                <w:highlight w:val="yellow"/>
              </w:rPr>
            </w:pPr>
          </w:p>
          <w:p>
            <w:pPr>
              <w:pStyle w:val="CorpoAltF0"/>
              <w:rPr>
                <w:sz w:val="18"/>
                <w:highlight w:val="yellow"/>
              </w:rPr>
            </w:pPr>
          </w:p>
          <w:p>
            <w:pPr>
              <w:pStyle w:val="CorpoAltF0"/>
              <w:rPr>
                <w:sz w:val="18"/>
                <w:highlight w:val="yellow"/>
              </w:rPr>
            </w:pPr>
          </w:p>
          <w:p>
            <w:pPr>
              <w:pStyle w:val="CorpoAltF0"/>
              <w:rPr>
                <w:sz w:val="18"/>
                <w:highlight w:val="yellow"/>
              </w:rPr>
            </w:pPr>
          </w:p>
          <w:p>
            <w:pPr>
              <w:pStyle w:val="CorpoAltF0"/>
              <w:rPr>
                <w:sz w:val="18"/>
                <w:highlight w:val="yellow"/>
              </w:rPr>
            </w:pPr>
          </w:p>
          <w:p>
            <w:pPr>
              <w:pStyle w:val="CorpoAltF0"/>
              <w:spacing w:before="120"/>
              <w:jc w:val="center"/>
              <w:rPr>
                <w:noProof/>
                <w:highlight w:val="yellow"/>
              </w:rPr>
            </w:pPr>
            <w:r>
              <w:rPr>
                <w:noProof/>
              </w:rPr>
              <w:drawing>
                <wp:inline distT="0" distB="0" distL="0" distR="0">
                  <wp:extent cx="3420000" cy="1841102"/>
                  <wp:effectExtent l="0" t="0" r="9525" b="6985"/>
                  <wp:docPr id="125" name="Immagin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20000" cy="1841102"/>
                          </a:xfrm>
                          <a:prstGeom prst="rect">
                            <a:avLst/>
                          </a:prstGeom>
                        </pic:spPr>
                      </pic:pic>
                    </a:graphicData>
                  </a:graphic>
                </wp:inline>
              </w:drawing>
            </w:r>
          </w:p>
          <w:p>
            <w:pPr>
              <w:pStyle w:val="CorpoAltF0"/>
              <w:rPr>
                <w:sz w:val="18"/>
                <w:highlight w:val="yellow"/>
              </w:rPr>
            </w:pPr>
          </w:p>
        </w:tc>
      </w:tr>
    </w:tbl>
    <w:p>
      <w:pPr>
        <w:pStyle w:val="CorpoAltF0"/>
        <w:rPr>
          <w:highlight w:val="yellow"/>
        </w:rPr>
      </w:pPr>
    </w:p>
    <w:p>
      <w:pPr>
        <w:pStyle w:val="CorpoAltF0"/>
        <w:rPr>
          <w:highlight w:val="yellow"/>
        </w:rPr>
      </w:pPr>
      <w:r>
        <w:rPr>
          <w:highlight w:val="yellow"/>
        </w:rPr>
        <w:br w:type="page"/>
      </w:r>
    </w:p>
    <w:p>
      <w:pPr>
        <w:pStyle w:val="CorpoAltF0"/>
        <w:rPr>
          <w:highlight w:val="yellow"/>
        </w:rPr>
      </w:pPr>
    </w:p>
    <w:p>
      <w:pPr>
        <w:pStyle w:val="TS-titolo-04"/>
      </w:pPr>
      <w:bookmarkStart w:id="69" w:name="_Toc471235863"/>
      <w:bookmarkStart w:id="70" w:name="_Toc6329829"/>
      <w:r>
        <w:t>Sequenza operativa Autoliquidazione INAIL 201</w:t>
      </w:r>
      <w:bookmarkEnd w:id="69"/>
      <w:r>
        <w:t>9</w:t>
      </w:r>
      <w:bookmarkEnd w:id="70"/>
    </w:p>
    <w:p>
      <w:pPr>
        <w:pStyle w:val="CorpoAltF0"/>
        <w:rPr>
          <w:sz w:val="10"/>
          <w:szCs w:val="10"/>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
        <w:gridCol w:w="6854"/>
        <w:gridCol w:w="2254"/>
      </w:tblGrid>
      <w:tr>
        <w:tc>
          <w:tcPr>
            <w:tcW w:w="534" w:type="dxa"/>
            <w:shd w:val="clear" w:color="auto" w:fill="auto"/>
          </w:tcPr>
          <w:p>
            <w:pPr>
              <w:pStyle w:val="CorpoAltF0"/>
              <w:spacing w:before="120"/>
              <w:jc w:val="center"/>
            </w:pPr>
          </w:p>
        </w:tc>
        <w:tc>
          <w:tcPr>
            <w:tcW w:w="7087" w:type="dxa"/>
            <w:shd w:val="clear" w:color="auto" w:fill="auto"/>
          </w:tcPr>
          <w:p>
            <w:pPr>
              <w:pStyle w:val="CorpoAltF0"/>
              <w:spacing w:before="120"/>
              <w:jc w:val="center"/>
              <w:rPr>
                <w:b/>
              </w:rPr>
            </w:pPr>
            <w:r>
              <w:rPr>
                <w:b/>
              </w:rPr>
              <w:t>Operazioni da eseguire</w:t>
            </w:r>
          </w:p>
        </w:tc>
        <w:tc>
          <w:tcPr>
            <w:tcW w:w="2300" w:type="dxa"/>
            <w:shd w:val="clear" w:color="auto" w:fill="auto"/>
          </w:tcPr>
          <w:p>
            <w:pPr>
              <w:pStyle w:val="CorpoAltF0"/>
              <w:spacing w:before="120"/>
              <w:jc w:val="center"/>
              <w:rPr>
                <w:b/>
              </w:rPr>
            </w:pPr>
            <w:r>
              <w:rPr>
                <w:b/>
              </w:rPr>
              <w:t>Comando</w:t>
            </w:r>
          </w:p>
        </w:tc>
      </w:tr>
    </w:tbl>
    <w:p>
      <w:pPr>
        <w:pStyle w:val="CorpoAltF0"/>
        <w:rPr>
          <w:sz w:val="10"/>
          <w:szCs w:val="10"/>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
        <w:gridCol w:w="7115"/>
        <w:gridCol w:w="2024"/>
      </w:tblGrid>
      <w:tr>
        <w:tc>
          <w:tcPr>
            <w:tcW w:w="9974" w:type="dxa"/>
            <w:gridSpan w:val="3"/>
            <w:shd w:val="clear" w:color="auto" w:fill="auto"/>
          </w:tcPr>
          <w:p>
            <w:pPr>
              <w:pStyle w:val="CorpoAltF0"/>
              <w:spacing w:before="120" w:after="120"/>
              <w:jc w:val="center"/>
              <w:rPr>
                <w:b/>
              </w:rPr>
            </w:pPr>
            <w:r>
              <w:rPr>
                <w:b/>
              </w:rPr>
              <w:t>Inserire / controllare / modificare le seguenti tabelle in PAGHE</w:t>
            </w:r>
          </w:p>
        </w:tc>
      </w:tr>
      <w:tr>
        <w:tc>
          <w:tcPr>
            <w:tcW w:w="9974" w:type="dxa"/>
            <w:gridSpan w:val="3"/>
            <w:shd w:val="clear" w:color="auto" w:fill="auto"/>
          </w:tcPr>
          <w:p>
            <w:pPr>
              <w:pStyle w:val="CorpoAltF0"/>
              <w:spacing w:before="60"/>
              <w:rPr>
                <w:b/>
              </w:rPr>
            </w:pPr>
            <w:r>
              <w:rPr>
                <w:b/>
              </w:rPr>
              <w:t>Per le tabelle che non prevedono l’anno di validità (TB0701, TB0702, TB0704, TB0705), i valori inseriti devono essere congrui con l’anno di elaborazione del modello 10SM (2018).</w:t>
            </w:r>
          </w:p>
        </w:tc>
      </w:tr>
      <w:tr>
        <w:tc>
          <w:tcPr>
            <w:tcW w:w="534" w:type="dxa"/>
            <w:shd w:val="clear" w:color="auto" w:fill="auto"/>
          </w:tcPr>
          <w:p>
            <w:pPr>
              <w:pStyle w:val="CorpoAltF0"/>
              <w:spacing w:before="120"/>
              <w:jc w:val="center"/>
            </w:pPr>
            <w:r>
              <w:t>1</w:t>
            </w:r>
          </w:p>
        </w:tc>
        <w:tc>
          <w:tcPr>
            <w:tcW w:w="7140" w:type="dxa"/>
            <w:shd w:val="clear" w:color="auto" w:fill="auto"/>
          </w:tcPr>
          <w:p>
            <w:pPr>
              <w:pStyle w:val="CorpoAltF0"/>
              <w:spacing w:before="120"/>
              <w:rPr>
                <w:b/>
              </w:rPr>
            </w:pPr>
            <w:r>
              <w:t xml:space="preserve">Completare la tabella delle Sedi </w:t>
            </w:r>
            <w:proofErr w:type="spellStart"/>
            <w:r>
              <w:t>inail</w:t>
            </w:r>
            <w:proofErr w:type="spellEnd"/>
            <w:r>
              <w:t xml:space="preserve"> indicando il codice della sede e le retribuzioni convenzionali annuali dei soci non artigiani riferite all’anno 2018 qualora queste siano differenti da quelle nazionali indicate in tabella </w:t>
            </w:r>
            <w:r>
              <w:rPr>
                <w:b/>
              </w:rPr>
              <w:t>TB0703</w:t>
            </w:r>
            <w:r>
              <w:t>.</w:t>
            </w:r>
          </w:p>
        </w:tc>
        <w:tc>
          <w:tcPr>
            <w:tcW w:w="2300" w:type="dxa"/>
            <w:shd w:val="clear" w:color="auto" w:fill="auto"/>
          </w:tcPr>
          <w:p>
            <w:pPr>
              <w:pStyle w:val="CorpoAltF0"/>
              <w:spacing w:before="120"/>
              <w:rPr>
                <w:b/>
              </w:rPr>
            </w:pPr>
            <w:r>
              <w:rPr>
                <w:b/>
              </w:rPr>
              <w:t>TB0701</w:t>
            </w:r>
          </w:p>
        </w:tc>
      </w:tr>
      <w:tr>
        <w:tc>
          <w:tcPr>
            <w:tcW w:w="534" w:type="dxa"/>
            <w:shd w:val="clear" w:color="auto" w:fill="auto"/>
          </w:tcPr>
          <w:p>
            <w:pPr>
              <w:pStyle w:val="CorpoAltF0"/>
              <w:spacing w:before="120"/>
              <w:jc w:val="center"/>
            </w:pPr>
            <w:r>
              <w:t>2</w:t>
            </w:r>
          </w:p>
        </w:tc>
        <w:tc>
          <w:tcPr>
            <w:tcW w:w="7140" w:type="dxa"/>
            <w:shd w:val="clear" w:color="auto" w:fill="auto"/>
          </w:tcPr>
          <w:p>
            <w:pPr>
              <w:pStyle w:val="CorpoAltF0"/>
              <w:spacing w:before="120"/>
            </w:pPr>
            <w:r>
              <w:t xml:space="preserve">Creare i contributi associativi se presenti nel modello inviato dall'INAIL con le relative specifiche indicando nell’ultimo campo della tabella il </w:t>
            </w:r>
            <w:r>
              <w:rPr>
                <w:b/>
                <w:bCs/>
              </w:rPr>
              <w:t>codice di riferimento per il versamento del contributo in F24</w:t>
            </w:r>
          </w:p>
        </w:tc>
        <w:tc>
          <w:tcPr>
            <w:tcW w:w="2300" w:type="dxa"/>
            <w:shd w:val="clear" w:color="auto" w:fill="auto"/>
          </w:tcPr>
          <w:p>
            <w:pPr>
              <w:pStyle w:val="CorpoAltF0"/>
              <w:spacing w:before="120"/>
              <w:rPr>
                <w:b/>
              </w:rPr>
            </w:pPr>
            <w:r>
              <w:rPr>
                <w:b/>
              </w:rPr>
              <w:t>TB0702</w:t>
            </w:r>
          </w:p>
        </w:tc>
      </w:tr>
      <w:tr>
        <w:tc>
          <w:tcPr>
            <w:tcW w:w="534" w:type="dxa"/>
            <w:shd w:val="clear" w:color="auto" w:fill="auto"/>
          </w:tcPr>
          <w:p>
            <w:pPr>
              <w:pStyle w:val="CorpoAltF0"/>
              <w:spacing w:before="120"/>
              <w:jc w:val="center"/>
            </w:pPr>
            <w:r>
              <w:t>3</w:t>
            </w:r>
          </w:p>
        </w:tc>
        <w:tc>
          <w:tcPr>
            <w:tcW w:w="7140" w:type="dxa"/>
            <w:shd w:val="clear" w:color="auto" w:fill="auto"/>
          </w:tcPr>
          <w:p>
            <w:pPr>
              <w:pStyle w:val="CorpoAltF0"/>
              <w:spacing w:before="120"/>
            </w:pPr>
            <w:r>
              <w:t>Verificare la tabella “</w:t>
            </w:r>
            <w:r>
              <w:rPr>
                <w:i/>
              </w:rPr>
              <w:t>Tabella classi di rischio e parametri</w:t>
            </w:r>
            <w:r>
              <w:t>” per l’anno 2018 con riferimento a:</w:t>
            </w:r>
          </w:p>
          <w:p>
            <w:pPr>
              <w:pStyle w:val="CorpoAltF0"/>
              <w:spacing w:before="120"/>
              <w:jc w:val="center"/>
            </w:pPr>
            <w:r>
              <w:rPr>
                <w:noProof/>
              </w:rPr>
              <w:drawing>
                <wp:inline distT="0" distB="0" distL="0" distR="0">
                  <wp:extent cx="4320000" cy="2127059"/>
                  <wp:effectExtent l="0" t="0" r="4445" b="6985"/>
                  <wp:docPr id="132" name="Immagin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320000" cy="2127059"/>
                          </a:xfrm>
                          <a:prstGeom prst="rect">
                            <a:avLst/>
                          </a:prstGeom>
                        </pic:spPr>
                      </pic:pic>
                    </a:graphicData>
                  </a:graphic>
                </wp:inline>
              </w:drawing>
            </w:r>
          </w:p>
          <w:p>
            <w:pPr>
              <w:pStyle w:val="CorpoAltF0"/>
              <w:numPr>
                <w:ilvl w:val="0"/>
                <w:numId w:val="11"/>
              </w:numPr>
              <w:spacing w:before="60"/>
              <w:ind w:left="318" w:hanging="284"/>
            </w:pPr>
            <w:r>
              <w:t>importi delle classi di rischio</w:t>
            </w:r>
          </w:p>
          <w:p>
            <w:pPr>
              <w:pStyle w:val="CorpoAltF0"/>
              <w:numPr>
                <w:ilvl w:val="0"/>
                <w:numId w:val="11"/>
              </w:numPr>
              <w:spacing w:before="60"/>
              <w:ind w:left="318" w:hanging="284"/>
            </w:pPr>
            <w:r>
              <w:t>retribuzione annua per i soci artigiani</w:t>
            </w:r>
          </w:p>
          <w:p>
            <w:pPr>
              <w:pStyle w:val="CorpoAltF0"/>
              <w:numPr>
                <w:ilvl w:val="0"/>
                <w:numId w:val="11"/>
              </w:numPr>
              <w:spacing w:before="60"/>
              <w:ind w:left="318" w:hanging="284"/>
            </w:pPr>
            <w:r>
              <w:t>retribuzione annua per i soci non artigiani</w:t>
            </w:r>
          </w:p>
          <w:p>
            <w:pPr>
              <w:pStyle w:val="CorpoAltF0"/>
              <w:numPr>
                <w:ilvl w:val="0"/>
                <w:numId w:val="11"/>
              </w:numPr>
              <w:spacing w:before="60"/>
              <w:ind w:left="318" w:hanging="284"/>
            </w:pPr>
            <w:r>
              <w:t>retribuzione annua per i collaboratori familiari art. 230 bis</w:t>
            </w:r>
          </w:p>
          <w:p>
            <w:pPr>
              <w:pStyle w:val="CorpoAltF0"/>
              <w:numPr>
                <w:ilvl w:val="0"/>
                <w:numId w:val="11"/>
              </w:numPr>
              <w:spacing w:before="60"/>
              <w:ind w:left="318" w:hanging="284"/>
            </w:pPr>
            <w:r>
              <w:t>retribuzione convenzionale per i dirigenti</w:t>
            </w:r>
          </w:p>
          <w:p>
            <w:pPr>
              <w:pStyle w:val="CorpoAltF0"/>
              <w:numPr>
                <w:ilvl w:val="0"/>
                <w:numId w:val="11"/>
              </w:numPr>
              <w:spacing w:before="60"/>
              <w:ind w:left="318" w:hanging="284"/>
            </w:pPr>
            <w:r>
              <w:t>percentuale di sconto del premio artigiani su regolazione</w:t>
            </w:r>
          </w:p>
          <w:p>
            <w:pPr>
              <w:pStyle w:val="CorpoAltF0"/>
              <w:numPr>
                <w:ilvl w:val="0"/>
                <w:numId w:val="11"/>
              </w:numPr>
              <w:spacing w:before="60"/>
              <w:ind w:left="318" w:hanging="284"/>
            </w:pPr>
            <w:r>
              <w:t>percentuale di sconto del settore pesca (su regolazione e su rata)</w:t>
            </w:r>
          </w:p>
          <w:p>
            <w:pPr>
              <w:pStyle w:val="CorpoAltF0"/>
              <w:numPr>
                <w:ilvl w:val="0"/>
                <w:numId w:val="11"/>
              </w:numPr>
              <w:spacing w:before="60"/>
              <w:ind w:left="318" w:hanging="284"/>
            </w:pPr>
            <w:r>
              <w:t>percentuali riduzione L. 147/13 (solo su regolazione).</w:t>
            </w:r>
          </w:p>
          <w:p>
            <w:pPr>
              <w:pStyle w:val="CorpoAltF0"/>
              <w:spacing w:before="120"/>
            </w:pPr>
            <w:r>
              <w:t>Per le retribuzioni convenzionali dei soci non artigiani, dei collaboratori familiari e dei dirigenti indicare quella valida fino al 30/06/2018 e quella valida a partire dal 1/7/2018.</w:t>
            </w:r>
          </w:p>
          <w:p>
            <w:pPr>
              <w:pStyle w:val="CorpoAltF0"/>
              <w:spacing w:before="120"/>
            </w:pPr>
            <w:r>
              <w:t>La tabella viene aggiornata come sopra illustrato, con l’aggiornamento delle tabelle fisse (</w:t>
            </w:r>
            <w:r>
              <w:rPr>
                <w:b/>
              </w:rPr>
              <w:t>AGGTAB</w:t>
            </w:r>
            <w:r>
              <w:t>) eseguito con l’installazione della versione PAGHE 2019.1.2; contestualmente, nella stessa tabella, con riferimento al 2019, vengono aggiornati anche gli importi di premio previsti per ciascuna classe di rischio a partire dal 2019.</w:t>
            </w:r>
          </w:p>
        </w:tc>
        <w:tc>
          <w:tcPr>
            <w:tcW w:w="2300" w:type="dxa"/>
            <w:shd w:val="clear" w:color="auto" w:fill="auto"/>
          </w:tcPr>
          <w:p>
            <w:pPr>
              <w:pStyle w:val="CorpoAltF0"/>
              <w:spacing w:before="120"/>
              <w:rPr>
                <w:b/>
              </w:rPr>
            </w:pPr>
            <w:r>
              <w:rPr>
                <w:b/>
              </w:rPr>
              <w:t>TB0703</w:t>
            </w:r>
          </w:p>
        </w:tc>
      </w:tr>
      <w:tr>
        <w:tc>
          <w:tcPr>
            <w:tcW w:w="534" w:type="dxa"/>
            <w:shd w:val="clear" w:color="auto" w:fill="auto"/>
          </w:tcPr>
          <w:p>
            <w:pPr>
              <w:pStyle w:val="CorpoAltF0"/>
              <w:spacing w:before="120"/>
              <w:jc w:val="center"/>
            </w:pPr>
            <w:r>
              <w:t>4</w:t>
            </w:r>
          </w:p>
        </w:tc>
        <w:tc>
          <w:tcPr>
            <w:tcW w:w="7140" w:type="dxa"/>
            <w:shd w:val="clear" w:color="auto" w:fill="auto"/>
          </w:tcPr>
          <w:p>
            <w:pPr>
              <w:pStyle w:val="CorpoAltF0"/>
              <w:spacing w:before="120"/>
              <w:rPr>
                <w:highlight w:val="red"/>
              </w:rPr>
            </w:pPr>
            <w:r>
              <w:t xml:space="preserve">Sulla base delle Istruzioni operative INAIL n. 5453 del 3.4.2019, nella tabella </w:t>
            </w:r>
            <w:r>
              <w:rPr>
                <w:b/>
              </w:rPr>
              <w:t>TB0704</w:t>
            </w:r>
            <w:r>
              <w:t xml:space="preserve"> viene inserito il tasso del </w:t>
            </w:r>
            <w:r>
              <w:rPr>
                <w:b/>
              </w:rPr>
              <w:t>1,07%</w:t>
            </w:r>
            <w:r>
              <w:t xml:space="preserve"> ed i giorni di dilazione previsti ai fini del calcolo degli interessi per pagamento rateale.</w:t>
            </w:r>
          </w:p>
        </w:tc>
        <w:tc>
          <w:tcPr>
            <w:tcW w:w="2300" w:type="dxa"/>
            <w:shd w:val="clear" w:color="auto" w:fill="auto"/>
          </w:tcPr>
          <w:p>
            <w:pPr>
              <w:pStyle w:val="CorpoAltF0"/>
              <w:spacing w:before="120"/>
              <w:rPr>
                <w:b/>
              </w:rPr>
            </w:pPr>
            <w:r>
              <w:rPr>
                <w:b/>
              </w:rPr>
              <w:t>TB0704</w:t>
            </w:r>
          </w:p>
          <w:p>
            <w:pPr>
              <w:pStyle w:val="CorpoAltF0"/>
              <w:rPr>
                <w:highlight w:val="yellow"/>
              </w:rPr>
            </w:pPr>
            <w:r>
              <w:t>“</w:t>
            </w:r>
            <w:r>
              <w:rPr>
                <w:i/>
              </w:rPr>
              <w:t>Tasso interesse base</w:t>
            </w:r>
            <w:r>
              <w:t>”</w:t>
            </w:r>
          </w:p>
        </w:tc>
      </w:tr>
      <w:tr>
        <w:tc>
          <w:tcPr>
            <w:tcW w:w="534" w:type="dxa"/>
            <w:shd w:val="clear" w:color="auto" w:fill="auto"/>
          </w:tcPr>
          <w:p>
            <w:pPr>
              <w:pStyle w:val="CorpoAltF0"/>
              <w:spacing w:before="120"/>
              <w:jc w:val="center"/>
            </w:pPr>
            <w:r>
              <w:t>5</w:t>
            </w:r>
          </w:p>
        </w:tc>
        <w:tc>
          <w:tcPr>
            <w:tcW w:w="7140" w:type="dxa"/>
            <w:shd w:val="clear" w:color="auto" w:fill="auto"/>
          </w:tcPr>
          <w:p>
            <w:pPr>
              <w:pStyle w:val="CorpoAltF0"/>
              <w:spacing w:before="120"/>
            </w:pPr>
            <w:r>
              <w:t>Verificare la tabella di correlazione posizioni assicurative / sigle INAIL.</w:t>
            </w:r>
          </w:p>
        </w:tc>
        <w:tc>
          <w:tcPr>
            <w:tcW w:w="2300" w:type="dxa"/>
            <w:shd w:val="clear" w:color="auto" w:fill="auto"/>
          </w:tcPr>
          <w:p>
            <w:pPr>
              <w:pStyle w:val="CorpoAltF0"/>
              <w:spacing w:before="120"/>
              <w:rPr>
                <w:b/>
              </w:rPr>
            </w:pPr>
            <w:r>
              <w:rPr>
                <w:b/>
              </w:rPr>
              <w:t>TB0705</w:t>
            </w:r>
          </w:p>
        </w:tc>
      </w:tr>
    </w:tbl>
    <w:p>
      <w:pPr>
        <w:pStyle w:val="CorpoAltF0"/>
        <w:rPr>
          <w:highlight w:val="yellow"/>
        </w:rPr>
      </w:pPr>
      <w:r>
        <w:rPr>
          <w:highlight w:val="yellow"/>
        </w:rPr>
        <w:br w:type="page"/>
      </w:r>
    </w:p>
    <w:p>
      <w:pPr>
        <w:pStyle w:val="Ignora"/>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7077"/>
        <w:gridCol w:w="2054"/>
      </w:tblGrid>
      <w:tr>
        <w:tc>
          <w:tcPr>
            <w:tcW w:w="9921" w:type="dxa"/>
            <w:gridSpan w:val="3"/>
            <w:shd w:val="clear" w:color="auto" w:fill="auto"/>
          </w:tcPr>
          <w:p>
            <w:pPr>
              <w:pStyle w:val="CorpoAltF0"/>
              <w:spacing w:before="120" w:after="120"/>
              <w:jc w:val="center"/>
              <w:rPr>
                <w:b/>
              </w:rPr>
            </w:pPr>
            <w:r>
              <w:rPr>
                <w:b/>
              </w:rPr>
              <w:t>Interventi sulle posizioni assicurative o PAT</w:t>
            </w:r>
          </w:p>
        </w:tc>
      </w:tr>
      <w:tr>
        <w:tc>
          <w:tcPr>
            <w:tcW w:w="534" w:type="dxa"/>
            <w:shd w:val="clear" w:color="auto" w:fill="auto"/>
          </w:tcPr>
          <w:p>
            <w:pPr>
              <w:pStyle w:val="CorpoAltF0"/>
              <w:spacing w:before="120"/>
              <w:jc w:val="center"/>
              <w:rPr>
                <w:highlight w:val="yellow"/>
              </w:rPr>
            </w:pPr>
            <w:r>
              <w:t>6</w:t>
            </w:r>
          </w:p>
        </w:tc>
        <w:tc>
          <w:tcPr>
            <w:tcW w:w="7087" w:type="dxa"/>
            <w:shd w:val="clear" w:color="auto" w:fill="auto"/>
          </w:tcPr>
          <w:p>
            <w:pPr>
              <w:pStyle w:val="CorpoAltF0"/>
              <w:spacing w:before="120"/>
            </w:pPr>
            <w:r>
              <w:t xml:space="preserve">Dopo la verifica dei codici voce e PAT variati in relazione alla revisione delle tariffe (vedi vers. PAGHE 2019.1.1), verificare/aggiornare, anche mediante il comando </w:t>
            </w:r>
            <w:r>
              <w:rPr>
                <w:b/>
              </w:rPr>
              <w:t>AGGTAS</w:t>
            </w:r>
            <w:r>
              <w:t xml:space="preserve"> </w:t>
            </w:r>
            <w:r>
              <w:rPr>
                <w:sz w:val="18"/>
              </w:rPr>
              <w:t>&gt; “</w:t>
            </w:r>
            <w:r>
              <w:rPr>
                <w:i/>
                <w:sz w:val="18"/>
              </w:rPr>
              <w:t>Aggiornamento tassi</w:t>
            </w:r>
            <w:r>
              <w:rPr>
                <w:sz w:val="18"/>
              </w:rPr>
              <w:t>”</w:t>
            </w:r>
            <w:r>
              <w:t xml:space="preserve"> (v. pag. </w:t>
            </w:r>
            <w:r>
              <w:fldChar w:fldCharType="begin"/>
            </w:r>
            <w:r>
              <w:instrText xml:space="preserve"> PAGEREF AGGTAS \h </w:instrText>
            </w:r>
            <w:r>
              <w:fldChar w:fldCharType="separate"/>
            </w:r>
            <w:r>
              <w:rPr>
                <w:noProof/>
              </w:rPr>
              <w:t>12</w:t>
            </w:r>
            <w:r>
              <w:fldChar w:fldCharType="end"/>
            </w:r>
            <w:r>
              <w:t>), i dati per ciascuna posizione Inail aziendale, con riferimento all’anno di regolazione e di rata:</w:t>
            </w:r>
          </w:p>
          <w:p>
            <w:pPr>
              <w:pStyle w:val="CorpoAltF0"/>
              <w:numPr>
                <w:ilvl w:val="0"/>
                <w:numId w:val="11"/>
              </w:numPr>
              <w:spacing w:before="60"/>
              <w:ind w:left="318" w:hanging="284"/>
            </w:pPr>
            <w:r>
              <w:t>voci di tariffa</w:t>
            </w:r>
          </w:p>
          <w:p>
            <w:pPr>
              <w:pStyle w:val="CorpoAltF0"/>
              <w:numPr>
                <w:ilvl w:val="0"/>
                <w:numId w:val="11"/>
              </w:numPr>
              <w:spacing w:before="60"/>
              <w:ind w:left="318" w:hanging="284"/>
            </w:pPr>
            <w:r>
              <w:t>tasso Inail per la regolazione (tabella per l’anno 2018) e per la rata (tabella per l’anno 2019)</w:t>
            </w:r>
          </w:p>
          <w:p>
            <w:pPr>
              <w:pStyle w:val="CorpoAltF0"/>
              <w:numPr>
                <w:ilvl w:val="0"/>
                <w:numId w:val="11"/>
              </w:numPr>
              <w:spacing w:before="60"/>
              <w:ind w:left="318" w:hanging="284"/>
            </w:pPr>
            <w:r>
              <w:t>opzione per applicare la retribuzione convenzionale per i dirigenti e per i quadri</w:t>
            </w:r>
          </w:p>
          <w:p>
            <w:pPr>
              <w:pStyle w:val="CorpoAltF0"/>
              <w:numPr>
                <w:ilvl w:val="0"/>
                <w:numId w:val="11"/>
              </w:numPr>
              <w:spacing w:before="60"/>
              <w:ind w:left="318" w:hanging="284"/>
            </w:pPr>
            <w:r>
              <w:t>eventuale data di cessazione</w:t>
            </w:r>
          </w:p>
          <w:p>
            <w:pPr>
              <w:pStyle w:val="CorpoAltF0"/>
              <w:numPr>
                <w:ilvl w:val="0"/>
                <w:numId w:val="11"/>
              </w:numPr>
              <w:spacing w:before="60"/>
              <w:ind w:left="318" w:hanging="284"/>
            </w:pPr>
            <w:r>
              <w:t>eventuale data di variazione del tasso, sconto o agevolazione, inserendo la data del termine del primo periodo</w:t>
            </w:r>
          </w:p>
          <w:p>
            <w:pPr>
              <w:pStyle w:val="CorpoAltF0"/>
              <w:numPr>
                <w:ilvl w:val="0"/>
                <w:numId w:val="11"/>
              </w:numPr>
              <w:spacing w:before="60"/>
              <w:ind w:left="318" w:hanging="284"/>
            </w:pPr>
            <w:r>
              <w:t>indicazione dello stato della posizione dipendenti (valorizzando il campo si indica che la posizione dipendenti è aperta)</w:t>
            </w:r>
          </w:p>
          <w:p>
            <w:pPr>
              <w:pStyle w:val="CorpoAltF0"/>
              <w:spacing w:before="120"/>
              <w:jc w:val="center"/>
              <w:rPr>
                <w:noProof/>
              </w:rPr>
            </w:pPr>
            <w:r>
              <w:rPr>
                <w:noProof/>
              </w:rPr>
              <w:drawing>
                <wp:inline distT="0" distB="0" distL="0" distR="0">
                  <wp:extent cx="4320000" cy="2117647"/>
                  <wp:effectExtent l="0" t="0" r="4445" b="0"/>
                  <wp:docPr id="134" name="Immagin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320000" cy="2117647"/>
                          </a:xfrm>
                          <a:prstGeom prst="rect">
                            <a:avLst/>
                          </a:prstGeom>
                        </pic:spPr>
                      </pic:pic>
                    </a:graphicData>
                  </a:graphic>
                </wp:inline>
              </w:drawing>
            </w:r>
          </w:p>
          <w:p>
            <w:pPr>
              <w:pStyle w:val="CorpoAltF0"/>
              <w:spacing w:before="120"/>
              <w:rPr>
                <w:b/>
                <w:sz w:val="18"/>
                <w:szCs w:val="18"/>
              </w:rPr>
            </w:pPr>
            <w:r>
              <w:rPr>
                <w:b/>
                <w:sz w:val="18"/>
                <w:szCs w:val="18"/>
              </w:rPr>
              <w:t>Dettaglio campi</w:t>
            </w:r>
          </w:p>
          <w:p>
            <w:pPr>
              <w:pStyle w:val="CorpoAltF0"/>
              <w:spacing w:before="60"/>
              <w:rPr>
                <w:sz w:val="18"/>
                <w:szCs w:val="18"/>
              </w:rPr>
            </w:pPr>
            <w:r>
              <w:rPr>
                <w:b/>
                <w:i/>
                <w:sz w:val="18"/>
                <w:szCs w:val="18"/>
              </w:rPr>
              <w:t>Codice voce</w:t>
            </w:r>
            <w:r>
              <w:rPr>
                <w:sz w:val="18"/>
                <w:szCs w:val="18"/>
              </w:rPr>
              <w:t>: inserire il codice della voce di tariffa indicato nelle basi di calcolo</w:t>
            </w:r>
          </w:p>
          <w:p>
            <w:pPr>
              <w:pStyle w:val="CorpoAltF0"/>
              <w:spacing w:before="60"/>
              <w:rPr>
                <w:sz w:val="18"/>
                <w:szCs w:val="18"/>
              </w:rPr>
            </w:pPr>
            <w:r>
              <w:rPr>
                <w:b/>
                <w:i/>
                <w:sz w:val="18"/>
                <w:szCs w:val="18"/>
              </w:rPr>
              <w:t>Inquadramento</w:t>
            </w:r>
            <w:r>
              <w:rPr>
                <w:sz w:val="18"/>
                <w:szCs w:val="18"/>
              </w:rPr>
              <w:t>: 1 = industria; 2 = artigianato; 3 = terziario; 4 = altre attività</w:t>
            </w:r>
          </w:p>
          <w:p>
            <w:pPr>
              <w:pStyle w:val="CorpoAltF0"/>
              <w:spacing w:before="60"/>
              <w:ind w:left="804" w:hanging="804"/>
              <w:rPr>
                <w:sz w:val="18"/>
                <w:szCs w:val="18"/>
              </w:rPr>
            </w:pPr>
            <w:r>
              <w:rPr>
                <w:b/>
                <w:i/>
                <w:sz w:val="18"/>
                <w:szCs w:val="18"/>
              </w:rPr>
              <w:t>Silicosi/Asbestosi</w:t>
            </w:r>
            <w:r>
              <w:rPr>
                <w:sz w:val="18"/>
                <w:szCs w:val="18"/>
              </w:rPr>
              <w:t>: contrassegnare la casella per le voci di tariffa con rischio silicosi (solo 2018)</w:t>
            </w:r>
          </w:p>
          <w:p>
            <w:pPr>
              <w:pStyle w:val="CorpoAltF0"/>
              <w:spacing w:before="60"/>
              <w:rPr>
                <w:sz w:val="18"/>
                <w:szCs w:val="18"/>
              </w:rPr>
            </w:pPr>
            <w:r>
              <w:rPr>
                <w:b/>
                <w:i/>
                <w:sz w:val="18"/>
                <w:szCs w:val="18"/>
              </w:rPr>
              <w:t>Sconto</w:t>
            </w:r>
            <w:r>
              <w:rPr>
                <w:sz w:val="18"/>
                <w:szCs w:val="18"/>
              </w:rPr>
              <w:t>: P = Pesca; E = Edilizia</w:t>
            </w:r>
          </w:p>
          <w:p>
            <w:pPr>
              <w:pStyle w:val="CorpoAltF0"/>
              <w:spacing w:before="60"/>
              <w:ind w:left="819" w:hanging="819"/>
              <w:rPr>
                <w:sz w:val="18"/>
                <w:szCs w:val="18"/>
              </w:rPr>
            </w:pPr>
            <w:r>
              <w:rPr>
                <w:b/>
                <w:i/>
                <w:sz w:val="18"/>
                <w:szCs w:val="18"/>
              </w:rPr>
              <w:t>L.147/13</w:t>
            </w:r>
            <w:r>
              <w:rPr>
                <w:sz w:val="18"/>
                <w:szCs w:val="18"/>
              </w:rPr>
              <w:t>: contrassegnare la casella per le voci di tariffa identificate dalla relativa percentuale al campo “</w:t>
            </w:r>
            <w:r>
              <w:rPr>
                <w:i/>
                <w:sz w:val="18"/>
                <w:szCs w:val="18"/>
              </w:rPr>
              <w:t>Riduzione legge 147/2013</w:t>
            </w:r>
            <w:r>
              <w:rPr>
                <w:sz w:val="18"/>
                <w:szCs w:val="18"/>
              </w:rPr>
              <w:t xml:space="preserve">” delle base di calcolo INAIL </w:t>
            </w:r>
            <w:r>
              <w:rPr>
                <w:sz w:val="18"/>
                <w:szCs w:val="18"/>
              </w:rPr>
              <w:br/>
              <w:t>(solo 2018)</w:t>
            </w:r>
          </w:p>
          <w:p>
            <w:pPr>
              <w:pStyle w:val="CorpoAltF0"/>
              <w:spacing w:before="60"/>
              <w:rPr>
                <w:sz w:val="18"/>
                <w:szCs w:val="18"/>
              </w:rPr>
            </w:pPr>
            <w:r>
              <w:rPr>
                <w:b/>
                <w:i/>
                <w:sz w:val="18"/>
                <w:szCs w:val="18"/>
              </w:rPr>
              <w:t>% Inail</w:t>
            </w:r>
            <w:r>
              <w:rPr>
                <w:sz w:val="18"/>
                <w:szCs w:val="18"/>
              </w:rPr>
              <w:t>: indicare il tasso di regolazione (tabella 2018) e di rata (tabella 2019)</w:t>
            </w:r>
          </w:p>
          <w:p>
            <w:pPr>
              <w:pStyle w:val="CorpoAltF0"/>
              <w:spacing w:before="60"/>
              <w:ind w:left="804" w:hanging="804"/>
              <w:rPr>
                <w:sz w:val="18"/>
                <w:szCs w:val="18"/>
                <w:highlight w:val="yellow"/>
              </w:rPr>
            </w:pPr>
            <w:r>
              <w:rPr>
                <w:b/>
                <w:i/>
                <w:sz w:val="18"/>
                <w:szCs w:val="18"/>
              </w:rPr>
              <w:t>% Incidenza</w:t>
            </w:r>
            <w:r>
              <w:rPr>
                <w:sz w:val="18"/>
                <w:szCs w:val="18"/>
              </w:rPr>
              <w:t>: per le PAT ponderate indicare la percentuale di incidenza del tasso sulle retribuzioni</w:t>
            </w:r>
          </w:p>
        </w:tc>
        <w:tc>
          <w:tcPr>
            <w:tcW w:w="2300" w:type="dxa"/>
            <w:shd w:val="clear" w:color="auto" w:fill="auto"/>
          </w:tcPr>
          <w:p>
            <w:pPr>
              <w:pStyle w:val="CorpoAltF0"/>
              <w:spacing w:before="120"/>
              <w:rPr>
                <w:highlight w:val="yellow"/>
              </w:rPr>
            </w:pPr>
            <w:r>
              <w:rPr>
                <w:b/>
              </w:rPr>
              <w:t>AZIE</w:t>
            </w:r>
            <w:r>
              <w:t xml:space="preserve"> scheda “</w:t>
            </w:r>
            <w:r>
              <w:rPr>
                <w:i/>
              </w:rPr>
              <w:t>INAIL</w:t>
            </w:r>
            <w:r>
              <w:t>”</w:t>
            </w:r>
          </w:p>
        </w:tc>
      </w:tr>
      <w:tr>
        <w:tc>
          <w:tcPr>
            <w:tcW w:w="534" w:type="dxa"/>
            <w:shd w:val="clear" w:color="auto" w:fill="auto"/>
          </w:tcPr>
          <w:p>
            <w:pPr>
              <w:pStyle w:val="CorpoAltF0"/>
              <w:spacing w:before="120"/>
              <w:jc w:val="center"/>
            </w:pPr>
            <w:r>
              <w:t>7</w:t>
            </w:r>
          </w:p>
        </w:tc>
        <w:tc>
          <w:tcPr>
            <w:tcW w:w="7087" w:type="dxa"/>
            <w:shd w:val="clear" w:color="auto" w:fill="auto"/>
          </w:tcPr>
          <w:p>
            <w:pPr>
              <w:pStyle w:val="CorpoAltF0"/>
              <w:spacing w:before="120"/>
            </w:pPr>
            <w:r>
              <w:t>Inserire o controllare i dati relativi ai soci artigiani e non artigiani</w:t>
            </w:r>
          </w:p>
        </w:tc>
        <w:tc>
          <w:tcPr>
            <w:tcW w:w="2300" w:type="dxa"/>
            <w:shd w:val="clear" w:color="auto" w:fill="auto"/>
          </w:tcPr>
          <w:p>
            <w:pPr>
              <w:pStyle w:val="CorpoAltF0"/>
              <w:spacing w:before="120"/>
            </w:pPr>
            <w:r>
              <w:t xml:space="preserve">(vedi pag. </w:t>
            </w:r>
            <w:r>
              <w:fldChar w:fldCharType="begin"/>
            </w:r>
            <w:r>
              <w:instrText xml:space="preserve"> PAGEREF App1_GestioneSoci_Collab_Ass_ecc \h </w:instrText>
            </w:r>
            <w:r>
              <w:fldChar w:fldCharType="separate"/>
            </w:r>
            <w:r>
              <w:rPr>
                <w:noProof/>
              </w:rPr>
              <w:t>36</w:t>
            </w:r>
            <w:r>
              <w:fldChar w:fldCharType="end"/>
            </w:r>
            <w:r>
              <w:t xml:space="preserve">) </w:t>
            </w:r>
          </w:p>
        </w:tc>
      </w:tr>
    </w:tbl>
    <w:p>
      <w:pPr>
        <w:pStyle w:val="CorpoAltF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
        <w:gridCol w:w="6858"/>
        <w:gridCol w:w="2246"/>
      </w:tblGrid>
      <w:tr>
        <w:tc>
          <w:tcPr>
            <w:tcW w:w="9855" w:type="dxa"/>
            <w:gridSpan w:val="3"/>
            <w:shd w:val="clear" w:color="auto" w:fill="auto"/>
          </w:tcPr>
          <w:p>
            <w:pPr>
              <w:pStyle w:val="CorpoAltF0"/>
              <w:spacing w:before="120" w:after="120"/>
              <w:jc w:val="center"/>
              <w:rPr>
                <w:b/>
              </w:rPr>
            </w:pPr>
            <w:r>
              <w:rPr>
                <w:b/>
              </w:rPr>
              <w:t>Informazioni relative all’azienda utili al versamento in F24</w:t>
            </w:r>
          </w:p>
        </w:tc>
      </w:tr>
      <w:tr>
        <w:tc>
          <w:tcPr>
            <w:tcW w:w="532" w:type="dxa"/>
            <w:shd w:val="clear" w:color="auto" w:fill="auto"/>
          </w:tcPr>
          <w:p>
            <w:pPr>
              <w:pStyle w:val="CorpoAltF0"/>
              <w:spacing w:before="120"/>
              <w:jc w:val="center"/>
            </w:pPr>
            <w:r>
              <w:t>8</w:t>
            </w:r>
          </w:p>
        </w:tc>
        <w:tc>
          <w:tcPr>
            <w:tcW w:w="7035" w:type="dxa"/>
            <w:shd w:val="clear" w:color="auto" w:fill="auto"/>
          </w:tcPr>
          <w:p>
            <w:pPr>
              <w:pStyle w:val="CorpoAltF0"/>
              <w:spacing w:before="120"/>
            </w:pPr>
            <w:r>
              <w:t xml:space="preserve">Controllare o inserire in </w:t>
            </w:r>
            <w:r>
              <w:rPr>
                <w:b/>
              </w:rPr>
              <w:t>AZIE</w:t>
            </w:r>
            <w:r>
              <w:t xml:space="preserve"> il codice cliente comunicato dall’INAIL per il versamento dei premi in F24.</w:t>
            </w:r>
          </w:p>
        </w:tc>
        <w:tc>
          <w:tcPr>
            <w:tcW w:w="2288" w:type="dxa"/>
            <w:shd w:val="clear" w:color="auto" w:fill="auto"/>
          </w:tcPr>
          <w:p>
            <w:pPr>
              <w:pStyle w:val="CorpoAltF0"/>
              <w:spacing w:before="120"/>
            </w:pPr>
            <w:r>
              <w:rPr>
                <w:b/>
              </w:rPr>
              <w:t>AZIE</w:t>
            </w:r>
            <w:r>
              <w:t>, scheda “</w:t>
            </w:r>
            <w:r>
              <w:rPr>
                <w:i/>
              </w:rPr>
              <w:t>INAIL</w:t>
            </w:r>
            <w:r>
              <w:t>”, campo “</w:t>
            </w:r>
            <w:r>
              <w:rPr>
                <w:i/>
              </w:rPr>
              <w:t>Codice ditta</w:t>
            </w:r>
            <w:r>
              <w:t>”</w:t>
            </w:r>
          </w:p>
        </w:tc>
      </w:tr>
    </w:tbl>
    <w:p>
      <w:pPr>
        <w:pStyle w:val="CorpoAltF0"/>
        <w:rPr>
          <w:highlight w:val="yellow"/>
        </w:rPr>
      </w:pPr>
      <w:r>
        <w:rPr>
          <w:highlight w:val="yellow"/>
        </w:rPr>
        <w:br w:type="page"/>
      </w:r>
    </w:p>
    <w:p>
      <w:pPr>
        <w:pStyle w:val="CorpoAltF0"/>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9"/>
        <w:gridCol w:w="6842"/>
        <w:gridCol w:w="2258"/>
      </w:tblGrid>
      <w:tr>
        <w:tc>
          <w:tcPr>
            <w:tcW w:w="9855" w:type="dxa"/>
            <w:gridSpan w:val="3"/>
            <w:shd w:val="clear" w:color="auto" w:fill="auto"/>
          </w:tcPr>
          <w:p>
            <w:pPr>
              <w:pStyle w:val="CorpoAltF0"/>
              <w:spacing w:before="120" w:after="120"/>
              <w:jc w:val="center"/>
              <w:rPr>
                <w:b/>
              </w:rPr>
            </w:pPr>
            <w:r>
              <w:rPr>
                <w:b/>
              </w:rPr>
              <w:t>Elaborazione della denuncia salari</w:t>
            </w:r>
          </w:p>
        </w:tc>
      </w:tr>
      <w:tr>
        <w:tc>
          <w:tcPr>
            <w:tcW w:w="533" w:type="dxa"/>
            <w:tcBorders>
              <w:bottom w:val="single" w:sz="4" w:space="0" w:color="auto"/>
            </w:tcBorders>
            <w:shd w:val="clear" w:color="auto" w:fill="auto"/>
          </w:tcPr>
          <w:p>
            <w:pPr>
              <w:pStyle w:val="CorpoAltF0"/>
              <w:spacing w:before="120"/>
              <w:jc w:val="center"/>
            </w:pPr>
            <w:r>
              <w:t>9</w:t>
            </w:r>
          </w:p>
        </w:tc>
        <w:tc>
          <w:tcPr>
            <w:tcW w:w="7034" w:type="dxa"/>
            <w:tcBorders>
              <w:bottom w:val="single" w:sz="4" w:space="0" w:color="auto"/>
            </w:tcBorders>
            <w:shd w:val="clear" w:color="auto" w:fill="auto"/>
          </w:tcPr>
          <w:p>
            <w:pPr>
              <w:pStyle w:val="CorpoAltF0"/>
              <w:spacing w:before="120"/>
              <w:rPr>
                <w:b/>
              </w:rPr>
            </w:pPr>
            <w:r>
              <w:t xml:space="preserve">Eseguire il programma </w:t>
            </w:r>
            <w:r>
              <w:rPr>
                <w:b/>
              </w:rPr>
              <w:t>10SM</w:t>
            </w:r>
          </w:p>
        </w:tc>
        <w:tc>
          <w:tcPr>
            <w:tcW w:w="2288" w:type="dxa"/>
            <w:tcBorders>
              <w:bottom w:val="single" w:sz="4" w:space="0" w:color="auto"/>
            </w:tcBorders>
            <w:shd w:val="clear" w:color="auto" w:fill="auto"/>
          </w:tcPr>
          <w:p>
            <w:pPr>
              <w:pStyle w:val="CorpoAltF0"/>
              <w:spacing w:before="120"/>
              <w:rPr>
                <w:b/>
              </w:rPr>
            </w:pPr>
            <w:r>
              <w:rPr>
                <w:b/>
              </w:rPr>
              <w:t>10SM</w:t>
            </w:r>
          </w:p>
        </w:tc>
      </w:tr>
      <w:tr>
        <w:tc>
          <w:tcPr>
            <w:tcW w:w="533" w:type="dxa"/>
            <w:tcBorders>
              <w:bottom w:val="nil"/>
            </w:tcBorders>
            <w:shd w:val="clear" w:color="auto" w:fill="auto"/>
          </w:tcPr>
          <w:p>
            <w:pPr>
              <w:pStyle w:val="CorpoAltF0"/>
              <w:spacing w:before="120"/>
              <w:jc w:val="center"/>
            </w:pPr>
            <w:r>
              <w:t>10</w:t>
            </w:r>
          </w:p>
        </w:tc>
        <w:tc>
          <w:tcPr>
            <w:tcW w:w="7034" w:type="dxa"/>
            <w:tcBorders>
              <w:bottom w:val="nil"/>
            </w:tcBorders>
            <w:shd w:val="clear" w:color="auto" w:fill="auto"/>
          </w:tcPr>
          <w:p>
            <w:pPr>
              <w:pStyle w:val="CorpoAltF0"/>
              <w:spacing w:before="120"/>
            </w:pPr>
            <w:bookmarkStart w:id="71" w:name="OpzioniRicalcolo"/>
            <w:bookmarkEnd w:id="71"/>
            <w:r>
              <w:t>Effettuare il "</w:t>
            </w:r>
            <w:r>
              <w:rPr>
                <w:i/>
              </w:rPr>
              <w:t>Ricalcolo</w:t>
            </w:r>
            <w:r>
              <w:t>" che permette di prelevare automaticamente tutte le informazioni memorizzate.</w:t>
            </w:r>
          </w:p>
          <w:p>
            <w:pPr>
              <w:pStyle w:val="CorpoAltF0"/>
              <w:spacing w:before="120"/>
            </w:pPr>
            <w:r>
              <w:t>Dopo la creazione della denuncia, per selezionare le informazioni da prelevare in caso di successivo “</w:t>
            </w:r>
            <w:r>
              <w:rPr>
                <w:i/>
              </w:rPr>
              <w:t>Ricalcolo</w:t>
            </w:r>
            <w:r>
              <w:t>” è presente il campo “</w:t>
            </w:r>
            <w:r>
              <w:rPr>
                <w:i/>
              </w:rPr>
              <w:t>Prelievo tassi e rata anticipata ad ogni ricalcolo</w:t>
            </w:r>
            <w:r>
              <w:t>” della scheda “</w:t>
            </w:r>
            <w:r>
              <w:rPr>
                <w:i/>
              </w:rPr>
              <w:t>10SM</w:t>
            </w:r>
            <w:r>
              <w:t xml:space="preserve">” di </w:t>
            </w:r>
            <w:r>
              <w:rPr>
                <w:b/>
              </w:rPr>
              <w:t>TB1203</w:t>
            </w:r>
            <w:r>
              <w:t xml:space="preserve"> (cod. campo 139), nel quale sono disponibili le seguenti opzioni:</w:t>
            </w:r>
          </w:p>
        </w:tc>
        <w:tc>
          <w:tcPr>
            <w:tcW w:w="2288" w:type="dxa"/>
            <w:tcBorders>
              <w:bottom w:val="nil"/>
            </w:tcBorders>
            <w:shd w:val="clear" w:color="auto" w:fill="auto"/>
          </w:tcPr>
          <w:p>
            <w:pPr>
              <w:pStyle w:val="CorpoAltF0"/>
              <w:spacing w:before="120"/>
              <w:rPr>
                <w:b/>
              </w:rPr>
            </w:pPr>
            <w:r>
              <w:rPr>
                <w:b/>
              </w:rPr>
              <w:t>10SM</w:t>
            </w:r>
          </w:p>
          <w:p>
            <w:pPr>
              <w:pStyle w:val="CorpoAltF0"/>
            </w:pPr>
            <w:r>
              <w:rPr>
                <w:sz w:val="18"/>
              </w:rPr>
              <w:t xml:space="preserve">2 – </w:t>
            </w:r>
            <w:r>
              <w:rPr>
                <w:i/>
                <w:sz w:val="18"/>
              </w:rPr>
              <w:t>Ricalcolo</w:t>
            </w:r>
          </w:p>
        </w:tc>
      </w:tr>
      <w:tr>
        <w:tc>
          <w:tcPr>
            <w:tcW w:w="533" w:type="dxa"/>
            <w:tcBorders>
              <w:top w:val="nil"/>
            </w:tcBorders>
            <w:shd w:val="clear" w:color="auto" w:fill="auto"/>
          </w:tcPr>
          <w:p>
            <w:pPr>
              <w:pStyle w:val="CorpoAltF0"/>
              <w:spacing w:before="120"/>
              <w:jc w:val="center"/>
            </w:pPr>
          </w:p>
        </w:tc>
        <w:tc>
          <w:tcPr>
            <w:tcW w:w="7034" w:type="dxa"/>
            <w:tcBorders>
              <w:top w:val="nil"/>
            </w:tcBorders>
            <w:shd w:val="clear" w:color="auto" w:fill="auto"/>
          </w:tcPr>
          <w:p>
            <w:pPr>
              <w:pStyle w:val="CorpoAltF0"/>
              <w:tabs>
                <w:tab w:val="left" w:pos="884"/>
              </w:tabs>
              <w:spacing w:before="60"/>
              <w:ind w:left="885" w:hanging="885"/>
            </w:pPr>
            <w:r>
              <w:rPr>
                <w:i/>
              </w:rPr>
              <w:t>Spazio</w:t>
            </w:r>
            <w:r>
              <w:rPr>
                <w:i/>
              </w:rPr>
              <w:tab/>
            </w:r>
            <w:r>
              <w:t>Nessuna particolarità</w:t>
            </w:r>
          </w:p>
          <w:p>
            <w:pPr>
              <w:pStyle w:val="CorpoAltF0"/>
              <w:tabs>
                <w:tab w:val="left" w:pos="884"/>
              </w:tabs>
              <w:ind w:left="885"/>
            </w:pPr>
            <w:r>
              <w:t>il programma di ricalcolo non modifica il tasso e l’importo della rata anticipata prelevati inizialmente;</w:t>
            </w:r>
          </w:p>
          <w:p>
            <w:pPr>
              <w:pStyle w:val="CorpoAltF0"/>
              <w:tabs>
                <w:tab w:val="left" w:pos="884"/>
              </w:tabs>
              <w:spacing w:before="60"/>
              <w:ind w:left="885" w:hanging="885"/>
            </w:pPr>
            <w:r>
              <w:rPr>
                <w:i/>
              </w:rPr>
              <w:t>T</w:t>
            </w:r>
            <w:r>
              <w:rPr>
                <w:i/>
              </w:rPr>
              <w:tab/>
            </w:r>
            <w:r>
              <w:t>Tasso</w:t>
            </w:r>
          </w:p>
          <w:p>
            <w:pPr>
              <w:pStyle w:val="CorpoAltF0"/>
              <w:tabs>
                <w:tab w:val="left" w:pos="884"/>
              </w:tabs>
              <w:ind w:left="885"/>
            </w:pPr>
            <w:r>
              <w:t>Il programma esegue nuovamente il prelievo del tasso INAIL nonché dell’impostazione dei campi relativi alla riduzione L. 147/2013, presenti nella scheda “</w:t>
            </w:r>
            <w:r>
              <w:rPr>
                <w:i/>
              </w:rPr>
              <w:t>INAIL</w:t>
            </w:r>
            <w:r>
              <w:t xml:space="preserve">” di </w:t>
            </w:r>
            <w:r>
              <w:rPr>
                <w:b/>
              </w:rPr>
              <w:t>AZIE</w:t>
            </w:r>
            <w:r>
              <w:t>.</w:t>
            </w:r>
          </w:p>
          <w:p>
            <w:pPr>
              <w:pStyle w:val="CorpoAltF0"/>
              <w:tabs>
                <w:tab w:val="left" w:pos="884"/>
              </w:tabs>
              <w:ind w:left="885"/>
            </w:pPr>
            <w:r>
              <w:t xml:space="preserve">Tale operazione non viene eseguita nel caso di compilazione della sezione “Secondo periodo” di </w:t>
            </w:r>
            <w:r>
              <w:rPr>
                <w:b/>
              </w:rPr>
              <w:t>10SM</w:t>
            </w:r>
            <w:r>
              <w:t xml:space="preserve"> &gt; “</w:t>
            </w:r>
            <w:r>
              <w:rPr>
                <w:i/>
              </w:rPr>
              <w:t>Gestione</w:t>
            </w:r>
            <w:r>
              <w:t xml:space="preserve"> </w:t>
            </w:r>
            <w:r>
              <w:rPr>
                <w:i/>
              </w:rPr>
              <w:t>liquidazioni</w:t>
            </w:r>
            <w:r>
              <w:t xml:space="preserve"> &gt; </w:t>
            </w:r>
            <w:r>
              <w:rPr>
                <w:i/>
              </w:rPr>
              <w:t>Gestione</w:t>
            </w:r>
            <w:r>
              <w:t xml:space="preserve"> </w:t>
            </w:r>
            <w:r>
              <w:rPr>
                <w:i/>
              </w:rPr>
              <w:t>PAT</w:t>
            </w:r>
            <w:r>
              <w:t xml:space="preserve"> &gt; </w:t>
            </w:r>
            <w:r>
              <w:rPr>
                <w:i/>
              </w:rPr>
              <w:t>Tasso</w:t>
            </w:r>
            <w:r>
              <w:t xml:space="preserve"> </w:t>
            </w:r>
            <w:r>
              <w:rPr>
                <w:i/>
              </w:rPr>
              <w:t>Inail</w:t>
            </w:r>
            <w:r>
              <w:t xml:space="preserve"> </w:t>
            </w:r>
            <w:r>
              <w:rPr>
                <w:i/>
              </w:rPr>
              <w:t>e periodi</w:t>
            </w:r>
            <w:r>
              <w:t>”.</w:t>
            </w:r>
          </w:p>
          <w:p>
            <w:pPr>
              <w:pStyle w:val="CorpoAltF0"/>
              <w:tabs>
                <w:tab w:val="left" w:pos="884"/>
              </w:tabs>
              <w:spacing w:before="60"/>
              <w:ind w:left="885" w:hanging="885"/>
            </w:pPr>
            <w:proofErr w:type="gramStart"/>
            <w:r>
              <w:rPr>
                <w:i/>
              </w:rPr>
              <w:t>A</w:t>
            </w:r>
            <w:proofErr w:type="gramEnd"/>
            <w:r>
              <w:rPr>
                <w:i/>
              </w:rPr>
              <w:tab/>
            </w:r>
            <w:r>
              <w:t>Acconto</w:t>
            </w:r>
          </w:p>
          <w:p>
            <w:pPr>
              <w:pStyle w:val="CorpoAltF0"/>
              <w:tabs>
                <w:tab w:val="left" w:pos="884"/>
              </w:tabs>
              <w:ind w:left="885"/>
            </w:pPr>
            <w:r>
              <w:t>Il programma esegue nuovamente il prelievo dell’importo della rata anticipata anno precedente</w:t>
            </w:r>
          </w:p>
          <w:p>
            <w:pPr>
              <w:pStyle w:val="CorpoAltF0"/>
              <w:tabs>
                <w:tab w:val="left" w:pos="884"/>
              </w:tabs>
              <w:spacing w:before="60"/>
              <w:ind w:left="885" w:hanging="885"/>
            </w:pPr>
            <w:r>
              <w:rPr>
                <w:i/>
              </w:rPr>
              <w:t>E</w:t>
            </w:r>
            <w:r>
              <w:rPr>
                <w:i/>
              </w:rPr>
              <w:tab/>
            </w:r>
            <w:proofErr w:type="spellStart"/>
            <w:r>
              <w:t>Tas</w:t>
            </w:r>
            <w:proofErr w:type="spellEnd"/>
            <w:r>
              <w:t xml:space="preserve"> / </w:t>
            </w:r>
            <w:proofErr w:type="spellStart"/>
            <w:r>
              <w:t>Acc</w:t>
            </w:r>
            <w:proofErr w:type="spellEnd"/>
          </w:p>
          <w:p>
            <w:pPr>
              <w:pStyle w:val="CorpoAltF0"/>
              <w:tabs>
                <w:tab w:val="left" w:pos="884"/>
              </w:tabs>
              <w:ind w:left="885"/>
            </w:pPr>
            <w:r>
              <w:t>Vengono nuovamente prelevati sia il tasso INAIL (e l’impostazione relativa alla riduzione L.147/13) che la rata anticipata anno precedente.</w:t>
            </w:r>
          </w:p>
        </w:tc>
        <w:tc>
          <w:tcPr>
            <w:tcW w:w="2288" w:type="dxa"/>
            <w:tcBorders>
              <w:top w:val="nil"/>
            </w:tcBorders>
            <w:shd w:val="clear" w:color="auto" w:fill="auto"/>
          </w:tcPr>
          <w:p>
            <w:pPr>
              <w:pStyle w:val="CorpoAltF0"/>
              <w:spacing w:before="240"/>
              <w:jc w:val="left"/>
              <w:rPr>
                <w:b/>
              </w:rPr>
            </w:pPr>
          </w:p>
        </w:tc>
      </w:tr>
      <w:tr>
        <w:tc>
          <w:tcPr>
            <w:tcW w:w="533" w:type="dxa"/>
            <w:shd w:val="clear" w:color="auto" w:fill="auto"/>
          </w:tcPr>
          <w:p>
            <w:pPr>
              <w:pStyle w:val="CorpoAltF0"/>
              <w:spacing w:before="120"/>
              <w:jc w:val="center"/>
            </w:pPr>
            <w:r>
              <w:t>11</w:t>
            </w:r>
          </w:p>
        </w:tc>
        <w:tc>
          <w:tcPr>
            <w:tcW w:w="7034" w:type="dxa"/>
            <w:shd w:val="clear" w:color="auto" w:fill="auto"/>
          </w:tcPr>
          <w:p>
            <w:pPr>
              <w:pStyle w:val="CorpoAltF0"/>
              <w:spacing w:before="120"/>
            </w:pPr>
            <w:r>
              <w:t>Effettuare la scelta "</w:t>
            </w:r>
            <w:r>
              <w:rPr>
                <w:i/>
              </w:rPr>
              <w:t>Gestione liquidazioni</w:t>
            </w:r>
            <w:r>
              <w:t>"</w:t>
            </w:r>
          </w:p>
        </w:tc>
        <w:tc>
          <w:tcPr>
            <w:tcW w:w="2288" w:type="dxa"/>
            <w:vMerge w:val="restart"/>
            <w:shd w:val="clear" w:color="auto" w:fill="auto"/>
          </w:tcPr>
          <w:p>
            <w:pPr>
              <w:pStyle w:val="CorpoAltF0"/>
              <w:spacing w:before="240"/>
              <w:jc w:val="left"/>
              <w:rPr>
                <w:b/>
              </w:rPr>
            </w:pPr>
            <w:r>
              <w:rPr>
                <w:b/>
              </w:rPr>
              <w:t>10SM</w:t>
            </w:r>
          </w:p>
          <w:p>
            <w:pPr>
              <w:pStyle w:val="CorpoAltF0"/>
              <w:jc w:val="left"/>
              <w:rPr>
                <w:i/>
                <w:sz w:val="18"/>
              </w:rPr>
            </w:pPr>
            <w:r>
              <w:rPr>
                <w:sz w:val="18"/>
              </w:rPr>
              <w:t xml:space="preserve">1 - </w:t>
            </w:r>
            <w:r>
              <w:rPr>
                <w:i/>
                <w:sz w:val="18"/>
              </w:rPr>
              <w:t>Gestione liquidazioni</w:t>
            </w:r>
          </w:p>
          <w:p>
            <w:pPr>
              <w:pStyle w:val="CorpoAltF0"/>
              <w:jc w:val="left"/>
              <w:rPr>
                <w:i/>
              </w:rPr>
            </w:pPr>
            <w:r>
              <w:rPr>
                <w:sz w:val="18"/>
              </w:rPr>
              <w:t xml:space="preserve">1 – </w:t>
            </w:r>
            <w:r>
              <w:rPr>
                <w:i/>
                <w:sz w:val="18"/>
              </w:rPr>
              <w:t>Gestione PAT</w:t>
            </w:r>
          </w:p>
        </w:tc>
      </w:tr>
      <w:tr>
        <w:tc>
          <w:tcPr>
            <w:tcW w:w="533" w:type="dxa"/>
            <w:shd w:val="clear" w:color="auto" w:fill="auto"/>
          </w:tcPr>
          <w:p>
            <w:pPr>
              <w:pStyle w:val="CorpoAltF0"/>
              <w:spacing w:before="120"/>
              <w:jc w:val="center"/>
            </w:pPr>
            <w:r>
              <w:t>12</w:t>
            </w:r>
          </w:p>
        </w:tc>
        <w:tc>
          <w:tcPr>
            <w:tcW w:w="7034" w:type="dxa"/>
            <w:shd w:val="clear" w:color="auto" w:fill="auto"/>
          </w:tcPr>
          <w:p>
            <w:pPr>
              <w:pStyle w:val="CorpoAltF0"/>
              <w:spacing w:before="120"/>
            </w:pPr>
            <w:r>
              <w:t>Inserire il codice azienda ed effettuare la scelta “</w:t>
            </w:r>
            <w:r>
              <w:rPr>
                <w:i/>
              </w:rPr>
              <w:t>Gestione PAT</w:t>
            </w:r>
            <w:r>
              <w:t>”</w:t>
            </w:r>
          </w:p>
        </w:tc>
        <w:tc>
          <w:tcPr>
            <w:tcW w:w="2288" w:type="dxa"/>
            <w:vMerge/>
            <w:shd w:val="clear" w:color="auto" w:fill="auto"/>
          </w:tcPr>
          <w:p>
            <w:pPr>
              <w:pStyle w:val="CorpoAltF0"/>
              <w:rPr>
                <w:sz w:val="18"/>
              </w:rPr>
            </w:pPr>
          </w:p>
        </w:tc>
      </w:tr>
      <w:tr>
        <w:tc>
          <w:tcPr>
            <w:tcW w:w="533" w:type="dxa"/>
            <w:shd w:val="clear" w:color="auto" w:fill="auto"/>
          </w:tcPr>
          <w:p>
            <w:pPr>
              <w:pStyle w:val="CorpoAltF0"/>
              <w:spacing w:before="120"/>
              <w:jc w:val="center"/>
            </w:pPr>
            <w:r>
              <w:t>13</w:t>
            </w:r>
          </w:p>
        </w:tc>
        <w:tc>
          <w:tcPr>
            <w:tcW w:w="7034" w:type="dxa"/>
            <w:shd w:val="clear" w:color="auto" w:fill="auto"/>
          </w:tcPr>
          <w:p>
            <w:pPr>
              <w:pStyle w:val="CorpoAltF0"/>
              <w:spacing w:before="120"/>
            </w:pPr>
            <w:r>
              <w:t>Scegliere la PAT da compilare: vengono elencate le PAT dell’azienda selezionata</w:t>
            </w:r>
          </w:p>
        </w:tc>
        <w:tc>
          <w:tcPr>
            <w:tcW w:w="2288" w:type="dxa"/>
            <w:vMerge/>
            <w:shd w:val="clear" w:color="auto" w:fill="auto"/>
          </w:tcPr>
          <w:p>
            <w:pPr>
              <w:pStyle w:val="CorpoAltF0"/>
              <w:spacing w:before="120"/>
              <w:rPr>
                <w:b/>
              </w:rPr>
            </w:pPr>
          </w:p>
        </w:tc>
      </w:tr>
      <w:tr>
        <w:tc>
          <w:tcPr>
            <w:tcW w:w="533" w:type="dxa"/>
            <w:shd w:val="clear" w:color="auto" w:fill="auto"/>
          </w:tcPr>
          <w:p>
            <w:pPr>
              <w:pStyle w:val="CorpoAltF0"/>
              <w:spacing w:before="120"/>
              <w:jc w:val="center"/>
            </w:pPr>
            <w:r>
              <w:t>14</w:t>
            </w:r>
          </w:p>
        </w:tc>
        <w:tc>
          <w:tcPr>
            <w:tcW w:w="7034" w:type="dxa"/>
            <w:shd w:val="clear" w:color="auto" w:fill="auto"/>
          </w:tcPr>
          <w:p>
            <w:pPr>
              <w:pStyle w:val="CorpoAltF0"/>
              <w:spacing w:before="120"/>
            </w:pPr>
            <w:r>
              <w:t>Completare i dati di ogni PAT sulla quale effettuare il calcolo del premio in base alle specifiche inviate dall'INAIL.</w:t>
            </w:r>
          </w:p>
        </w:tc>
        <w:tc>
          <w:tcPr>
            <w:tcW w:w="2288" w:type="dxa"/>
            <w:shd w:val="clear" w:color="auto" w:fill="auto"/>
          </w:tcPr>
          <w:p>
            <w:pPr>
              <w:pStyle w:val="CorpoAltF0"/>
              <w:spacing w:before="120"/>
              <w:rPr>
                <w:b/>
              </w:rPr>
            </w:pPr>
            <w:r>
              <w:rPr>
                <w:sz w:val="18"/>
              </w:rPr>
              <w:t>Vedi dettaglio operazioni sulle singole PAT</w:t>
            </w:r>
          </w:p>
        </w:tc>
      </w:tr>
      <w:tr>
        <w:tc>
          <w:tcPr>
            <w:tcW w:w="533" w:type="dxa"/>
            <w:shd w:val="clear" w:color="auto" w:fill="auto"/>
          </w:tcPr>
          <w:p>
            <w:pPr>
              <w:pStyle w:val="CorpoAltF0"/>
              <w:spacing w:before="120"/>
              <w:jc w:val="center"/>
            </w:pPr>
            <w:r>
              <w:t>15</w:t>
            </w:r>
          </w:p>
        </w:tc>
        <w:tc>
          <w:tcPr>
            <w:tcW w:w="7034" w:type="dxa"/>
            <w:shd w:val="clear" w:color="auto" w:fill="auto"/>
          </w:tcPr>
          <w:p>
            <w:pPr>
              <w:pStyle w:val="CorpoAltF0"/>
              <w:spacing w:before="120"/>
            </w:pPr>
            <w:r>
              <w:t>Effettuare la chiusura di ogni singola PAT</w:t>
            </w:r>
          </w:p>
        </w:tc>
        <w:tc>
          <w:tcPr>
            <w:tcW w:w="2288" w:type="dxa"/>
            <w:shd w:val="clear" w:color="auto" w:fill="auto"/>
          </w:tcPr>
          <w:p>
            <w:pPr>
              <w:pStyle w:val="CorpoAltF0"/>
              <w:spacing w:before="120"/>
              <w:jc w:val="left"/>
              <w:rPr>
                <w:b/>
              </w:rPr>
            </w:pPr>
            <w:r>
              <w:rPr>
                <w:b/>
              </w:rPr>
              <w:t>10SM</w:t>
            </w:r>
          </w:p>
          <w:p>
            <w:pPr>
              <w:pStyle w:val="CorpoAltF0"/>
              <w:jc w:val="left"/>
              <w:rPr>
                <w:i/>
                <w:sz w:val="18"/>
              </w:rPr>
            </w:pPr>
            <w:r>
              <w:rPr>
                <w:sz w:val="18"/>
              </w:rPr>
              <w:t xml:space="preserve">1 - </w:t>
            </w:r>
            <w:r>
              <w:rPr>
                <w:i/>
                <w:sz w:val="18"/>
              </w:rPr>
              <w:t>Gestione liquidazioni</w:t>
            </w:r>
          </w:p>
          <w:p>
            <w:pPr>
              <w:pStyle w:val="CorpoAltF0"/>
              <w:rPr>
                <w:i/>
                <w:sz w:val="18"/>
              </w:rPr>
            </w:pPr>
            <w:r>
              <w:rPr>
                <w:sz w:val="18"/>
              </w:rPr>
              <w:t xml:space="preserve">1 – </w:t>
            </w:r>
            <w:r>
              <w:rPr>
                <w:i/>
                <w:sz w:val="18"/>
              </w:rPr>
              <w:t>Gestione PAT</w:t>
            </w:r>
          </w:p>
          <w:p>
            <w:pPr>
              <w:pStyle w:val="CorpoAltF0"/>
              <w:rPr>
                <w:sz w:val="18"/>
              </w:rPr>
            </w:pPr>
            <w:r>
              <w:rPr>
                <w:sz w:val="18"/>
              </w:rPr>
              <w:t xml:space="preserve">6 – </w:t>
            </w:r>
            <w:r>
              <w:rPr>
                <w:i/>
                <w:sz w:val="18"/>
              </w:rPr>
              <w:t>Chiusura posizione</w:t>
            </w:r>
          </w:p>
        </w:tc>
      </w:tr>
      <w:tr>
        <w:tc>
          <w:tcPr>
            <w:tcW w:w="533" w:type="dxa"/>
            <w:shd w:val="clear" w:color="auto" w:fill="auto"/>
          </w:tcPr>
          <w:p>
            <w:pPr>
              <w:pStyle w:val="CorpoAltF0"/>
              <w:spacing w:before="120"/>
              <w:jc w:val="center"/>
            </w:pPr>
            <w:r>
              <w:t>16</w:t>
            </w:r>
          </w:p>
        </w:tc>
        <w:tc>
          <w:tcPr>
            <w:tcW w:w="7034" w:type="dxa"/>
            <w:shd w:val="clear" w:color="auto" w:fill="auto"/>
          </w:tcPr>
          <w:p>
            <w:pPr>
              <w:pStyle w:val="CorpoAltF0"/>
              <w:spacing w:before="120"/>
            </w:pPr>
            <w:r>
              <w:t>Inserire gli eventuali contributi associativi</w:t>
            </w:r>
          </w:p>
        </w:tc>
        <w:tc>
          <w:tcPr>
            <w:tcW w:w="2288" w:type="dxa"/>
            <w:shd w:val="clear" w:color="auto" w:fill="auto"/>
          </w:tcPr>
          <w:p>
            <w:pPr>
              <w:pStyle w:val="CorpoAltF0"/>
              <w:spacing w:before="120"/>
              <w:jc w:val="left"/>
              <w:rPr>
                <w:b/>
              </w:rPr>
            </w:pPr>
            <w:r>
              <w:rPr>
                <w:b/>
              </w:rPr>
              <w:t>10SM</w:t>
            </w:r>
          </w:p>
          <w:p>
            <w:pPr>
              <w:pStyle w:val="CorpoAltF0"/>
              <w:jc w:val="left"/>
              <w:rPr>
                <w:i/>
                <w:sz w:val="18"/>
              </w:rPr>
            </w:pPr>
            <w:r>
              <w:rPr>
                <w:sz w:val="18"/>
              </w:rPr>
              <w:t xml:space="preserve">1 - </w:t>
            </w:r>
            <w:r>
              <w:rPr>
                <w:i/>
                <w:sz w:val="18"/>
              </w:rPr>
              <w:t>Gestione liquidazioni</w:t>
            </w:r>
          </w:p>
          <w:p>
            <w:pPr>
              <w:pStyle w:val="CorpoAltF0"/>
              <w:ind w:left="317" w:hanging="317"/>
              <w:jc w:val="left"/>
              <w:rPr>
                <w:b/>
              </w:rPr>
            </w:pPr>
            <w:r>
              <w:rPr>
                <w:sz w:val="18"/>
              </w:rPr>
              <w:t xml:space="preserve">2 – </w:t>
            </w:r>
            <w:r>
              <w:rPr>
                <w:i/>
                <w:sz w:val="18"/>
              </w:rPr>
              <w:t>Gestione contributi associativi</w:t>
            </w:r>
          </w:p>
        </w:tc>
      </w:tr>
      <w:tr>
        <w:tc>
          <w:tcPr>
            <w:tcW w:w="533" w:type="dxa"/>
            <w:shd w:val="clear" w:color="auto" w:fill="auto"/>
          </w:tcPr>
          <w:p>
            <w:pPr>
              <w:pStyle w:val="CorpoAltF0"/>
              <w:spacing w:before="120"/>
              <w:jc w:val="center"/>
            </w:pPr>
            <w:r>
              <w:t>17</w:t>
            </w:r>
          </w:p>
        </w:tc>
        <w:tc>
          <w:tcPr>
            <w:tcW w:w="7034" w:type="dxa"/>
            <w:shd w:val="clear" w:color="auto" w:fill="auto"/>
          </w:tcPr>
          <w:p>
            <w:pPr>
              <w:pStyle w:val="CorpoAltF0"/>
              <w:spacing w:before="120"/>
            </w:pPr>
            <w:r>
              <w:t>Effettuare la scelta “</w:t>
            </w:r>
            <w:r>
              <w:rPr>
                <w:i/>
              </w:rPr>
              <w:t>Liquidazione dei premi</w:t>
            </w:r>
            <w:r>
              <w:t>” per visualizzare i dati complessivi di versamento dove sono totalizzati i premi di tutte le singole PAT</w:t>
            </w:r>
          </w:p>
        </w:tc>
        <w:tc>
          <w:tcPr>
            <w:tcW w:w="2288" w:type="dxa"/>
            <w:vMerge w:val="restart"/>
            <w:shd w:val="clear" w:color="auto" w:fill="auto"/>
          </w:tcPr>
          <w:p>
            <w:pPr>
              <w:pStyle w:val="CorpoAltF0"/>
              <w:spacing w:before="120"/>
              <w:jc w:val="left"/>
              <w:rPr>
                <w:b/>
              </w:rPr>
            </w:pPr>
            <w:r>
              <w:rPr>
                <w:b/>
              </w:rPr>
              <w:t>10SM</w:t>
            </w:r>
          </w:p>
          <w:p>
            <w:pPr>
              <w:pStyle w:val="CorpoAltF0"/>
              <w:jc w:val="left"/>
              <w:rPr>
                <w:i/>
                <w:sz w:val="18"/>
              </w:rPr>
            </w:pPr>
            <w:r>
              <w:rPr>
                <w:sz w:val="18"/>
              </w:rPr>
              <w:t xml:space="preserve">1 - </w:t>
            </w:r>
            <w:r>
              <w:rPr>
                <w:i/>
                <w:sz w:val="18"/>
              </w:rPr>
              <w:t>Gestione liquidazioni</w:t>
            </w:r>
          </w:p>
          <w:p>
            <w:pPr>
              <w:pStyle w:val="CorpoAltF0"/>
              <w:spacing w:after="60"/>
              <w:ind w:left="318" w:hanging="318"/>
              <w:jc w:val="left"/>
              <w:rPr>
                <w:i/>
                <w:sz w:val="18"/>
              </w:rPr>
            </w:pPr>
            <w:r>
              <w:rPr>
                <w:sz w:val="18"/>
              </w:rPr>
              <w:t xml:space="preserve">3 – </w:t>
            </w:r>
            <w:r>
              <w:rPr>
                <w:i/>
                <w:sz w:val="18"/>
              </w:rPr>
              <w:t>Liquidazione dei premi</w:t>
            </w:r>
          </w:p>
        </w:tc>
      </w:tr>
      <w:tr>
        <w:tc>
          <w:tcPr>
            <w:tcW w:w="533" w:type="dxa"/>
            <w:shd w:val="clear" w:color="auto" w:fill="auto"/>
          </w:tcPr>
          <w:p>
            <w:pPr>
              <w:pStyle w:val="CorpoAltF0"/>
              <w:spacing w:before="120"/>
              <w:jc w:val="center"/>
            </w:pPr>
            <w:r>
              <w:t>18</w:t>
            </w:r>
          </w:p>
        </w:tc>
        <w:tc>
          <w:tcPr>
            <w:tcW w:w="7034" w:type="dxa"/>
            <w:shd w:val="clear" w:color="auto" w:fill="auto"/>
          </w:tcPr>
          <w:p>
            <w:pPr>
              <w:pStyle w:val="CorpoAltF0"/>
              <w:spacing w:before="120"/>
            </w:pPr>
            <w:r>
              <w:t>Effettuare l'eventuale scelta di rateizzazione di versamento</w:t>
            </w:r>
          </w:p>
        </w:tc>
        <w:tc>
          <w:tcPr>
            <w:tcW w:w="2288" w:type="dxa"/>
            <w:vMerge/>
            <w:shd w:val="clear" w:color="auto" w:fill="auto"/>
          </w:tcPr>
          <w:p>
            <w:pPr>
              <w:pStyle w:val="CorpoAltF0"/>
              <w:spacing w:before="120"/>
              <w:jc w:val="left"/>
              <w:rPr>
                <w:b/>
              </w:rPr>
            </w:pPr>
          </w:p>
        </w:tc>
      </w:tr>
      <w:tr>
        <w:tc>
          <w:tcPr>
            <w:tcW w:w="533" w:type="dxa"/>
            <w:shd w:val="clear" w:color="auto" w:fill="auto"/>
          </w:tcPr>
          <w:p>
            <w:pPr>
              <w:pStyle w:val="CorpoAltF0"/>
              <w:spacing w:before="120"/>
              <w:jc w:val="center"/>
            </w:pPr>
            <w:r>
              <w:t>19</w:t>
            </w:r>
          </w:p>
        </w:tc>
        <w:tc>
          <w:tcPr>
            <w:tcW w:w="7034" w:type="dxa"/>
            <w:shd w:val="clear" w:color="auto" w:fill="auto"/>
          </w:tcPr>
          <w:p>
            <w:pPr>
              <w:pStyle w:val="CorpoAltF0"/>
              <w:spacing w:before="120"/>
            </w:pPr>
            <w:r>
              <w:t>Chiudere la denuncia salari per trasferire i dati dell’azienda in delega F24</w:t>
            </w:r>
          </w:p>
          <w:p>
            <w:pPr>
              <w:pStyle w:val="CorpoAltF0"/>
              <w:spacing w:before="120"/>
            </w:pPr>
            <w:r>
              <w:t>La scelta 4 “</w:t>
            </w:r>
            <w:r>
              <w:rPr>
                <w:i/>
              </w:rPr>
              <w:t>Chiusura della dichiarazione</w:t>
            </w:r>
            <w:r>
              <w:t>” controlla che siano chiuse le singole PAT (da effettuare preventivamente tramite la scelta 6 “</w:t>
            </w:r>
            <w:r>
              <w:rPr>
                <w:i/>
              </w:rPr>
              <w:t>Chiusura posizione</w:t>
            </w:r>
            <w:r>
              <w:t>” in gestione PAT) e la presenza del codice azienda nella scheda “</w:t>
            </w:r>
            <w:r>
              <w:rPr>
                <w:i/>
              </w:rPr>
              <w:t>INAIL</w:t>
            </w:r>
            <w:r>
              <w:t xml:space="preserve">” di </w:t>
            </w:r>
            <w:r>
              <w:rPr>
                <w:b/>
              </w:rPr>
              <w:t>AZIE</w:t>
            </w:r>
          </w:p>
        </w:tc>
        <w:tc>
          <w:tcPr>
            <w:tcW w:w="2288" w:type="dxa"/>
            <w:shd w:val="clear" w:color="auto" w:fill="auto"/>
          </w:tcPr>
          <w:p>
            <w:pPr>
              <w:pStyle w:val="CorpoAltF0"/>
              <w:spacing w:before="120"/>
              <w:jc w:val="left"/>
              <w:rPr>
                <w:b/>
              </w:rPr>
            </w:pPr>
            <w:r>
              <w:rPr>
                <w:b/>
              </w:rPr>
              <w:t>10SM</w:t>
            </w:r>
          </w:p>
          <w:p>
            <w:pPr>
              <w:pStyle w:val="CorpoAltF0"/>
              <w:jc w:val="left"/>
              <w:rPr>
                <w:i/>
                <w:sz w:val="18"/>
              </w:rPr>
            </w:pPr>
            <w:r>
              <w:rPr>
                <w:sz w:val="18"/>
              </w:rPr>
              <w:t xml:space="preserve">1 - </w:t>
            </w:r>
            <w:r>
              <w:rPr>
                <w:i/>
                <w:sz w:val="18"/>
              </w:rPr>
              <w:t>Gestione liquidazioni</w:t>
            </w:r>
          </w:p>
          <w:p>
            <w:pPr>
              <w:pStyle w:val="CorpoAltF0"/>
              <w:ind w:left="317" w:hanging="317"/>
              <w:jc w:val="left"/>
              <w:rPr>
                <w:b/>
              </w:rPr>
            </w:pPr>
            <w:r>
              <w:rPr>
                <w:sz w:val="18"/>
              </w:rPr>
              <w:t xml:space="preserve">4 – </w:t>
            </w:r>
            <w:r>
              <w:rPr>
                <w:i/>
                <w:sz w:val="18"/>
              </w:rPr>
              <w:t>Chiusura della dichiarazione</w:t>
            </w:r>
          </w:p>
        </w:tc>
      </w:tr>
      <w:tr>
        <w:tc>
          <w:tcPr>
            <w:tcW w:w="533" w:type="dxa"/>
            <w:shd w:val="clear" w:color="auto" w:fill="auto"/>
          </w:tcPr>
          <w:p>
            <w:pPr>
              <w:pStyle w:val="CorpoAltF0"/>
              <w:spacing w:before="120"/>
              <w:jc w:val="center"/>
            </w:pPr>
            <w:r>
              <w:t>20</w:t>
            </w:r>
          </w:p>
        </w:tc>
        <w:tc>
          <w:tcPr>
            <w:tcW w:w="7034" w:type="dxa"/>
            <w:shd w:val="clear" w:color="auto" w:fill="auto"/>
          </w:tcPr>
          <w:p>
            <w:pPr>
              <w:pStyle w:val="CorpoAltF0"/>
              <w:spacing w:before="120"/>
            </w:pPr>
            <w:r>
              <w:t>Stampare il brogliaccio (facoltativo)</w:t>
            </w:r>
          </w:p>
        </w:tc>
        <w:tc>
          <w:tcPr>
            <w:tcW w:w="2288" w:type="dxa"/>
            <w:shd w:val="clear" w:color="auto" w:fill="auto"/>
          </w:tcPr>
          <w:p>
            <w:pPr>
              <w:pStyle w:val="CorpoAltF0"/>
              <w:spacing w:before="120"/>
              <w:rPr>
                <w:b/>
              </w:rPr>
            </w:pPr>
            <w:r>
              <w:rPr>
                <w:b/>
              </w:rPr>
              <w:t>10SM</w:t>
            </w:r>
          </w:p>
          <w:p>
            <w:pPr>
              <w:pStyle w:val="CorpoAltF0"/>
              <w:ind w:left="317" w:hanging="317"/>
              <w:jc w:val="left"/>
              <w:rPr>
                <w:i/>
                <w:sz w:val="18"/>
              </w:rPr>
            </w:pPr>
            <w:r>
              <w:rPr>
                <w:sz w:val="18"/>
              </w:rPr>
              <w:t xml:space="preserve">6 – </w:t>
            </w:r>
            <w:r>
              <w:rPr>
                <w:i/>
                <w:sz w:val="18"/>
              </w:rPr>
              <w:t>Stampa brogliaccio 10SM</w:t>
            </w:r>
          </w:p>
          <w:p>
            <w:pPr>
              <w:pStyle w:val="CorpoAltF0"/>
              <w:ind w:left="317" w:hanging="317"/>
              <w:jc w:val="left"/>
            </w:pPr>
          </w:p>
        </w:tc>
      </w:tr>
    </w:tbl>
    <w:p>
      <w:pPr>
        <w:pStyle w:val="CorpoAltF0"/>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0"/>
        <w:gridCol w:w="6836"/>
        <w:gridCol w:w="2263"/>
      </w:tblGrid>
      <w:tr>
        <w:tc>
          <w:tcPr>
            <w:tcW w:w="533" w:type="dxa"/>
            <w:shd w:val="clear" w:color="auto" w:fill="auto"/>
          </w:tcPr>
          <w:p>
            <w:pPr>
              <w:pStyle w:val="CorpoAltF0"/>
              <w:spacing w:before="120"/>
              <w:jc w:val="center"/>
            </w:pPr>
            <w:r>
              <w:t>21</w:t>
            </w:r>
          </w:p>
        </w:tc>
        <w:tc>
          <w:tcPr>
            <w:tcW w:w="7034" w:type="dxa"/>
            <w:shd w:val="clear" w:color="auto" w:fill="auto"/>
          </w:tcPr>
          <w:p>
            <w:pPr>
              <w:pStyle w:val="CorpoAltF0"/>
              <w:spacing w:before="120"/>
            </w:pPr>
            <w:r>
              <w:t>Stampare il modello 10SM</w:t>
            </w:r>
          </w:p>
          <w:p>
            <w:pPr>
              <w:pStyle w:val="CorpoAltF0"/>
              <w:spacing w:before="120"/>
            </w:pPr>
            <w:r>
              <w:t>Dopo la chiusura della dichiarazione è possibile stampare il modello 10SM tramite la scelta 5 “</w:t>
            </w:r>
            <w:r>
              <w:rPr>
                <w:i/>
              </w:rPr>
              <w:t>Stampa della dichiarazione</w:t>
            </w:r>
            <w:r>
              <w:t>” di “</w:t>
            </w:r>
            <w:r>
              <w:rPr>
                <w:i/>
              </w:rPr>
              <w:t>Gestione</w:t>
            </w:r>
            <w:r>
              <w:t xml:space="preserve"> </w:t>
            </w:r>
            <w:r>
              <w:rPr>
                <w:i/>
              </w:rPr>
              <w:t>Liquidazioni</w:t>
            </w:r>
            <w:r>
              <w:t>” (che stampa il singolo modello 10SM) o tramite la scelta 3 del menu principale “</w:t>
            </w:r>
            <w:r>
              <w:rPr>
                <w:i/>
              </w:rPr>
              <w:t>Stampa modello 10SM</w:t>
            </w:r>
            <w:r>
              <w:t>” che presenta due scelte: Stampa modello base (</w:t>
            </w:r>
            <w:proofErr w:type="spellStart"/>
            <w:r>
              <w:t>mod</w:t>
            </w:r>
            <w:proofErr w:type="spellEnd"/>
            <w:r>
              <w:t>. 1031) e Stampa modello aggiuntivo (</w:t>
            </w:r>
            <w:proofErr w:type="spellStart"/>
            <w:r>
              <w:t>mod</w:t>
            </w:r>
            <w:proofErr w:type="spellEnd"/>
            <w:r>
              <w:t>. 1131). Con la scelta 5 viene segnalato se occorre la stampa del modello aggiuntivo (mod.1131).</w:t>
            </w:r>
          </w:p>
        </w:tc>
        <w:tc>
          <w:tcPr>
            <w:tcW w:w="2288" w:type="dxa"/>
            <w:shd w:val="clear" w:color="auto" w:fill="auto"/>
          </w:tcPr>
          <w:p>
            <w:pPr>
              <w:pStyle w:val="CorpoAltF0"/>
              <w:spacing w:before="120"/>
              <w:rPr>
                <w:b/>
              </w:rPr>
            </w:pPr>
            <w:r>
              <w:rPr>
                <w:b/>
              </w:rPr>
              <w:t>10SM</w:t>
            </w:r>
          </w:p>
          <w:p>
            <w:pPr>
              <w:pStyle w:val="CorpoAltF0"/>
              <w:ind w:left="317" w:hanging="317"/>
              <w:jc w:val="left"/>
              <w:rPr>
                <w:i/>
                <w:sz w:val="18"/>
              </w:rPr>
            </w:pPr>
            <w:r>
              <w:rPr>
                <w:sz w:val="18"/>
              </w:rPr>
              <w:t xml:space="preserve">3 – </w:t>
            </w:r>
            <w:r>
              <w:rPr>
                <w:i/>
                <w:sz w:val="18"/>
              </w:rPr>
              <w:t>Stampa modello 10SM</w:t>
            </w:r>
          </w:p>
          <w:p>
            <w:pPr>
              <w:pStyle w:val="CorpoAltF0"/>
            </w:pPr>
          </w:p>
          <w:p>
            <w:pPr>
              <w:pStyle w:val="CorpoAltF0"/>
              <w:jc w:val="left"/>
              <w:rPr>
                <w:i/>
                <w:sz w:val="18"/>
              </w:rPr>
            </w:pPr>
            <w:r>
              <w:rPr>
                <w:sz w:val="18"/>
              </w:rPr>
              <w:t xml:space="preserve">1 – </w:t>
            </w:r>
            <w:r>
              <w:rPr>
                <w:i/>
                <w:sz w:val="18"/>
              </w:rPr>
              <w:t>Gestione liquidazione</w:t>
            </w:r>
          </w:p>
          <w:p>
            <w:pPr>
              <w:pStyle w:val="CorpoAltF0"/>
              <w:ind w:left="317" w:hanging="317"/>
              <w:jc w:val="left"/>
              <w:rPr>
                <w:i/>
              </w:rPr>
            </w:pPr>
            <w:r>
              <w:rPr>
                <w:sz w:val="18"/>
              </w:rPr>
              <w:t xml:space="preserve">5 – </w:t>
            </w:r>
            <w:r>
              <w:rPr>
                <w:i/>
                <w:sz w:val="18"/>
              </w:rPr>
              <w:t>Stampa della dichiarazione</w:t>
            </w:r>
          </w:p>
        </w:tc>
      </w:tr>
      <w:tr>
        <w:tc>
          <w:tcPr>
            <w:tcW w:w="533" w:type="dxa"/>
            <w:shd w:val="clear" w:color="auto" w:fill="auto"/>
          </w:tcPr>
          <w:p>
            <w:pPr>
              <w:pStyle w:val="CorpoAltF0"/>
              <w:spacing w:before="120"/>
              <w:jc w:val="center"/>
            </w:pPr>
            <w:r>
              <w:t>22</w:t>
            </w:r>
          </w:p>
        </w:tc>
        <w:tc>
          <w:tcPr>
            <w:tcW w:w="7034" w:type="dxa"/>
            <w:shd w:val="clear" w:color="auto" w:fill="auto"/>
          </w:tcPr>
          <w:p>
            <w:pPr>
              <w:pStyle w:val="CorpoAltF0"/>
              <w:spacing w:before="120"/>
            </w:pPr>
            <w:r>
              <w:t>Stampare l’elenco versamenti e/o la lettera riepilogativa per PAT (facoltativo)</w:t>
            </w:r>
          </w:p>
        </w:tc>
        <w:tc>
          <w:tcPr>
            <w:tcW w:w="2288" w:type="dxa"/>
            <w:shd w:val="clear" w:color="auto" w:fill="auto"/>
          </w:tcPr>
          <w:p>
            <w:pPr>
              <w:pStyle w:val="CorpoAltF0"/>
              <w:spacing w:before="120"/>
            </w:pPr>
            <w:r>
              <w:rPr>
                <w:b/>
              </w:rPr>
              <w:t>10SM</w:t>
            </w:r>
          </w:p>
          <w:p>
            <w:pPr>
              <w:pStyle w:val="CorpoAltF0"/>
              <w:ind w:left="317" w:hanging="317"/>
              <w:jc w:val="left"/>
              <w:rPr>
                <w:i/>
                <w:sz w:val="18"/>
                <w:szCs w:val="18"/>
              </w:rPr>
            </w:pPr>
            <w:r>
              <w:rPr>
                <w:sz w:val="18"/>
                <w:szCs w:val="18"/>
              </w:rPr>
              <w:t xml:space="preserve">4 – </w:t>
            </w:r>
            <w:r>
              <w:rPr>
                <w:i/>
                <w:sz w:val="18"/>
                <w:szCs w:val="18"/>
              </w:rPr>
              <w:t>Stampa elenco versamenti</w:t>
            </w:r>
          </w:p>
          <w:p>
            <w:pPr>
              <w:pStyle w:val="CorpoAltF0"/>
              <w:jc w:val="left"/>
              <w:rPr>
                <w:i/>
                <w:sz w:val="18"/>
                <w:szCs w:val="18"/>
              </w:rPr>
            </w:pPr>
            <w:r>
              <w:rPr>
                <w:sz w:val="18"/>
                <w:szCs w:val="18"/>
              </w:rPr>
              <w:t xml:space="preserve">5 – </w:t>
            </w:r>
            <w:r>
              <w:rPr>
                <w:i/>
                <w:sz w:val="18"/>
                <w:szCs w:val="18"/>
              </w:rPr>
              <w:t>Stampa lettere</w:t>
            </w:r>
          </w:p>
        </w:tc>
      </w:tr>
      <w:tr>
        <w:tc>
          <w:tcPr>
            <w:tcW w:w="533" w:type="dxa"/>
            <w:shd w:val="clear" w:color="auto" w:fill="auto"/>
          </w:tcPr>
          <w:p>
            <w:pPr>
              <w:pStyle w:val="CorpoAltF0"/>
              <w:spacing w:before="120"/>
              <w:jc w:val="center"/>
              <w:rPr>
                <w:highlight w:val="yellow"/>
              </w:rPr>
            </w:pPr>
            <w:r>
              <w:t>23</w:t>
            </w:r>
          </w:p>
        </w:tc>
        <w:tc>
          <w:tcPr>
            <w:tcW w:w="7034" w:type="dxa"/>
            <w:shd w:val="clear" w:color="auto" w:fill="auto"/>
          </w:tcPr>
          <w:p>
            <w:pPr>
              <w:pStyle w:val="CorpoAltF0"/>
              <w:spacing w:before="120"/>
            </w:pPr>
            <w:r>
              <w:t>Generare il file telematico relativo alla delega F24 per il versamento dei premi, indicando i seguenti dati:</w:t>
            </w:r>
          </w:p>
          <w:p>
            <w:pPr>
              <w:pStyle w:val="CorpoAltF0"/>
            </w:pPr>
            <w:r>
              <w:t>Mese vers.:  2</w:t>
            </w:r>
          </w:p>
          <w:p>
            <w:pPr>
              <w:pStyle w:val="CorpoAltF0"/>
            </w:pPr>
            <w:r>
              <w:t>Anno vers.:  2019</w:t>
            </w:r>
          </w:p>
          <w:p>
            <w:pPr>
              <w:pStyle w:val="CorpoAltF0"/>
              <w:rPr>
                <w:highlight w:val="yellow"/>
              </w:rPr>
            </w:pPr>
            <w:r>
              <w:t>Scadenza.:  “1” metà mese</w:t>
            </w:r>
          </w:p>
        </w:tc>
        <w:tc>
          <w:tcPr>
            <w:tcW w:w="2288" w:type="dxa"/>
            <w:shd w:val="clear" w:color="auto" w:fill="auto"/>
          </w:tcPr>
          <w:p>
            <w:pPr>
              <w:pStyle w:val="CorpoAltF0"/>
              <w:spacing w:before="120"/>
              <w:rPr>
                <w:b/>
                <w:highlight w:val="yellow"/>
              </w:rPr>
            </w:pPr>
            <w:r>
              <w:rPr>
                <w:b/>
              </w:rPr>
              <w:t>F24</w:t>
            </w:r>
          </w:p>
        </w:tc>
      </w:tr>
      <w:tr>
        <w:tc>
          <w:tcPr>
            <w:tcW w:w="533" w:type="dxa"/>
            <w:shd w:val="clear" w:color="auto" w:fill="auto"/>
          </w:tcPr>
          <w:p>
            <w:pPr>
              <w:pStyle w:val="CorpoAltF0"/>
              <w:spacing w:before="120"/>
              <w:jc w:val="center"/>
            </w:pPr>
            <w:r>
              <w:t>24</w:t>
            </w:r>
          </w:p>
        </w:tc>
        <w:tc>
          <w:tcPr>
            <w:tcW w:w="7034" w:type="dxa"/>
            <w:shd w:val="clear" w:color="auto" w:fill="auto"/>
          </w:tcPr>
          <w:p>
            <w:pPr>
              <w:pStyle w:val="CorpoAltF0"/>
              <w:spacing w:before="120"/>
            </w:pPr>
            <w:r>
              <w:t>Generare il file telematico relativo dalla denuncia delle retribuzioni</w:t>
            </w:r>
          </w:p>
        </w:tc>
        <w:tc>
          <w:tcPr>
            <w:tcW w:w="2288" w:type="dxa"/>
            <w:shd w:val="clear" w:color="auto" w:fill="auto"/>
          </w:tcPr>
          <w:p>
            <w:pPr>
              <w:pStyle w:val="CorpoAltF0"/>
              <w:spacing w:before="120"/>
            </w:pPr>
            <w:r>
              <w:rPr>
                <w:b/>
              </w:rPr>
              <w:t>10SM</w:t>
            </w:r>
          </w:p>
          <w:p>
            <w:pPr>
              <w:pStyle w:val="CorpoAltF0"/>
              <w:ind w:left="317" w:hanging="317"/>
              <w:jc w:val="left"/>
              <w:rPr>
                <w:i/>
                <w:sz w:val="18"/>
                <w:szCs w:val="18"/>
              </w:rPr>
            </w:pPr>
            <w:r>
              <w:rPr>
                <w:sz w:val="18"/>
                <w:szCs w:val="18"/>
              </w:rPr>
              <w:t xml:space="preserve">8 – </w:t>
            </w:r>
            <w:r>
              <w:rPr>
                <w:i/>
                <w:sz w:val="18"/>
                <w:szCs w:val="18"/>
              </w:rPr>
              <w:t>Generazione telematico</w:t>
            </w:r>
          </w:p>
          <w:p>
            <w:pPr>
              <w:pStyle w:val="CorpoAltF0"/>
              <w:spacing w:before="120"/>
              <w:rPr>
                <w:b/>
              </w:rPr>
            </w:pPr>
          </w:p>
        </w:tc>
      </w:tr>
    </w:tbl>
    <w:p>
      <w:pPr>
        <w:pStyle w:val="CorpoAltF0"/>
        <w:rPr>
          <w:highlight w:val="yellow"/>
        </w:rPr>
      </w:pPr>
    </w:p>
    <w:p>
      <w:pPr>
        <w:pStyle w:val="CorpoAltF0"/>
        <w:rPr>
          <w:highlight w:val="yellow"/>
        </w:rPr>
      </w:pPr>
      <w:r>
        <w:rPr>
          <w:highlight w:val="yellow"/>
        </w:rPr>
        <w:br w:type="page"/>
      </w:r>
    </w:p>
    <w:p>
      <w:pPr>
        <w:pStyle w:val="CorpoAltF0"/>
        <w:rPr>
          <w:highlight w:val="yellow"/>
        </w:rPr>
      </w:pPr>
    </w:p>
    <w:p>
      <w:pPr>
        <w:pStyle w:val="TS-titolo-04"/>
      </w:pPr>
      <w:bookmarkStart w:id="72" w:name="_Toc471235864"/>
      <w:bookmarkStart w:id="73" w:name="App1_GestioneSoci_Collab_Ass_ecc"/>
      <w:bookmarkStart w:id="74" w:name="_Toc6329830"/>
      <w:bookmarkEnd w:id="73"/>
      <w:r>
        <w:t xml:space="preserve">Appendice 1: Gestione soci, </w:t>
      </w:r>
      <w:proofErr w:type="spellStart"/>
      <w:r>
        <w:t>collab</w:t>
      </w:r>
      <w:proofErr w:type="spellEnd"/>
      <w:r>
        <w:t>. familiari, associati, quadri e tirocinanti</w:t>
      </w:r>
      <w:bookmarkEnd w:id="72"/>
      <w:bookmarkEnd w:id="74"/>
    </w:p>
    <w:p>
      <w:pPr>
        <w:pStyle w:val="CorpoAltF0"/>
        <w:rPr>
          <w:highlight w:val="yellow"/>
        </w:rPr>
      </w:pPr>
    </w:p>
    <w:p>
      <w:pPr>
        <w:pStyle w:val="CorpoAltF0"/>
        <w:rPr>
          <w:sz w:val="24"/>
          <w:szCs w:val="24"/>
        </w:rPr>
      </w:pPr>
      <w:r>
        <w:rPr>
          <w:b/>
        </w:rPr>
        <w:t>GESTIONE SOCI: PRELIEVO DATI</w:t>
      </w:r>
    </w:p>
    <w:p>
      <w:pPr>
        <w:pStyle w:val="CorpoAltF0"/>
        <w:spacing w:before="60"/>
      </w:pPr>
      <w:r>
        <w:t>Il prelievo dei Soci avviene ricercando i dati nel seguente ordine:</w:t>
      </w:r>
    </w:p>
    <w:p>
      <w:pPr>
        <w:pStyle w:val="CorpoAltF0"/>
        <w:numPr>
          <w:ilvl w:val="0"/>
          <w:numId w:val="14"/>
        </w:numPr>
        <w:ind w:left="284" w:hanging="218"/>
      </w:pPr>
      <w:r>
        <w:t>Archivio Soci (anche se non sono stati creati come dipendenti);</w:t>
      </w:r>
    </w:p>
    <w:p>
      <w:pPr>
        <w:pStyle w:val="CorpoAltF0"/>
        <w:numPr>
          <w:ilvl w:val="0"/>
          <w:numId w:val="14"/>
        </w:numPr>
        <w:ind w:left="284" w:hanging="218"/>
      </w:pPr>
      <w:r>
        <w:t>Cedolini dei Soci elaborati durante l’anno (soltanto con questa scelta i Soci devono essere creati come dipendenti).</w:t>
      </w:r>
    </w:p>
    <w:p>
      <w:pPr>
        <w:pStyle w:val="CorpoAltF0"/>
      </w:pPr>
      <w:r>
        <w:t>Naturalmente il prelievo viene effettuato soltanto da uno di questi archivi.</w:t>
      </w:r>
    </w:p>
    <w:p>
      <w:pPr>
        <w:pStyle w:val="CorpoAltF0"/>
      </w:pPr>
    </w:p>
    <w:p>
      <w:pPr>
        <w:pStyle w:val="CorpoAltF0"/>
      </w:pPr>
    </w:p>
    <w:p>
      <w:pPr>
        <w:pStyle w:val="CorpoAltF0"/>
        <w:spacing w:before="120"/>
        <w:rPr>
          <w:b/>
        </w:rPr>
      </w:pPr>
      <w:r>
        <w:rPr>
          <w:b/>
        </w:rPr>
        <w:t>GESTIONE SOCI NON ARTIGIANI - COLLABORATORI FAMILIARI - TITOLARI</w:t>
      </w:r>
    </w:p>
    <w:p>
      <w:pPr>
        <w:pStyle w:val="CorpoAltF0"/>
        <w:spacing w:before="60"/>
      </w:pPr>
      <w:r>
        <w:t>Le retribuzioni convenzionali possono essere inserite nei seguenti modi:</w:t>
      </w:r>
    </w:p>
    <w:p>
      <w:pPr>
        <w:pStyle w:val="CorpoAltF0"/>
        <w:numPr>
          <w:ilvl w:val="0"/>
          <w:numId w:val="15"/>
        </w:numPr>
        <w:spacing w:before="120"/>
        <w:ind w:left="284" w:hanging="284"/>
        <w:rPr>
          <w:u w:val="single"/>
        </w:rPr>
      </w:pPr>
      <w:r>
        <w:rPr>
          <w:u w:val="single"/>
        </w:rPr>
        <w:t xml:space="preserve">ELABORAZIONE MENSILE DEI CEDOLINI </w:t>
      </w:r>
    </w:p>
    <w:p>
      <w:pPr>
        <w:pStyle w:val="CorpoAltF0"/>
        <w:numPr>
          <w:ilvl w:val="0"/>
          <w:numId w:val="16"/>
        </w:numPr>
        <w:spacing w:before="40"/>
        <w:ind w:left="426" w:hanging="142"/>
      </w:pPr>
      <w:r>
        <w:t xml:space="preserve">Codificare i soci in </w:t>
      </w:r>
      <w:r>
        <w:rPr>
          <w:b/>
          <w:bCs/>
        </w:rPr>
        <w:t>DIPE</w:t>
      </w:r>
      <w:r>
        <w:t xml:space="preserve"> con codice “</w:t>
      </w:r>
      <w:r>
        <w:rPr>
          <w:i/>
        </w:rPr>
        <w:t>T</w:t>
      </w:r>
      <w:r>
        <w:rPr>
          <w:i/>
          <w:iCs/>
        </w:rPr>
        <w:t>rattamento Irpef</w:t>
      </w:r>
      <w:r>
        <w:t xml:space="preserve">” pari a </w:t>
      </w:r>
      <w:r>
        <w:rPr>
          <w:b/>
          <w:bCs/>
        </w:rPr>
        <w:t>6</w:t>
      </w:r>
      <w:r>
        <w:t xml:space="preserve"> (</w:t>
      </w:r>
      <w:r>
        <w:rPr>
          <w:b/>
        </w:rPr>
        <w:t>DIPE</w:t>
      </w:r>
      <w:r>
        <w:rPr>
          <w:bCs/>
        </w:rPr>
        <w:t xml:space="preserve"> &gt; </w:t>
      </w:r>
      <w:r>
        <w:t>Dati generali);</w:t>
      </w:r>
    </w:p>
    <w:p>
      <w:pPr>
        <w:pStyle w:val="CorpoAltF0"/>
        <w:numPr>
          <w:ilvl w:val="0"/>
          <w:numId w:val="16"/>
        </w:numPr>
        <w:spacing w:before="40"/>
        <w:ind w:left="426" w:hanging="142"/>
      </w:pPr>
      <w:r>
        <w:t>Inserire la posizione INAIL al campo "</w:t>
      </w:r>
      <w:r>
        <w:rPr>
          <w:i/>
          <w:iCs/>
        </w:rPr>
        <w:t xml:space="preserve">Soggetto INAIL / </w:t>
      </w:r>
      <w:proofErr w:type="spellStart"/>
      <w:r>
        <w:rPr>
          <w:i/>
          <w:iCs/>
        </w:rPr>
        <w:t>Pos.Inail</w:t>
      </w:r>
      <w:proofErr w:type="spellEnd"/>
      <w:r>
        <w:t xml:space="preserve">." della scheda “Trattenute” di </w:t>
      </w:r>
      <w:r>
        <w:rPr>
          <w:b/>
          <w:bCs/>
        </w:rPr>
        <w:t>DIPE</w:t>
      </w:r>
      <w:r>
        <w:rPr>
          <w:bCs/>
        </w:rPr>
        <w:t>;</w:t>
      </w:r>
      <w:r>
        <w:t xml:space="preserve"> </w:t>
      </w:r>
    </w:p>
    <w:p>
      <w:pPr>
        <w:pStyle w:val="CorpoAltF0"/>
        <w:numPr>
          <w:ilvl w:val="0"/>
          <w:numId w:val="16"/>
        </w:numPr>
        <w:spacing w:before="40"/>
        <w:ind w:left="426" w:hanging="142"/>
      </w:pPr>
      <w:r>
        <w:t xml:space="preserve">Elaborare i cedolini mensilmente indicando le ore </w:t>
      </w:r>
      <w:proofErr w:type="spellStart"/>
      <w:r>
        <w:t>inail</w:t>
      </w:r>
      <w:proofErr w:type="spellEnd"/>
      <w:r>
        <w:t xml:space="preserve"> in testata ed inserendo una apposita voce di calcolo (descrittiva ed assoggettata a contributi) per la valorizzazione della retribuzione convenzionale Inail mensile (per utenti CONTRA, cod. voce 9128 che preleva l’importo dalla prima base presente nella scheda “</w:t>
      </w:r>
      <w:r>
        <w:rPr>
          <w:i/>
        </w:rPr>
        <w:t>Basi Coefficienti</w:t>
      </w:r>
      <w:r>
        <w:t xml:space="preserve">” di </w:t>
      </w:r>
      <w:r>
        <w:rPr>
          <w:b/>
        </w:rPr>
        <w:t>DIPE</w:t>
      </w:r>
      <w:r>
        <w:t>).</w:t>
      </w:r>
    </w:p>
    <w:p>
      <w:pPr>
        <w:pStyle w:val="CorpoAltF0"/>
        <w:numPr>
          <w:ilvl w:val="0"/>
          <w:numId w:val="15"/>
        </w:numPr>
        <w:spacing w:before="120"/>
        <w:ind w:left="284" w:hanging="284"/>
        <w:rPr>
          <w:u w:val="single"/>
        </w:rPr>
      </w:pPr>
      <w:r>
        <w:rPr>
          <w:u w:val="single"/>
        </w:rPr>
        <w:t xml:space="preserve">INSERIMENTO DATI NELL'ARCHIVIO SOCI </w:t>
      </w:r>
    </w:p>
    <w:p>
      <w:pPr>
        <w:pStyle w:val="CorpoAltF0"/>
        <w:numPr>
          <w:ilvl w:val="0"/>
          <w:numId w:val="16"/>
        </w:numPr>
        <w:spacing w:before="40"/>
        <w:ind w:left="426" w:hanging="142"/>
      </w:pPr>
      <w:r>
        <w:t>Creare le anagrafiche dei soci o collaboratori tramite la scelta “Soci”, presente nella “</w:t>
      </w:r>
      <w:r>
        <w:rPr>
          <w:i/>
        </w:rPr>
        <w:t>Gestione</w:t>
      </w:r>
      <w:r>
        <w:t xml:space="preserve"> </w:t>
      </w:r>
      <w:r>
        <w:rPr>
          <w:i/>
        </w:rPr>
        <w:t>posizioni</w:t>
      </w:r>
      <w:r>
        <w:t xml:space="preserve"> </w:t>
      </w:r>
      <w:proofErr w:type="spellStart"/>
      <w:r>
        <w:rPr>
          <w:i/>
        </w:rPr>
        <w:t>inail</w:t>
      </w:r>
      <w:proofErr w:type="spellEnd"/>
      <w:r>
        <w:t xml:space="preserve">” di </w:t>
      </w:r>
      <w:r>
        <w:rPr>
          <w:b/>
        </w:rPr>
        <w:t>AZIE</w:t>
      </w:r>
      <w:r>
        <w:t xml:space="preserve"> &gt; scheda INAIL (pulsante “</w:t>
      </w:r>
      <w:r>
        <w:rPr>
          <w:i/>
        </w:rPr>
        <w:t>Funzioni</w:t>
      </w:r>
      <w:r>
        <w:t>”);</w:t>
      </w:r>
    </w:p>
    <w:p>
      <w:pPr>
        <w:pStyle w:val="CorpoAltF0"/>
        <w:numPr>
          <w:ilvl w:val="0"/>
          <w:numId w:val="16"/>
        </w:numPr>
        <w:spacing w:before="40"/>
        <w:ind w:left="426" w:hanging="142"/>
      </w:pPr>
      <w:r>
        <w:t>Indicare la data di entrata e/o uscita;</w:t>
      </w:r>
    </w:p>
    <w:p>
      <w:pPr>
        <w:pStyle w:val="CorpoAltF0"/>
        <w:numPr>
          <w:ilvl w:val="0"/>
          <w:numId w:val="16"/>
        </w:numPr>
        <w:spacing w:before="40"/>
        <w:ind w:left="426" w:hanging="142"/>
      </w:pPr>
      <w:r>
        <w:t>Selezionare nel tipo:</w:t>
      </w:r>
    </w:p>
    <w:p>
      <w:pPr>
        <w:pStyle w:val="CorpoAltF0"/>
        <w:numPr>
          <w:ilvl w:val="0"/>
          <w:numId w:val="23"/>
        </w:numPr>
        <w:ind w:left="709" w:hanging="218"/>
      </w:pPr>
      <w:r>
        <w:t>collaboratore</w:t>
      </w:r>
    </w:p>
    <w:p>
      <w:pPr>
        <w:pStyle w:val="CorpoAltF0"/>
        <w:numPr>
          <w:ilvl w:val="0"/>
          <w:numId w:val="23"/>
        </w:numPr>
        <w:ind w:left="709" w:hanging="218"/>
        <w:rPr>
          <w:b/>
        </w:rPr>
      </w:pPr>
      <w:r>
        <w:t>socio</w:t>
      </w:r>
    </w:p>
    <w:p>
      <w:pPr>
        <w:pStyle w:val="CorpoAltF0"/>
        <w:numPr>
          <w:ilvl w:val="0"/>
          <w:numId w:val="23"/>
        </w:numPr>
        <w:ind w:left="709" w:hanging="218"/>
      </w:pPr>
      <w:r>
        <w:t>titolare</w:t>
      </w:r>
    </w:p>
    <w:p>
      <w:pPr>
        <w:pStyle w:val="CorpoAltF0"/>
        <w:spacing w:before="120"/>
        <w:ind w:left="284"/>
      </w:pPr>
      <w:r>
        <w:t>Le retribuzioni convenzionali per i soci non artigiani possono avere importi differenti in base alle province della sede INAIL di appartenenza. Nella procedura l’importo annuale è contenuto sia in tabella “</w:t>
      </w:r>
      <w:r>
        <w:rPr>
          <w:i/>
        </w:rPr>
        <w:t>Classi di rischio e parametri</w:t>
      </w:r>
      <w:r>
        <w:t>” (</w:t>
      </w:r>
      <w:r>
        <w:rPr>
          <w:b/>
        </w:rPr>
        <w:t>TB0703</w:t>
      </w:r>
      <w:r>
        <w:t>) che nella tabella “</w:t>
      </w:r>
      <w:r>
        <w:rPr>
          <w:i/>
        </w:rPr>
        <w:t>Descrizione sedi INAIL</w:t>
      </w:r>
      <w:r>
        <w:t>” (</w:t>
      </w:r>
      <w:r>
        <w:rPr>
          <w:b/>
        </w:rPr>
        <w:t>TB0701</w:t>
      </w:r>
      <w:r>
        <w:t>). Il dato viene acquisito dalla tabella della sede collegata alla posizione INAIL e in mancanza, dalla tabella classi di rischio e parametri.</w:t>
      </w:r>
    </w:p>
    <w:p>
      <w:pPr>
        <w:pStyle w:val="CorpoAltF0"/>
      </w:pPr>
    </w:p>
    <w:p>
      <w:pPr>
        <w:pStyle w:val="CorpoAltF0"/>
      </w:pPr>
    </w:p>
    <w:p>
      <w:pPr>
        <w:pStyle w:val="CorpoAltF0"/>
        <w:spacing w:before="120"/>
        <w:rPr>
          <w:b/>
        </w:rPr>
      </w:pPr>
      <w:r>
        <w:rPr>
          <w:b/>
        </w:rPr>
        <w:t xml:space="preserve">GESTIONE SOCI ARTIGIANI </w:t>
      </w:r>
    </w:p>
    <w:p>
      <w:pPr>
        <w:pStyle w:val="CorpoAltF0"/>
        <w:spacing w:before="60"/>
      </w:pPr>
      <w:r>
        <w:t>I soci artigiani possono essere inseriti in due diversi modi:</w:t>
      </w:r>
    </w:p>
    <w:p>
      <w:pPr>
        <w:pStyle w:val="CorpoAltF0"/>
        <w:numPr>
          <w:ilvl w:val="0"/>
          <w:numId w:val="17"/>
        </w:numPr>
        <w:spacing w:before="120"/>
        <w:ind w:left="284" w:hanging="284"/>
        <w:rPr>
          <w:u w:val="single"/>
        </w:rPr>
      </w:pPr>
      <w:r>
        <w:rPr>
          <w:u w:val="single"/>
        </w:rPr>
        <w:t xml:space="preserve">INSERIMENTO DATI NELL'ARCHIVIO SOCI </w:t>
      </w:r>
    </w:p>
    <w:p>
      <w:pPr>
        <w:pStyle w:val="CorpoAltF0"/>
        <w:numPr>
          <w:ilvl w:val="0"/>
          <w:numId w:val="16"/>
        </w:numPr>
        <w:spacing w:before="40"/>
        <w:ind w:left="426" w:hanging="142"/>
      </w:pPr>
      <w:r>
        <w:t>Creare le anagrafiche dei soci o collaboratori tramite la scelta “</w:t>
      </w:r>
      <w:r>
        <w:rPr>
          <w:i/>
        </w:rPr>
        <w:t>Soci</w:t>
      </w:r>
      <w:r>
        <w:t>”, presente nella “</w:t>
      </w:r>
      <w:r>
        <w:rPr>
          <w:i/>
        </w:rPr>
        <w:t xml:space="preserve">Gestione posizioni </w:t>
      </w:r>
      <w:proofErr w:type="spellStart"/>
      <w:r>
        <w:rPr>
          <w:i/>
        </w:rPr>
        <w:t>inail</w:t>
      </w:r>
      <w:proofErr w:type="spellEnd"/>
      <w:r>
        <w:t xml:space="preserve">” di </w:t>
      </w:r>
      <w:r>
        <w:rPr>
          <w:b/>
        </w:rPr>
        <w:t>AZIE</w:t>
      </w:r>
      <w:r>
        <w:t xml:space="preserve"> &gt; scheda </w:t>
      </w:r>
      <w:r>
        <w:rPr>
          <w:i/>
        </w:rPr>
        <w:t>INAIL</w:t>
      </w:r>
      <w:r>
        <w:t>;</w:t>
      </w:r>
    </w:p>
    <w:p>
      <w:pPr>
        <w:pStyle w:val="CorpoAltF0"/>
        <w:numPr>
          <w:ilvl w:val="0"/>
          <w:numId w:val="16"/>
        </w:numPr>
        <w:spacing w:before="40"/>
        <w:ind w:left="426" w:hanging="142"/>
      </w:pPr>
      <w:r>
        <w:t>Indicare la data di entrata e/o uscita;</w:t>
      </w:r>
    </w:p>
    <w:p>
      <w:pPr>
        <w:pStyle w:val="CorpoAltF0"/>
        <w:numPr>
          <w:ilvl w:val="0"/>
          <w:numId w:val="16"/>
        </w:numPr>
        <w:spacing w:before="40"/>
        <w:ind w:left="426" w:hanging="142"/>
      </w:pPr>
      <w:r>
        <w:t>Selezionare nel tipo:</w:t>
      </w:r>
    </w:p>
    <w:p>
      <w:pPr>
        <w:pStyle w:val="CorpoAltF0"/>
        <w:numPr>
          <w:ilvl w:val="0"/>
          <w:numId w:val="23"/>
        </w:numPr>
        <w:ind w:left="709" w:hanging="218"/>
        <w:rPr>
          <w:b/>
        </w:rPr>
      </w:pPr>
      <w:r>
        <w:t>socio</w:t>
      </w:r>
    </w:p>
    <w:p>
      <w:pPr>
        <w:pStyle w:val="CorpoAltF0"/>
        <w:numPr>
          <w:ilvl w:val="0"/>
          <w:numId w:val="16"/>
        </w:numPr>
        <w:spacing w:before="40"/>
        <w:ind w:left="426" w:hanging="142"/>
      </w:pPr>
      <w:r>
        <w:t>Inserire la classe di rischio per determinare l'importo del premio.</w:t>
      </w:r>
    </w:p>
    <w:p>
      <w:pPr>
        <w:pStyle w:val="CorpoAltF0"/>
        <w:numPr>
          <w:ilvl w:val="0"/>
          <w:numId w:val="17"/>
        </w:numPr>
        <w:spacing w:before="120"/>
        <w:ind w:left="284" w:hanging="284"/>
        <w:rPr>
          <w:u w:val="single"/>
        </w:rPr>
      </w:pPr>
      <w:r>
        <w:rPr>
          <w:u w:val="single"/>
        </w:rPr>
        <w:t>INSERIMENTO IN GESTIONE 10SM</w:t>
      </w:r>
    </w:p>
    <w:p>
      <w:pPr>
        <w:pStyle w:val="CorpoAltF0"/>
        <w:ind w:left="284"/>
      </w:pPr>
      <w:r>
        <w:t xml:space="preserve">Dopo aver eseguito le operazioni di ricalcolo, richiamare il comando </w:t>
      </w:r>
      <w:r>
        <w:rPr>
          <w:b/>
          <w:bCs/>
        </w:rPr>
        <w:t>10SM</w:t>
      </w:r>
      <w:r>
        <w:t xml:space="preserve"> e inserire i dati manualmente (come riportati nelle basi di calcolo INAIL) nella scelta 3 “</w:t>
      </w:r>
      <w:r>
        <w:rPr>
          <w:i/>
        </w:rPr>
        <w:t>Composizione nucleo artigiano</w:t>
      </w:r>
      <w:r>
        <w:t xml:space="preserve">” della gestione PAT. </w:t>
      </w:r>
    </w:p>
    <w:p>
      <w:pPr>
        <w:pStyle w:val="CorpoAltF0"/>
        <w:rPr>
          <w:highlight w:val="yellow"/>
        </w:rPr>
      </w:pPr>
      <w:r>
        <w:rPr>
          <w:highlight w:val="yellow"/>
        </w:rPr>
        <w:br w:type="page"/>
      </w:r>
    </w:p>
    <w:p>
      <w:pPr>
        <w:pStyle w:val="CorpoAltF0"/>
      </w:pPr>
    </w:p>
    <w:p>
      <w:pPr>
        <w:pStyle w:val="CorpoAltF0"/>
        <w:rPr>
          <w:b/>
        </w:rPr>
      </w:pPr>
      <w:r>
        <w:rPr>
          <w:b/>
        </w:rPr>
        <w:t>ASSOCIATI IN PARTECIPAZIONE</w:t>
      </w:r>
    </w:p>
    <w:p>
      <w:pPr>
        <w:pStyle w:val="CorpoAltF0"/>
        <w:spacing w:before="60"/>
      </w:pPr>
      <w:r>
        <w:t>La contribuzione INAIL per gli associati in partecipazione con prestazione di lavoro è equiparata a quella prevista per i soci (l’associato è assimilato al socio d’opera), pertanto:</w:t>
      </w:r>
    </w:p>
    <w:p>
      <w:pPr>
        <w:pStyle w:val="CorpoAltF0"/>
        <w:numPr>
          <w:ilvl w:val="0"/>
          <w:numId w:val="18"/>
        </w:numPr>
        <w:spacing w:before="60"/>
        <w:ind w:left="284" w:hanging="284"/>
      </w:pPr>
      <w:r>
        <w:t>in caso di azienda non artigiana, il premio viene determinato applicando il tasso previsto per la specifica posizione assicurativa aziendale alla retribuzione convenzionale annualmente fissata con apposito decreto ministeriale (retribuzione valida ai fini della determinazione del minimale di legge per la liquidazione delle rendite per inabilità permanente);</w:t>
      </w:r>
    </w:p>
    <w:p>
      <w:pPr>
        <w:pStyle w:val="CorpoAltF0"/>
        <w:numPr>
          <w:ilvl w:val="0"/>
          <w:numId w:val="18"/>
        </w:numPr>
        <w:spacing w:before="60"/>
        <w:ind w:left="284" w:hanging="284"/>
      </w:pPr>
      <w:r>
        <w:t>in caso di azienda artigiana, il premio è determinato sulla base della specifica classe di rischio attribuita all’associato in partecipazione in funzione dell’attività prestata.</w:t>
      </w:r>
    </w:p>
    <w:p>
      <w:pPr>
        <w:pStyle w:val="CorpoAltF0"/>
        <w:spacing w:before="60"/>
      </w:pPr>
      <w:r>
        <w:t>Si ricorda che tali soggetti nell’archivio dipendenti (</w:t>
      </w:r>
      <w:r>
        <w:rPr>
          <w:b/>
        </w:rPr>
        <w:t>DIPE</w:t>
      </w:r>
      <w:r>
        <w:t>) sono identificati dal codice ”</w:t>
      </w:r>
      <w:r>
        <w:rPr>
          <w:b/>
        </w:rPr>
        <w:t>A</w:t>
      </w:r>
      <w:r>
        <w:t>” al campo “</w:t>
      </w:r>
      <w:r>
        <w:rPr>
          <w:i/>
        </w:rPr>
        <w:t>Trattamento Irpef</w:t>
      </w:r>
      <w:r>
        <w:t>” della scheda “</w:t>
      </w:r>
      <w:r>
        <w:rPr>
          <w:i/>
        </w:rPr>
        <w:t>Dati Generali</w:t>
      </w:r>
      <w:r>
        <w:t>”.</w:t>
      </w:r>
    </w:p>
    <w:p>
      <w:pPr>
        <w:pStyle w:val="CorpoAltF0"/>
      </w:pPr>
    </w:p>
    <w:p>
      <w:pPr>
        <w:pStyle w:val="CorpoAltF0"/>
        <w:rPr>
          <w:i/>
          <w:u w:val="single"/>
        </w:rPr>
      </w:pPr>
      <w:r>
        <w:rPr>
          <w:i/>
          <w:u w:val="single"/>
        </w:rPr>
        <w:t>Azienda NON artigiana</w:t>
      </w:r>
    </w:p>
    <w:p>
      <w:pPr>
        <w:pStyle w:val="CorpoAltF0"/>
        <w:numPr>
          <w:ilvl w:val="0"/>
          <w:numId w:val="18"/>
        </w:numPr>
        <w:spacing w:before="60"/>
        <w:ind w:left="284" w:hanging="284"/>
      </w:pPr>
      <w:r>
        <w:t>L’importo della retribuzione convenzionale è quello previsto per i soci non artigiani presente in “</w:t>
      </w:r>
      <w:r>
        <w:rPr>
          <w:i/>
        </w:rPr>
        <w:t>Tabella classi di rischio e parametri</w:t>
      </w:r>
      <w:r>
        <w:t>” (</w:t>
      </w:r>
      <w:r>
        <w:rPr>
          <w:b/>
        </w:rPr>
        <w:t>TB0703</w:t>
      </w:r>
      <w:r>
        <w:t>);</w:t>
      </w:r>
    </w:p>
    <w:p>
      <w:pPr>
        <w:pStyle w:val="CorpoAltF0"/>
        <w:numPr>
          <w:ilvl w:val="0"/>
          <w:numId w:val="18"/>
        </w:numPr>
        <w:spacing w:before="60"/>
        <w:ind w:left="284" w:hanging="284"/>
      </w:pPr>
      <w:r>
        <w:t>La voce di tariffa ed il relativo tasso vengono prelevati dalla specifica PAT collegata al campo “</w:t>
      </w:r>
      <w:r>
        <w:rPr>
          <w:i/>
        </w:rPr>
        <w:t>Posizione INAIL</w:t>
      </w:r>
      <w:r>
        <w:t>” della scheda “</w:t>
      </w:r>
      <w:r>
        <w:rPr>
          <w:i/>
        </w:rPr>
        <w:t>Trattenute</w:t>
      </w:r>
      <w:r>
        <w:t xml:space="preserve">” di </w:t>
      </w:r>
      <w:r>
        <w:rPr>
          <w:b/>
        </w:rPr>
        <w:t>DIPE</w:t>
      </w:r>
      <w:r>
        <w:t>;</w:t>
      </w:r>
    </w:p>
    <w:p>
      <w:pPr>
        <w:pStyle w:val="CorpoAltF0"/>
        <w:numPr>
          <w:ilvl w:val="0"/>
          <w:numId w:val="18"/>
        </w:numPr>
        <w:spacing w:before="60"/>
        <w:ind w:left="284" w:hanging="284"/>
      </w:pPr>
      <w:r>
        <w:t>Il periodo di copertura del premio viene determinato verificando le date di assunzione/licenziamento.</w:t>
      </w:r>
    </w:p>
    <w:p>
      <w:pPr>
        <w:pStyle w:val="CorpoAltF0"/>
      </w:pPr>
    </w:p>
    <w:p>
      <w:pPr>
        <w:pStyle w:val="CorpoAltF0"/>
        <w:rPr>
          <w:i/>
          <w:u w:val="single"/>
        </w:rPr>
      </w:pPr>
      <w:r>
        <w:rPr>
          <w:i/>
          <w:u w:val="single"/>
        </w:rPr>
        <w:t>Azienda artigiana</w:t>
      </w:r>
    </w:p>
    <w:p>
      <w:pPr>
        <w:pStyle w:val="CorpoAltF0"/>
        <w:numPr>
          <w:ilvl w:val="0"/>
          <w:numId w:val="18"/>
        </w:numPr>
        <w:spacing w:before="60"/>
        <w:ind w:left="284" w:hanging="284"/>
      </w:pPr>
      <w:r>
        <w:t>La classe di rischio viene prelevata dalla sezione “</w:t>
      </w:r>
      <w:r>
        <w:rPr>
          <w:i/>
        </w:rPr>
        <w:t>Progressivi</w:t>
      </w:r>
      <w:r>
        <w:t xml:space="preserve"> – </w:t>
      </w:r>
      <w:r>
        <w:rPr>
          <w:i/>
        </w:rPr>
        <w:t>Associati in partecipazione</w:t>
      </w:r>
      <w:r>
        <w:t xml:space="preserve">” di </w:t>
      </w:r>
      <w:r>
        <w:rPr>
          <w:b/>
        </w:rPr>
        <w:t>DIPE</w:t>
      </w:r>
      <w:r>
        <w:t>;</w:t>
      </w:r>
    </w:p>
    <w:p>
      <w:pPr>
        <w:pStyle w:val="CorpoAltF0"/>
        <w:numPr>
          <w:ilvl w:val="0"/>
          <w:numId w:val="18"/>
        </w:numPr>
        <w:spacing w:before="60"/>
        <w:ind w:left="284" w:hanging="284"/>
      </w:pPr>
      <w:r>
        <w:t>Il premio viene imputato alla PAT collegata al campo “</w:t>
      </w:r>
      <w:r>
        <w:rPr>
          <w:i/>
        </w:rPr>
        <w:t>Posizione Inail</w:t>
      </w:r>
      <w:r>
        <w:t>” della scheda “</w:t>
      </w:r>
      <w:r>
        <w:rPr>
          <w:i/>
        </w:rPr>
        <w:t>Trattenute</w:t>
      </w:r>
      <w:r>
        <w:t xml:space="preserve">” di </w:t>
      </w:r>
      <w:r>
        <w:rPr>
          <w:b/>
        </w:rPr>
        <w:t>DIPE</w:t>
      </w:r>
      <w:r>
        <w:t>;</w:t>
      </w:r>
    </w:p>
    <w:p>
      <w:pPr>
        <w:pStyle w:val="CorpoAltF0"/>
        <w:numPr>
          <w:ilvl w:val="0"/>
          <w:numId w:val="18"/>
        </w:numPr>
        <w:spacing w:before="60"/>
        <w:ind w:left="284" w:hanging="284"/>
      </w:pPr>
      <w:r>
        <w:t>Il periodo di copertura del premio viene determinato verificando le date di assunzione/licenziamento.</w:t>
      </w:r>
    </w:p>
    <w:p>
      <w:pPr>
        <w:pStyle w:val="CorpoAltF0"/>
      </w:pPr>
    </w:p>
    <w:p>
      <w:pPr>
        <w:pStyle w:val="CorpoAltF0"/>
      </w:pPr>
      <w:r>
        <w:t>Nel caso in cui si sia verificata una variazione della PAT, il nuovo codice e la data di decorrenza devono essere indicati nei relativi campi della sezione “</w:t>
      </w:r>
      <w:r>
        <w:rPr>
          <w:i/>
        </w:rPr>
        <w:t>Progressivi – Associati in partecipazione</w:t>
      </w:r>
      <w:r>
        <w:t>” (“</w:t>
      </w:r>
      <w:r>
        <w:rPr>
          <w:i/>
        </w:rPr>
        <w:t>Data inizio”</w:t>
      </w:r>
      <w:r>
        <w:t xml:space="preserve"> e “</w:t>
      </w:r>
      <w:r>
        <w:rPr>
          <w:i/>
        </w:rPr>
        <w:t>Posizione INAIL</w:t>
      </w:r>
      <w:r>
        <w:t>”).</w:t>
      </w:r>
    </w:p>
    <w:p>
      <w:pPr>
        <w:pStyle w:val="CorpoAltF0"/>
      </w:pPr>
      <w:r>
        <w:t>Con riferimento alle aziende artigiane, nella stessa sezione è possibile:</w:t>
      </w:r>
    </w:p>
    <w:p>
      <w:pPr>
        <w:pStyle w:val="CorpoAltF0"/>
        <w:numPr>
          <w:ilvl w:val="0"/>
          <w:numId w:val="16"/>
        </w:numPr>
        <w:ind w:left="284" w:hanging="284"/>
      </w:pPr>
      <w:r>
        <w:t>impostare la modalità di applicazione della riduzione L. 147/13 con riferimento a ciascuna classe di rischio (solo su rata, solo su regolazione, su entrambi oppure non applicazione della riduzione);</w:t>
      </w:r>
    </w:p>
    <w:p>
      <w:pPr>
        <w:pStyle w:val="CorpoAltF0"/>
        <w:numPr>
          <w:ilvl w:val="0"/>
          <w:numId w:val="16"/>
        </w:numPr>
        <w:ind w:left="284" w:hanging="284"/>
      </w:pPr>
      <w:r>
        <w:t>in caso di variazione della classe di rischio, indicare una diversa classe di rischio e la relativa data di decorrenza (“</w:t>
      </w:r>
      <w:r>
        <w:rPr>
          <w:i/>
        </w:rPr>
        <w:t>Data inizio</w:t>
      </w:r>
      <w:r>
        <w:t>”);</w:t>
      </w:r>
    </w:p>
    <w:p>
      <w:pPr>
        <w:pStyle w:val="CorpoAltF0"/>
        <w:numPr>
          <w:ilvl w:val="0"/>
          <w:numId w:val="16"/>
        </w:numPr>
        <w:ind w:left="284" w:hanging="284"/>
      </w:pPr>
      <w:r>
        <w:t>in caso di ponderazione di più classi di rischio, selezionare le classi di rischio interessate con la rispettiva percentuale di ponderazione; in caso di più di due classi ponderate, è possibile compilare più righi della sezione in oggetto, indicando la medesima “</w:t>
      </w:r>
      <w:r>
        <w:rPr>
          <w:i/>
        </w:rPr>
        <w:t>Data inizio</w:t>
      </w:r>
      <w:r>
        <w:t>”.</w:t>
      </w:r>
    </w:p>
    <w:p>
      <w:pPr>
        <w:pStyle w:val="CorpoAltF0"/>
        <w:spacing w:before="120"/>
        <w:jc w:val="center"/>
        <w:rPr>
          <w:noProof/>
        </w:rPr>
      </w:pPr>
      <w:r>
        <w:rPr>
          <w:noProof/>
        </w:rPr>
        <w:drawing>
          <wp:inline distT="0" distB="0" distL="0" distR="0">
            <wp:extent cx="5760000" cy="2583305"/>
            <wp:effectExtent l="0" t="0" r="0" b="7620"/>
            <wp:docPr id="137" name="Immagin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60000" cy="2583305"/>
                    </a:xfrm>
                    <a:prstGeom prst="rect">
                      <a:avLst/>
                    </a:prstGeom>
                  </pic:spPr>
                </pic:pic>
              </a:graphicData>
            </a:graphic>
          </wp:inline>
        </w:drawing>
      </w:r>
    </w:p>
    <w:p>
      <w:pPr>
        <w:pStyle w:val="CorpoAltF0"/>
        <w:rPr>
          <w:highlight w:val="yellow"/>
        </w:rPr>
      </w:pPr>
      <w:r>
        <w:rPr>
          <w:highlight w:val="yellow"/>
        </w:rPr>
        <w:br w:type="page"/>
      </w:r>
    </w:p>
    <w:p>
      <w:pPr>
        <w:pStyle w:val="CorpoAltF0"/>
        <w:spacing w:before="120"/>
        <w:rPr>
          <w:highlight w:val="yellow"/>
        </w:rPr>
      </w:pPr>
    </w:p>
    <w:p>
      <w:pPr>
        <w:pStyle w:val="CorpoAltF0"/>
      </w:pPr>
      <w:r>
        <w:t>Si precisa che le informazioni relative alla posizione assicurativa e alla classe di rischio presenti nella sezione “</w:t>
      </w:r>
      <w:r>
        <w:rPr>
          <w:i/>
        </w:rPr>
        <w:t>Progressivi – Associati in partecipazione</w:t>
      </w:r>
      <w:r>
        <w:t>” sono univoche, cioè non sono legate all’anno di validità evidenziato nella sezione stessa.</w:t>
      </w:r>
    </w:p>
    <w:p>
      <w:pPr>
        <w:pStyle w:val="CorpoAltF0"/>
        <w:spacing w:before="120"/>
      </w:pPr>
      <w:r>
        <w:t>Le retribuzioni ed i premi relativi agli associati vengono riportati nella gestione 10SM e nelle stampe negli stessi campi relativi ai premi dei soci o degli artigiani.</w:t>
      </w:r>
    </w:p>
    <w:p>
      <w:pPr>
        <w:pStyle w:val="CorpoAltF0"/>
      </w:pPr>
    </w:p>
    <w:p>
      <w:pPr>
        <w:pStyle w:val="CorpoAltF0"/>
      </w:pPr>
    </w:p>
    <w:p>
      <w:pPr>
        <w:pStyle w:val="CorpoAltF0"/>
        <w:rPr>
          <w:b/>
        </w:rPr>
      </w:pPr>
      <w:r>
        <w:rPr>
          <w:b/>
        </w:rPr>
        <w:t>FAMILIARI PARTECIPANTI ALL’IMPRESA FAMILIARE (IMPRESE NON ARTIGIANE)</w:t>
      </w:r>
    </w:p>
    <w:p>
      <w:pPr>
        <w:pStyle w:val="CorpoAltF0"/>
        <w:spacing w:before="60"/>
      </w:pPr>
      <w:r>
        <w:t>Nella sezione “Soci” della pagina relativa alla PAT dell’azienda, al campo “</w:t>
      </w:r>
      <w:r>
        <w:rPr>
          <w:i/>
        </w:rPr>
        <w:t>Tipo</w:t>
      </w:r>
      <w:r>
        <w:t>”, è presente l’opzione “</w:t>
      </w:r>
      <w:proofErr w:type="spellStart"/>
      <w:r>
        <w:rPr>
          <w:i/>
        </w:rPr>
        <w:t>Collab</w:t>
      </w:r>
      <w:proofErr w:type="spellEnd"/>
      <w:r>
        <w:rPr>
          <w:i/>
        </w:rPr>
        <w:t>. familiare art. 230/bis</w:t>
      </w:r>
      <w:r>
        <w:t>” per individuare i familiari partecipanti all’impresa familiare di cui all’art. 230-bis c.c.</w:t>
      </w:r>
    </w:p>
    <w:p>
      <w:pPr>
        <w:pStyle w:val="CorpoAltF0"/>
        <w:spacing w:before="60"/>
      </w:pPr>
      <w:r>
        <w:t>Selezionando tale opzione, il tasso Inail previsto per la singola PAT verrà applicato alle retribuzioni convenzionali indicate nel campo “</w:t>
      </w:r>
      <w:r>
        <w:rPr>
          <w:i/>
        </w:rPr>
        <w:t>Retribuzione</w:t>
      </w:r>
      <w:r>
        <w:t xml:space="preserve"> </w:t>
      </w:r>
      <w:r>
        <w:rPr>
          <w:i/>
        </w:rPr>
        <w:t>annua</w:t>
      </w:r>
      <w:r>
        <w:t xml:space="preserve"> </w:t>
      </w:r>
      <w:r>
        <w:rPr>
          <w:i/>
        </w:rPr>
        <w:t>collaboratori</w:t>
      </w:r>
      <w:r>
        <w:t xml:space="preserve"> </w:t>
      </w:r>
      <w:r>
        <w:rPr>
          <w:i/>
        </w:rPr>
        <w:t>familiari</w:t>
      </w:r>
      <w:r>
        <w:t xml:space="preserve"> </w:t>
      </w:r>
      <w:r>
        <w:rPr>
          <w:i/>
        </w:rPr>
        <w:t>(art. 230 bis)</w:t>
      </w:r>
      <w:r>
        <w:t xml:space="preserve">” di </w:t>
      </w:r>
      <w:r>
        <w:rPr>
          <w:b/>
        </w:rPr>
        <w:t>TB0703</w:t>
      </w:r>
      <w:r>
        <w:t xml:space="preserve"> (retribuzioni da gennaio a giugno e da luglio a dicembre).</w:t>
      </w:r>
    </w:p>
    <w:p>
      <w:pPr>
        <w:pStyle w:val="CorpoAltF0"/>
        <w:spacing w:before="60"/>
      </w:pPr>
      <w:r>
        <w:t>La retribuzione ed i premi relativi ai familiari partecipanti all’impresa familiare vengono riportati nella gestione 10SM e nelle stampe negli stessi campi relativi ai soci.</w:t>
      </w:r>
    </w:p>
    <w:p>
      <w:pPr>
        <w:pStyle w:val="CorpoAltF0"/>
        <w:rPr>
          <w:highlight w:val="yellow"/>
        </w:rPr>
      </w:pPr>
    </w:p>
    <w:p>
      <w:pPr>
        <w:pStyle w:val="CorpoAltF0"/>
      </w:pPr>
    </w:p>
    <w:p>
      <w:pPr>
        <w:pStyle w:val="CorpoAltF0"/>
        <w:rPr>
          <w:b/>
        </w:rPr>
      </w:pPr>
      <w:r>
        <w:rPr>
          <w:b/>
        </w:rPr>
        <w:t>QUADRI</w:t>
      </w:r>
    </w:p>
    <w:p>
      <w:pPr>
        <w:pStyle w:val="CorpoAltF0"/>
        <w:spacing w:before="120"/>
      </w:pPr>
      <w:r>
        <w:t>Per i lavoratori con qualifica di quadro (valore “Q” al campo “</w:t>
      </w:r>
      <w:r>
        <w:rPr>
          <w:i/>
        </w:rPr>
        <w:t>Qualifica speciale</w:t>
      </w:r>
      <w:r>
        <w:t>” della scheda “</w:t>
      </w:r>
      <w:r>
        <w:rPr>
          <w:i/>
        </w:rPr>
        <w:t>Dati generali</w:t>
      </w:r>
      <w:r>
        <w:t xml:space="preserve">” di </w:t>
      </w:r>
      <w:r>
        <w:rPr>
          <w:b/>
        </w:rPr>
        <w:t>DIPE</w:t>
      </w:r>
      <w:r>
        <w:t>), il calcolo dell’imponibile Inail avviene in maniera differenziata a seconda che il dipendente svolga o meno mansioni direttive.</w:t>
      </w:r>
    </w:p>
    <w:p>
      <w:pPr>
        <w:pStyle w:val="CorpoAltF0"/>
      </w:pPr>
    </w:p>
    <w:p>
      <w:pPr>
        <w:pStyle w:val="CorpoAltF0"/>
        <w:rPr>
          <w:i/>
          <w:u w:val="single"/>
        </w:rPr>
      </w:pPr>
      <w:r>
        <w:rPr>
          <w:i/>
          <w:u w:val="single"/>
        </w:rPr>
        <w:t>A. Quadro con funzioni direttive</w:t>
      </w:r>
    </w:p>
    <w:p>
      <w:pPr>
        <w:pStyle w:val="CorpoAltF0"/>
        <w:spacing w:before="120"/>
      </w:pPr>
      <w:r>
        <w:t>Il premio deve essere calcolato sulla base della retribuzione annua convenzionale prevista per i lavoratori dell’area dirigenziale presente in “</w:t>
      </w:r>
      <w:r>
        <w:rPr>
          <w:i/>
        </w:rPr>
        <w:t>Tabella classi di rischio e parametri</w:t>
      </w:r>
      <w:r>
        <w:t>” (</w:t>
      </w:r>
      <w:r>
        <w:rPr>
          <w:b/>
        </w:rPr>
        <w:t>TB0703</w:t>
      </w:r>
      <w:r>
        <w:t xml:space="preserve">). </w:t>
      </w:r>
    </w:p>
    <w:p>
      <w:pPr>
        <w:pStyle w:val="CorpoAltF0"/>
      </w:pPr>
      <w:r>
        <w:t>Per questi dipendenti deve essere collegata una tabella “</w:t>
      </w:r>
      <w:r>
        <w:rPr>
          <w:i/>
        </w:rPr>
        <w:t>Posizione Inail azienda</w:t>
      </w:r>
      <w:r>
        <w:t>” (</w:t>
      </w:r>
      <w:r>
        <w:rPr>
          <w:b/>
        </w:rPr>
        <w:t>AZIE</w:t>
      </w:r>
      <w:r>
        <w:t xml:space="preserve"> &gt; scheda “</w:t>
      </w:r>
      <w:r>
        <w:rPr>
          <w:i/>
        </w:rPr>
        <w:t>INAIL</w:t>
      </w:r>
      <w:r>
        <w:t>”) nella quale risulta contrassegnato il campo “</w:t>
      </w:r>
      <w:r>
        <w:rPr>
          <w:i/>
          <w:iCs/>
        </w:rPr>
        <w:t>Retribuzione convenzionale</w:t>
      </w:r>
      <w:r>
        <w:t xml:space="preserve"> </w:t>
      </w:r>
      <w:r>
        <w:rPr>
          <w:i/>
          <w:iCs/>
        </w:rPr>
        <w:t>quadri</w:t>
      </w:r>
      <w:r>
        <w:t>”.</w:t>
      </w:r>
    </w:p>
    <w:p>
      <w:pPr>
        <w:pStyle w:val="CorpoAltF0"/>
      </w:pPr>
      <w:r>
        <w:t>In tal caso, l’imponibile INAIL verrà così determinato:</w:t>
      </w:r>
    </w:p>
    <w:p>
      <w:pPr>
        <w:pStyle w:val="CorpoAltF0"/>
        <w:spacing w:before="60" w:after="60"/>
      </w:pPr>
      <w:r>
        <w:t xml:space="preserve">(Retribuzione convenzionale / 300) x giorni Inps </w:t>
      </w:r>
      <w:r>
        <w:rPr>
          <w:vertAlign w:val="superscript"/>
        </w:rPr>
        <w:t>(</w:t>
      </w:r>
      <w:r>
        <w:t>*</w:t>
      </w:r>
      <w:r>
        <w:rPr>
          <w:vertAlign w:val="superscript"/>
        </w:rPr>
        <w:t>)</w:t>
      </w:r>
      <w:r>
        <w:t xml:space="preserve"> di </w:t>
      </w:r>
      <w:r>
        <w:rPr>
          <w:b/>
        </w:rPr>
        <w:t>CEDOL</w:t>
      </w:r>
      <w:r>
        <w:t xml:space="preserve"> (</w:t>
      </w:r>
      <w:proofErr w:type="spellStart"/>
      <w:r>
        <w:t>max</w:t>
      </w:r>
      <w:proofErr w:type="spellEnd"/>
      <w:r>
        <w:t xml:space="preserve"> 25)</w:t>
      </w:r>
    </w:p>
    <w:p>
      <w:pPr>
        <w:pStyle w:val="CorpoAltF0"/>
        <w:spacing w:before="60" w:after="60"/>
      </w:pPr>
      <w:r>
        <w:rPr>
          <w:vertAlign w:val="superscript"/>
        </w:rPr>
        <w:t>(</w:t>
      </w:r>
      <w:r>
        <w:t>*</w:t>
      </w:r>
      <w:r>
        <w:rPr>
          <w:vertAlign w:val="superscript"/>
        </w:rPr>
        <w:t>)</w:t>
      </w:r>
      <w:r>
        <w:t xml:space="preserve"> Come precisato nella Circolare INAIL n. 21 del 27.03.2014 (punto 5, nota 27) i giorni di effettiva presenza da considerare ai fini della determinazione dell’imponibile convenzionale, devono essere determinati considerando i giorni retribuiti anche se non effettivamente lavorati (ad esempio giorni di ferie o permessi retribuiti), nel limite di 25 giornate mensili.</w:t>
      </w:r>
    </w:p>
    <w:p>
      <w:pPr>
        <w:pStyle w:val="CorpoAltF0"/>
      </w:pPr>
    </w:p>
    <w:p>
      <w:pPr>
        <w:pStyle w:val="CorpoAltF0"/>
      </w:pPr>
      <w:r>
        <w:t xml:space="preserve">Per i quadri part-time che svolgono funzioni direttive, si deve calcolare l’importo orario del massimale di rendita, da moltiplicare per l’orario definito nel rapporto di lavoro a tempo parziale (stesso criterio adottato per i dirigenti part-time) applicando la seguente formula: </w:t>
      </w:r>
    </w:p>
    <w:p>
      <w:pPr>
        <w:pStyle w:val="CorpoAltF0"/>
        <w:spacing w:before="120"/>
      </w:pPr>
      <w:r>
        <w:t xml:space="preserve">[(Retribuzione convenzionale / 300) / 8] x ore Inps di </w:t>
      </w:r>
      <w:r>
        <w:rPr>
          <w:b/>
          <w:bCs/>
        </w:rPr>
        <w:t>CEDOL</w:t>
      </w:r>
    </w:p>
    <w:p>
      <w:pPr>
        <w:pStyle w:val="CorpoAltF0"/>
      </w:pPr>
    </w:p>
    <w:p>
      <w:pPr>
        <w:pStyle w:val="CorpoAltF0"/>
      </w:pPr>
    </w:p>
    <w:p>
      <w:pPr>
        <w:pStyle w:val="CorpoAltF0"/>
        <w:rPr>
          <w:i/>
          <w:u w:val="single"/>
        </w:rPr>
      </w:pPr>
      <w:r>
        <w:rPr>
          <w:i/>
          <w:u w:val="single"/>
        </w:rPr>
        <w:t>B. Quadro senza funzioni direttive</w:t>
      </w:r>
    </w:p>
    <w:p>
      <w:pPr>
        <w:pStyle w:val="CorpoAltF0"/>
        <w:spacing w:before="120"/>
      </w:pPr>
      <w:r>
        <w:t>Per i quadri che non svolgono funzioni direttive il calcolo dell’imponibile Inail deve essere effettuato sulle retribuzioni effettive. Pertanto, il campo “</w:t>
      </w:r>
      <w:r>
        <w:rPr>
          <w:i/>
        </w:rPr>
        <w:t>Retribuzione convenzionale quadri</w:t>
      </w:r>
      <w:r>
        <w:t>” della tabella “Posizione Inail azienda” collegata al dipendente non deve essere contrassegnato.</w:t>
      </w:r>
    </w:p>
    <w:p>
      <w:pPr>
        <w:pStyle w:val="CorpoAltF0"/>
      </w:pPr>
      <w:r>
        <w:t>Per i quadri part-time che non svolgono funzioni direttive nella determinazione dell’imponibile Inail il programma controlla le impostazioni presenti ai campi “</w:t>
      </w:r>
      <w:r>
        <w:rPr>
          <w:i/>
        </w:rPr>
        <w:t xml:space="preserve">Determinazione imponibile Inail per </w:t>
      </w:r>
      <w:proofErr w:type="spellStart"/>
      <w:r>
        <w:rPr>
          <w:i/>
        </w:rPr>
        <w:t>dip</w:t>
      </w:r>
      <w:proofErr w:type="spellEnd"/>
      <w:r>
        <w:rPr>
          <w:i/>
        </w:rPr>
        <w:t>. part-time</w:t>
      </w:r>
      <w:r>
        <w:t>” e “</w:t>
      </w:r>
      <w:r>
        <w:rPr>
          <w:i/>
        </w:rPr>
        <w:t>Inail part-time: imponibile sociale come minimale</w:t>
      </w:r>
      <w:r>
        <w:t>” della tabella “</w:t>
      </w:r>
      <w:r>
        <w:rPr>
          <w:i/>
        </w:rPr>
        <w:t>Personalizzazione procedura</w:t>
      </w:r>
      <w:r>
        <w:t>” (</w:t>
      </w:r>
      <w:r>
        <w:rPr>
          <w:b/>
        </w:rPr>
        <w:t>TB1203</w:t>
      </w:r>
      <w:r>
        <w:t>).</w:t>
      </w:r>
    </w:p>
    <w:p>
      <w:pPr>
        <w:pStyle w:val="CorpoAltF0"/>
      </w:pPr>
      <w:r>
        <w:br w:type="page"/>
      </w:r>
    </w:p>
    <w:p>
      <w:pPr>
        <w:pStyle w:val="CorpoAltF0"/>
      </w:pPr>
    </w:p>
    <w:p>
      <w:pPr>
        <w:pStyle w:val="CorpoAltF0"/>
        <w:rPr>
          <w:b/>
          <w:sz w:val="22"/>
          <w:szCs w:val="22"/>
        </w:rPr>
      </w:pPr>
      <w:r>
        <w:rPr>
          <w:b/>
          <w:sz w:val="22"/>
          <w:szCs w:val="22"/>
        </w:rPr>
        <w:t>LAVORATORI IN TIROCINIO FORMATIVO</w:t>
      </w:r>
    </w:p>
    <w:p>
      <w:pPr>
        <w:pStyle w:val="CorpoAltF0"/>
        <w:spacing w:before="120"/>
      </w:pPr>
      <w:r>
        <w:t>Ai fini del calcolo del premio Inail dovuto in relazione ai lavoratori in tirocinio formativo, nella sezione “Soci” della pagina relativa alla PAT dell’azienda, al campo “</w:t>
      </w:r>
      <w:r>
        <w:rPr>
          <w:i/>
        </w:rPr>
        <w:t>Tipo</w:t>
      </w:r>
      <w:r>
        <w:t>”, è presente la scelta “</w:t>
      </w:r>
      <w:r>
        <w:rPr>
          <w:b/>
          <w:i/>
        </w:rPr>
        <w:t>Tirocinante</w:t>
      </w:r>
      <w:r>
        <w:t>” che consente di individuare i lavoratori che rientrano in tale categoria.</w:t>
      </w:r>
    </w:p>
    <w:p>
      <w:pPr>
        <w:pStyle w:val="CorpoAltF0"/>
        <w:spacing w:before="120"/>
      </w:pPr>
      <w:r>
        <w:t xml:space="preserve">Il premio viene determinato applicando il tasso previsto per la specifica PAT/Voce alla retribuzione convenzionale annua per soci non artigiani, presente in </w:t>
      </w:r>
      <w:r>
        <w:rPr>
          <w:b/>
        </w:rPr>
        <w:t>TB0703</w:t>
      </w:r>
      <w:r>
        <w:t xml:space="preserve"> – “</w:t>
      </w:r>
      <w:r>
        <w:rPr>
          <w:i/>
        </w:rPr>
        <w:t>Tabella classi di rischio e parametri</w:t>
      </w:r>
      <w:r>
        <w:t>” (retribuzione convenzionale annua pari al minimale di rendita).</w:t>
      </w:r>
    </w:p>
    <w:p>
      <w:pPr>
        <w:pStyle w:val="CorpoAltF0"/>
        <w:spacing w:before="120"/>
      </w:pPr>
      <w:r>
        <w:t>Il periodo di copertura viene determinato in base alle date di entrata e di uscita indicate nella sezione “</w:t>
      </w:r>
      <w:r>
        <w:rPr>
          <w:i/>
        </w:rPr>
        <w:t>Soci</w:t>
      </w:r>
      <w:r>
        <w:t>”.</w:t>
      </w:r>
    </w:p>
    <w:p>
      <w:pPr>
        <w:pStyle w:val="CorpoAltF0"/>
      </w:pPr>
      <w:r>
        <w:t xml:space="preserve">Per i mesi interi, come base di calcolo viene utilizzata la retribuzione convenzionale annua rapportata a mese (retribuzione annua: 12); per le frazioni di mese, invece, la base imponibile viene determinata moltiplicando la retribuzione giornaliera (retribuzione </w:t>
      </w:r>
      <w:proofErr w:type="spellStart"/>
      <w:r>
        <w:t>conv</w:t>
      </w:r>
      <w:proofErr w:type="spellEnd"/>
      <w:r>
        <w:t xml:space="preserve">. annua: 300) per i giorni del periodo, per un massimo di 25 giorni. </w:t>
      </w:r>
    </w:p>
    <w:p>
      <w:pPr>
        <w:pStyle w:val="CorpoAltF0"/>
        <w:spacing w:before="120"/>
      </w:pPr>
      <w:r>
        <w:t>Le retribuzioni ed i premi relativi ai tirocinanti vengono riportati nella gestione 10SM e nelle stampe negli stessi campi riferiti ai lavoratori dipendenti.</w:t>
      </w:r>
    </w:p>
    <w:p>
      <w:pPr>
        <w:pStyle w:val="CorpoAltF0"/>
        <w:rPr>
          <w:highlight w:val="yellow"/>
        </w:rPr>
      </w:pPr>
      <w:r>
        <w:rPr>
          <w:highlight w:val="yellow"/>
        </w:rPr>
        <w:br w:type="page"/>
      </w:r>
    </w:p>
    <w:p>
      <w:pPr>
        <w:pStyle w:val="CorpoAltF0"/>
        <w:rPr>
          <w:highlight w:val="yellow"/>
        </w:rPr>
      </w:pPr>
    </w:p>
    <w:p>
      <w:pPr>
        <w:pStyle w:val="TS-titolo-04"/>
      </w:pPr>
      <w:bookmarkStart w:id="75" w:name="_Toc471235865"/>
      <w:bookmarkStart w:id="76" w:name="_Toc6329831"/>
      <w:r>
        <w:t>Appendice 2: Struttura autoliquidazione INAIL</w:t>
      </w:r>
      <w:bookmarkEnd w:id="75"/>
      <w:bookmarkEnd w:id="76"/>
    </w:p>
    <w:p>
      <w:pPr>
        <w:pStyle w:val="CorpoAltF0"/>
        <w:rPr>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18"/>
        <w:gridCol w:w="1192"/>
        <w:gridCol w:w="1418"/>
        <w:gridCol w:w="1417"/>
        <w:gridCol w:w="993"/>
        <w:gridCol w:w="1397"/>
        <w:gridCol w:w="7"/>
      </w:tblGrid>
      <w:tr>
        <w:trPr>
          <w:gridAfter w:val="1"/>
          <w:wAfter w:w="7" w:type="dxa"/>
          <w:trHeight w:val="379"/>
        </w:trPr>
        <w:tc>
          <w:tcPr>
            <w:tcW w:w="1242" w:type="dxa"/>
            <w:tcBorders>
              <w:top w:val="nil"/>
              <w:left w:val="nil"/>
              <w:bottom w:val="nil"/>
              <w:right w:val="nil"/>
            </w:tcBorders>
            <w:shd w:val="clear" w:color="auto" w:fill="auto"/>
          </w:tcPr>
          <w:p>
            <w:pPr>
              <w:pStyle w:val="CorpoAltF0"/>
              <w:spacing w:before="60"/>
              <w:jc w:val="center"/>
            </w:pPr>
          </w:p>
        </w:tc>
        <w:tc>
          <w:tcPr>
            <w:tcW w:w="1218" w:type="dxa"/>
            <w:tcBorders>
              <w:top w:val="nil"/>
              <w:left w:val="nil"/>
            </w:tcBorders>
            <w:shd w:val="clear" w:color="auto" w:fill="auto"/>
          </w:tcPr>
          <w:p>
            <w:pPr>
              <w:pStyle w:val="CorpoAltF0"/>
              <w:spacing w:before="60"/>
              <w:jc w:val="center"/>
            </w:pPr>
          </w:p>
        </w:tc>
        <w:tc>
          <w:tcPr>
            <w:tcW w:w="1192" w:type="dxa"/>
            <w:shd w:val="clear" w:color="auto" w:fill="auto"/>
          </w:tcPr>
          <w:p>
            <w:pPr>
              <w:pStyle w:val="CorpoAltF0"/>
              <w:spacing w:before="60"/>
              <w:jc w:val="center"/>
            </w:pPr>
            <w:r>
              <w:t>PAT</w:t>
            </w:r>
          </w:p>
        </w:tc>
        <w:tc>
          <w:tcPr>
            <w:tcW w:w="1418" w:type="dxa"/>
            <w:shd w:val="clear" w:color="auto" w:fill="auto"/>
          </w:tcPr>
          <w:p>
            <w:pPr>
              <w:pStyle w:val="CorpoAltF0"/>
              <w:spacing w:before="60"/>
              <w:jc w:val="center"/>
            </w:pPr>
            <w:r>
              <w:t>Polizza</w:t>
            </w:r>
          </w:p>
        </w:tc>
        <w:tc>
          <w:tcPr>
            <w:tcW w:w="1417" w:type="dxa"/>
            <w:shd w:val="clear" w:color="auto" w:fill="auto"/>
          </w:tcPr>
          <w:p>
            <w:pPr>
              <w:pStyle w:val="CorpoAltF0"/>
              <w:spacing w:before="60"/>
              <w:jc w:val="center"/>
            </w:pPr>
            <w:r>
              <w:t>Voce tariffa</w:t>
            </w:r>
          </w:p>
        </w:tc>
        <w:tc>
          <w:tcPr>
            <w:tcW w:w="2390" w:type="dxa"/>
            <w:gridSpan w:val="2"/>
            <w:shd w:val="clear" w:color="auto" w:fill="auto"/>
          </w:tcPr>
          <w:p>
            <w:pPr>
              <w:pStyle w:val="CorpoAltF0"/>
              <w:spacing w:before="60"/>
              <w:jc w:val="center"/>
            </w:pPr>
            <w:r>
              <w:t>Autoliquidazione</w:t>
            </w:r>
          </w:p>
        </w:tc>
      </w:tr>
      <w:tr>
        <w:trPr>
          <w:trHeight w:hRule="exact" w:val="340"/>
        </w:trPr>
        <w:tc>
          <w:tcPr>
            <w:tcW w:w="1242" w:type="dxa"/>
            <w:tcBorders>
              <w:top w:val="nil"/>
              <w:left w:val="nil"/>
              <w:bottom w:val="nil"/>
            </w:tcBorders>
            <w:shd w:val="clear" w:color="auto" w:fill="auto"/>
          </w:tcPr>
          <w:p>
            <w:pPr>
              <w:pStyle w:val="CorpoAltF0"/>
            </w:pPr>
          </w:p>
        </w:tc>
        <w:tc>
          <w:tcPr>
            <w:tcW w:w="1218" w:type="dxa"/>
            <w:vMerge w:val="restart"/>
            <w:shd w:val="clear" w:color="auto" w:fill="auto"/>
          </w:tcPr>
          <w:p>
            <w:pPr>
              <w:pStyle w:val="CorpoAltF0"/>
              <w:spacing w:before="480"/>
              <w:jc w:val="right"/>
            </w:pPr>
            <w:r>
              <w:t>CLIENTE</w:t>
            </w:r>
          </w:p>
        </w:tc>
        <w:tc>
          <w:tcPr>
            <w:tcW w:w="1192" w:type="dxa"/>
            <w:vMerge w:val="restart"/>
            <w:shd w:val="clear" w:color="auto" w:fill="auto"/>
          </w:tcPr>
          <w:p>
            <w:pPr>
              <w:pStyle w:val="CorpoAltF0"/>
              <w:spacing w:before="120"/>
            </w:pPr>
            <w:r>
              <w:t>Sede 1</w:t>
            </w:r>
          </w:p>
          <w:p>
            <w:pPr>
              <w:pStyle w:val="CorpoAltF0"/>
            </w:pPr>
            <w:r>
              <w:t>ANCONA</w:t>
            </w:r>
          </w:p>
        </w:tc>
        <w:tc>
          <w:tcPr>
            <w:tcW w:w="1418" w:type="dxa"/>
            <w:vMerge w:val="restart"/>
            <w:shd w:val="clear" w:color="auto" w:fill="auto"/>
          </w:tcPr>
          <w:p>
            <w:pPr>
              <w:pStyle w:val="CorpoAltF0"/>
              <w:spacing w:before="120"/>
            </w:pPr>
            <w:r>
              <w:t>Dipendenti</w:t>
            </w:r>
          </w:p>
        </w:tc>
        <w:tc>
          <w:tcPr>
            <w:tcW w:w="1417" w:type="dxa"/>
            <w:shd w:val="clear" w:color="auto" w:fill="auto"/>
          </w:tcPr>
          <w:p>
            <w:pPr>
              <w:pStyle w:val="CorpoAltF0"/>
              <w:spacing w:before="60"/>
              <w:jc w:val="center"/>
            </w:pPr>
            <w:r>
              <w:t>0813</w:t>
            </w:r>
          </w:p>
        </w:tc>
        <w:tc>
          <w:tcPr>
            <w:tcW w:w="993" w:type="dxa"/>
            <w:shd w:val="clear" w:color="auto" w:fill="auto"/>
          </w:tcPr>
          <w:p>
            <w:pPr>
              <w:pStyle w:val="CorpoAltF0"/>
              <w:spacing w:before="60"/>
            </w:pPr>
            <w:r>
              <w:t>Premio</w:t>
            </w:r>
          </w:p>
        </w:tc>
        <w:tc>
          <w:tcPr>
            <w:tcW w:w="1404" w:type="dxa"/>
            <w:gridSpan w:val="2"/>
            <w:vMerge w:val="restart"/>
            <w:shd w:val="clear" w:color="auto" w:fill="auto"/>
          </w:tcPr>
          <w:p>
            <w:pPr>
              <w:pStyle w:val="CorpoAltF0"/>
              <w:spacing w:before="480"/>
            </w:pPr>
            <w:r>
              <w:t>Pagamento</w:t>
            </w:r>
          </w:p>
        </w:tc>
      </w:tr>
      <w:tr>
        <w:trPr>
          <w:trHeight w:hRule="exact" w:val="340"/>
        </w:trPr>
        <w:tc>
          <w:tcPr>
            <w:tcW w:w="1242" w:type="dxa"/>
            <w:tcBorders>
              <w:top w:val="nil"/>
              <w:left w:val="nil"/>
              <w:bottom w:val="nil"/>
            </w:tcBorders>
            <w:shd w:val="clear" w:color="auto" w:fill="auto"/>
          </w:tcPr>
          <w:p>
            <w:pPr>
              <w:pStyle w:val="CorpoAltF0"/>
            </w:pPr>
          </w:p>
        </w:tc>
        <w:tc>
          <w:tcPr>
            <w:tcW w:w="1218" w:type="dxa"/>
            <w:vMerge/>
            <w:shd w:val="clear" w:color="auto" w:fill="auto"/>
          </w:tcPr>
          <w:p>
            <w:pPr>
              <w:pStyle w:val="CorpoAltF0"/>
            </w:pPr>
          </w:p>
        </w:tc>
        <w:tc>
          <w:tcPr>
            <w:tcW w:w="1192" w:type="dxa"/>
            <w:vMerge/>
            <w:shd w:val="clear" w:color="auto" w:fill="auto"/>
          </w:tcPr>
          <w:p>
            <w:pPr>
              <w:pStyle w:val="CorpoAltF0"/>
              <w:spacing w:before="60"/>
            </w:pPr>
          </w:p>
        </w:tc>
        <w:tc>
          <w:tcPr>
            <w:tcW w:w="1418" w:type="dxa"/>
            <w:vMerge/>
            <w:shd w:val="clear" w:color="auto" w:fill="auto"/>
          </w:tcPr>
          <w:p>
            <w:pPr>
              <w:pStyle w:val="CorpoAltF0"/>
              <w:spacing w:before="60"/>
            </w:pPr>
          </w:p>
        </w:tc>
        <w:tc>
          <w:tcPr>
            <w:tcW w:w="1417" w:type="dxa"/>
            <w:shd w:val="clear" w:color="auto" w:fill="auto"/>
          </w:tcPr>
          <w:p>
            <w:pPr>
              <w:pStyle w:val="CorpoAltF0"/>
              <w:spacing w:before="60"/>
              <w:jc w:val="center"/>
            </w:pPr>
            <w:r>
              <w:t>6563</w:t>
            </w:r>
          </w:p>
        </w:tc>
        <w:tc>
          <w:tcPr>
            <w:tcW w:w="993" w:type="dxa"/>
            <w:shd w:val="clear" w:color="auto" w:fill="auto"/>
          </w:tcPr>
          <w:p>
            <w:pPr>
              <w:pStyle w:val="CorpoAltF0"/>
              <w:spacing w:before="60"/>
            </w:pPr>
            <w:r>
              <w:t>Premio</w:t>
            </w:r>
          </w:p>
        </w:tc>
        <w:tc>
          <w:tcPr>
            <w:tcW w:w="1404" w:type="dxa"/>
            <w:gridSpan w:val="2"/>
            <w:vMerge/>
            <w:shd w:val="clear" w:color="auto" w:fill="auto"/>
          </w:tcPr>
          <w:p>
            <w:pPr>
              <w:pStyle w:val="CorpoAltF0"/>
            </w:pPr>
          </w:p>
        </w:tc>
      </w:tr>
      <w:tr>
        <w:trPr>
          <w:trHeight w:hRule="exact" w:val="340"/>
        </w:trPr>
        <w:tc>
          <w:tcPr>
            <w:tcW w:w="1242" w:type="dxa"/>
            <w:tcBorders>
              <w:top w:val="nil"/>
              <w:left w:val="nil"/>
              <w:bottom w:val="nil"/>
            </w:tcBorders>
            <w:shd w:val="clear" w:color="auto" w:fill="auto"/>
          </w:tcPr>
          <w:p>
            <w:pPr>
              <w:pStyle w:val="CorpoAltF0"/>
            </w:pPr>
          </w:p>
        </w:tc>
        <w:tc>
          <w:tcPr>
            <w:tcW w:w="1218" w:type="dxa"/>
            <w:vMerge/>
            <w:shd w:val="clear" w:color="auto" w:fill="auto"/>
          </w:tcPr>
          <w:p>
            <w:pPr>
              <w:pStyle w:val="CorpoAltF0"/>
            </w:pPr>
          </w:p>
        </w:tc>
        <w:tc>
          <w:tcPr>
            <w:tcW w:w="1192" w:type="dxa"/>
            <w:vMerge w:val="restart"/>
            <w:shd w:val="clear" w:color="auto" w:fill="auto"/>
          </w:tcPr>
          <w:p>
            <w:pPr>
              <w:pStyle w:val="CorpoAltF0"/>
              <w:spacing w:before="120"/>
            </w:pPr>
            <w:r>
              <w:t>Sede 2</w:t>
            </w:r>
          </w:p>
          <w:p>
            <w:pPr>
              <w:pStyle w:val="CorpoAltF0"/>
            </w:pPr>
            <w:r>
              <w:t>PESARO</w:t>
            </w:r>
          </w:p>
        </w:tc>
        <w:tc>
          <w:tcPr>
            <w:tcW w:w="1418" w:type="dxa"/>
            <w:vMerge w:val="restart"/>
            <w:shd w:val="clear" w:color="auto" w:fill="auto"/>
          </w:tcPr>
          <w:p>
            <w:pPr>
              <w:pStyle w:val="CorpoAltF0"/>
              <w:spacing w:before="120"/>
            </w:pPr>
            <w:r>
              <w:t>Dipendenti</w:t>
            </w:r>
          </w:p>
        </w:tc>
        <w:tc>
          <w:tcPr>
            <w:tcW w:w="1417" w:type="dxa"/>
            <w:shd w:val="clear" w:color="auto" w:fill="auto"/>
          </w:tcPr>
          <w:p>
            <w:pPr>
              <w:pStyle w:val="CorpoAltF0"/>
              <w:spacing w:before="60"/>
              <w:jc w:val="center"/>
            </w:pPr>
            <w:r>
              <w:t>0843</w:t>
            </w:r>
          </w:p>
        </w:tc>
        <w:tc>
          <w:tcPr>
            <w:tcW w:w="993" w:type="dxa"/>
            <w:shd w:val="clear" w:color="auto" w:fill="auto"/>
          </w:tcPr>
          <w:p>
            <w:pPr>
              <w:pStyle w:val="CorpoAltF0"/>
              <w:spacing w:before="60"/>
            </w:pPr>
            <w:r>
              <w:t>Premio</w:t>
            </w:r>
          </w:p>
        </w:tc>
        <w:tc>
          <w:tcPr>
            <w:tcW w:w="1404" w:type="dxa"/>
            <w:gridSpan w:val="2"/>
            <w:vMerge/>
            <w:shd w:val="clear" w:color="auto" w:fill="auto"/>
          </w:tcPr>
          <w:p>
            <w:pPr>
              <w:pStyle w:val="CorpoAltF0"/>
            </w:pPr>
          </w:p>
        </w:tc>
      </w:tr>
      <w:tr>
        <w:trPr>
          <w:trHeight w:hRule="exact" w:val="340"/>
        </w:trPr>
        <w:tc>
          <w:tcPr>
            <w:tcW w:w="1242" w:type="dxa"/>
            <w:tcBorders>
              <w:top w:val="nil"/>
              <w:left w:val="nil"/>
              <w:bottom w:val="nil"/>
            </w:tcBorders>
            <w:shd w:val="clear" w:color="auto" w:fill="auto"/>
          </w:tcPr>
          <w:p>
            <w:pPr>
              <w:pStyle w:val="CorpoAltF0"/>
            </w:pPr>
          </w:p>
        </w:tc>
        <w:tc>
          <w:tcPr>
            <w:tcW w:w="1218" w:type="dxa"/>
            <w:vMerge/>
            <w:shd w:val="clear" w:color="auto" w:fill="auto"/>
          </w:tcPr>
          <w:p>
            <w:pPr>
              <w:pStyle w:val="CorpoAltF0"/>
            </w:pPr>
          </w:p>
        </w:tc>
        <w:tc>
          <w:tcPr>
            <w:tcW w:w="1192" w:type="dxa"/>
            <w:vMerge/>
            <w:shd w:val="clear" w:color="auto" w:fill="auto"/>
          </w:tcPr>
          <w:p>
            <w:pPr>
              <w:pStyle w:val="CorpoAltF0"/>
              <w:spacing w:before="60"/>
            </w:pPr>
          </w:p>
        </w:tc>
        <w:tc>
          <w:tcPr>
            <w:tcW w:w="1418" w:type="dxa"/>
            <w:vMerge/>
            <w:shd w:val="clear" w:color="auto" w:fill="auto"/>
          </w:tcPr>
          <w:p>
            <w:pPr>
              <w:pStyle w:val="CorpoAltF0"/>
              <w:spacing w:before="60"/>
            </w:pPr>
          </w:p>
        </w:tc>
        <w:tc>
          <w:tcPr>
            <w:tcW w:w="1417" w:type="dxa"/>
            <w:shd w:val="clear" w:color="auto" w:fill="auto"/>
          </w:tcPr>
          <w:p>
            <w:pPr>
              <w:pStyle w:val="CorpoAltF0"/>
              <w:spacing w:before="60"/>
              <w:jc w:val="center"/>
            </w:pPr>
            <w:r>
              <w:t>6561</w:t>
            </w:r>
          </w:p>
        </w:tc>
        <w:tc>
          <w:tcPr>
            <w:tcW w:w="993" w:type="dxa"/>
            <w:shd w:val="clear" w:color="auto" w:fill="auto"/>
          </w:tcPr>
          <w:p>
            <w:pPr>
              <w:pStyle w:val="CorpoAltF0"/>
              <w:spacing w:before="60"/>
            </w:pPr>
            <w:r>
              <w:t>Premio</w:t>
            </w:r>
          </w:p>
        </w:tc>
        <w:tc>
          <w:tcPr>
            <w:tcW w:w="1404" w:type="dxa"/>
            <w:gridSpan w:val="2"/>
            <w:vMerge/>
            <w:shd w:val="clear" w:color="auto" w:fill="auto"/>
          </w:tcPr>
          <w:p>
            <w:pPr>
              <w:pStyle w:val="CorpoAltF0"/>
            </w:pPr>
          </w:p>
        </w:tc>
      </w:tr>
    </w:tbl>
    <w:p>
      <w:pPr>
        <w:pStyle w:val="CorpoAltF0"/>
      </w:pPr>
    </w:p>
    <w:p>
      <w:pPr>
        <w:pStyle w:val="CorpoAltF0"/>
      </w:pPr>
      <w:r>
        <w:t>1 CLIENTE</w:t>
      </w:r>
    </w:p>
    <w:p>
      <w:pPr>
        <w:pStyle w:val="CorpoAltF0"/>
      </w:pPr>
      <w:r>
        <w:t>2 PAT</w:t>
      </w:r>
    </w:p>
    <w:p>
      <w:pPr>
        <w:pStyle w:val="CorpoAltF0"/>
      </w:pPr>
      <w:r>
        <w:t>1 PAGAMENTO</w:t>
      </w:r>
    </w:p>
    <w:p>
      <w:pPr>
        <w:pStyle w:val="CorpoAltF0"/>
      </w:pPr>
    </w:p>
    <w:p>
      <w:pPr>
        <w:pStyle w:val="CorpoAltF0"/>
      </w:pPr>
      <w:r>
        <w:t>La struttura delle PAT è costituita da una posizione per ogni sede. Per le vecchie aziende ogni posizione assicurativa corrisponde ad una PAT.</w:t>
      </w:r>
    </w:p>
    <w:p>
      <w:pPr>
        <w:pStyle w:val="CorpoAltF0"/>
        <w:rPr>
          <w:bCs/>
        </w:rPr>
      </w:pPr>
    </w:p>
    <w:p>
      <w:pPr>
        <w:pStyle w:val="CorpoAltF0"/>
        <w:rPr>
          <w:bCs/>
        </w:rPr>
      </w:pPr>
    </w:p>
    <w:p>
      <w:pPr>
        <w:pStyle w:val="CorpoAltF0"/>
        <w:rPr>
          <w:b/>
        </w:rPr>
      </w:pPr>
      <w:r>
        <w:rPr>
          <w:b/>
        </w:rPr>
        <w:t>Polizze ponderate</w:t>
      </w:r>
    </w:p>
    <w:p>
      <w:pPr>
        <w:pStyle w:val="CorpoAltF0"/>
        <w:spacing w:before="120"/>
      </w:pPr>
      <w:r>
        <w:t>Le polizze ponderate hanno la caratteristica di avere più voci, ma un unico tasso applicato.</w:t>
      </w:r>
    </w:p>
    <w:p>
      <w:pPr>
        <w:pStyle w:val="CorpoAltF0"/>
      </w:pPr>
      <w:r>
        <w:t>Nella tabella vanno inserite le seguenti informazioni:</w:t>
      </w:r>
    </w:p>
    <w:p>
      <w:pPr>
        <w:pStyle w:val="CorpoAltF0"/>
        <w:numPr>
          <w:ilvl w:val="0"/>
          <w:numId w:val="19"/>
        </w:numPr>
        <w:ind w:left="426" w:hanging="284"/>
      </w:pPr>
      <w:r>
        <w:t>codice voci di tariffa</w:t>
      </w:r>
    </w:p>
    <w:p>
      <w:pPr>
        <w:pStyle w:val="CorpoAltF0"/>
        <w:numPr>
          <w:ilvl w:val="0"/>
          <w:numId w:val="19"/>
        </w:numPr>
        <w:ind w:left="426" w:hanging="284"/>
      </w:pPr>
      <w:r>
        <w:t>inquadramento</w:t>
      </w:r>
    </w:p>
    <w:p>
      <w:pPr>
        <w:pStyle w:val="CorpoAltF0"/>
        <w:numPr>
          <w:ilvl w:val="0"/>
          <w:numId w:val="19"/>
        </w:numPr>
        <w:ind w:left="426" w:hanging="284"/>
      </w:pPr>
      <w:r>
        <w:t xml:space="preserve">eventuale </w:t>
      </w:r>
      <w:r>
        <w:rPr>
          <w:i/>
        </w:rPr>
        <w:t>flag</w:t>
      </w:r>
      <w:r>
        <w:t xml:space="preserve"> silicosi/asbestosi</w:t>
      </w:r>
    </w:p>
    <w:p>
      <w:pPr>
        <w:pStyle w:val="CorpoAltF0"/>
        <w:numPr>
          <w:ilvl w:val="0"/>
          <w:numId w:val="19"/>
        </w:numPr>
        <w:ind w:left="426" w:hanging="284"/>
      </w:pPr>
      <w:r>
        <w:t>eventuale codice per il tipo di sconto</w:t>
      </w:r>
    </w:p>
    <w:p>
      <w:pPr>
        <w:pStyle w:val="CorpoAltF0"/>
        <w:numPr>
          <w:ilvl w:val="0"/>
          <w:numId w:val="19"/>
        </w:numPr>
        <w:ind w:left="426" w:hanging="284"/>
      </w:pPr>
      <w:r>
        <w:t xml:space="preserve">eventuale </w:t>
      </w:r>
      <w:r>
        <w:rPr>
          <w:i/>
        </w:rPr>
        <w:t>flag</w:t>
      </w:r>
      <w:r>
        <w:t xml:space="preserve"> per contributo al fondo amianto</w:t>
      </w:r>
    </w:p>
    <w:p>
      <w:pPr>
        <w:pStyle w:val="CorpoAltF0"/>
        <w:numPr>
          <w:ilvl w:val="0"/>
          <w:numId w:val="19"/>
        </w:numPr>
        <w:ind w:left="426" w:hanging="284"/>
      </w:pPr>
      <w:r>
        <w:t xml:space="preserve">eventuale </w:t>
      </w:r>
      <w:r>
        <w:rPr>
          <w:i/>
        </w:rPr>
        <w:t>flag</w:t>
      </w:r>
      <w:r>
        <w:t xml:space="preserve"> per applicazione riduzione L. 147/13</w:t>
      </w:r>
    </w:p>
    <w:p>
      <w:pPr>
        <w:pStyle w:val="CorpoAltF0"/>
        <w:numPr>
          <w:ilvl w:val="0"/>
          <w:numId w:val="19"/>
        </w:numPr>
        <w:ind w:left="426" w:hanging="284"/>
      </w:pPr>
      <w:r>
        <w:t>rispettivo tasso su ogni voce</w:t>
      </w:r>
    </w:p>
    <w:p>
      <w:pPr>
        <w:pStyle w:val="CorpoAltF0"/>
        <w:numPr>
          <w:ilvl w:val="0"/>
          <w:numId w:val="19"/>
        </w:numPr>
        <w:ind w:left="426" w:hanging="284"/>
      </w:pPr>
      <w:r>
        <w:t>% di incidenza di ogni singola voce</w:t>
      </w:r>
    </w:p>
    <w:p>
      <w:pPr>
        <w:pStyle w:val="CorpoAltF0"/>
      </w:pPr>
    </w:p>
    <w:p>
      <w:pPr>
        <w:pStyle w:val="CorpoAltF0"/>
        <w:jc w:val="center"/>
        <w:rPr>
          <w:noProof/>
          <w:highlight w:val="yellow"/>
        </w:rPr>
      </w:pPr>
      <w:r>
        <w:rPr>
          <w:noProof/>
        </w:rPr>
        <w:drawing>
          <wp:inline distT="0" distB="0" distL="0" distR="0">
            <wp:extent cx="5760000" cy="2821139"/>
            <wp:effectExtent l="0" t="0" r="0" b="0"/>
            <wp:docPr id="139" name="Immagin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60000" cy="2821139"/>
                    </a:xfrm>
                    <a:prstGeom prst="rect">
                      <a:avLst/>
                    </a:prstGeom>
                  </pic:spPr>
                </pic:pic>
              </a:graphicData>
            </a:graphic>
          </wp:inline>
        </w:drawing>
      </w:r>
    </w:p>
    <w:p>
      <w:pPr>
        <w:pStyle w:val="CorpoAltF0"/>
        <w:rPr>
          <w:highlight w:val="yellow"/>
        </w:rPr>
      </w:pPr>
      <w:r>
        <w:rPr>
          <w:highlight w:val="yellow"/>
        </w:rPr>
        <w:br w:type="page"/>
      </w:r>
    </w:p>
    <w:p>
      <w:pPr>
        <w:pStyle w:val="TS-titolo-04"/>
      </w:pPr>
      <w:bookmarkStart w:id="77" w:name="CodiciRiduzioni"/>
      <w:bookmarkStart w:id="78" w:name="_Toc471235866"/>
      <w:bookmarkStart w:id="79" w:name="_Toc6329832"/>
      <w:bookmarkEnd w:id="77"/>
      <w:r>
        <w:lastRenderedPageBreak/>
        <w:t>Appendice 3: Riduzioni dei premi</w:t>
      </w:r>
      <w:bookmarkEnd w:id="78"/>
      <w:bookmarkEnd w:id="79"/>
    </w:p>
    <w:p>
      <w:pPr>
        <w:pStyle w:val="CorpoAltF0"/>
        <w:spacing w:before="120"/>
      </w:pPr>
      <w:r>
        <w:t>Sigle relative alle riduzioni parziali o totali</w:t>
      </w:r>
    </w:p>
    <w:p>
      <w:pPr>
        <w:pStyle w:val="CorpoAltF0"/>
        <w:spacing w:before="120" w:after="60"/>
        <w:jc w:val="center"/>
        <w:rPr>
          <w:b/>
        </w:rPr>
      </w:pPr>
      <w:r>
        <w:rPr>
          <w:b/>
        </w:rPr>
        <w:t>QUOTE DI RETRIBUZIONE PARZIALMENTE ESENTI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
        <w:gridCol w:w="6408"/>
        <w:gridCol w:w="2527"/>
      </w:tblGrid>
      <w:tr>
        <w:trPr>
          <w:trHeight w:hRule="exact" w:val="284"/>
        </w:trPr>
        <w:tc>
          <w:tcPr>
            <w:tcW w:w="694" w:type="dxa"/>
            <w:shd w:val="clear" w:color="auto" w:fill="auto"/>
          </w:tcPr>
          <w:p>
            <w:pPr>
              <w:pStyle w:val="CorpoAltF0"/>
              <w:jc w:val="center"/>
              <w:rPr>
                <w:b/>
              </w:rPr>
            </w:pPr>
            <w:r>
              <w:rPr>
                <w:b/>
              </w:rPr>
              <w:t>Sigla</w:t>
            </w:r>
          </w:p>
        </w:tc>
        <w:tc>
          <w:tcPr>
            <w:tcW w:w="6408" w:type="dxa"/>
            <w:shd w:val="clear" w:color="auto" w:fill="auto"/>
          </w:tcPr>
          <w:p>
            <w:pPr>
              <w:pStyle w:val="CorpoAltF0"/>
              <w:ind w:left="57"/>
              <w:rPr>
                <w:b/>
              </w:rPr>
            </w:pPr>
            <w:r>
              <w:rPr>
                <w:b/>
              </w:rPr>
              <w:t>Descrizione</w:t>
            </w:r>
          </w:p>
        </w:tc>
        <w:tc>
          <w:tcPr>
            <w:tcW w:w="2527" w:type="dxa"/>
            <w:shd w:val="clear" w:color="auto" w:fill="auto"/>
          </w:tcPr>
          <w:p>
            <w:pPr>
              <w:pStyle w:val="CorpoAltF0"/>
              <w:ind w:left="57"/>
              <w:rPr>
                <w:b/>
              </w:rPr>
            </w:pPr>
            <w:r>
              <w:rPr>
                <w:b/>
              </w:rPr>
              <w:t xml:space="preserve">Cod. </w:t>
            </w:r>
            <w:proofErr w:type="spellStart"/>
            <w:r>
              <w:rPr>
                <w:b/>
              </w:rPr>
              <w:t>pos</w:t>
            </w:r>
            <w:proofErr w:type="spellEnd"/>
            <w:r>
              <w:rPr>
                <w:b/>
              </w:rPr>
              <w:t>. assicurativa</w:t>
            </w:r>
          </w:p>
        </w:tc>
      </w:tr>
      <w:tr>
        <w:trPr>
          <w:trHeight w:hRule="exact" w:val="284"/>
        </w:trPr>
        <w:tc>
          <w:tcPr>
            <w:tcW w:w="694" w:type="dxa"/>
            <w:shd w:val="clear" w:color="auto" w:fill="auto"/>
          </w:tcPr>
          <w:p>
            <w:pPr>
              <w:pStyle w:val="CorpoAltF0"/>
              <w:jc w:val="center"/>
              <w:rPr>
                <w:b/>
              </w:rPr>
            </w:pPr>
            <w:r>
              <w:rPr>
                <w:b/>
              </w:rPr>
              <w:t>H-Y</w:t>
            </w:r>
          </w:p>
        </w:tc>
        <w:tc>
          <w:tcPr>
            <w:tcW w:w="6408" w:type="dxa"/>
            <w:shd w:val="clear" w:color="auto" w:fill="auto"/>
          </w:tcPr>
          <w:p>
            <w:pPr>
              <w:pStyle w:val="CorpoAltF0"/>
              <w:ind w:left="57"/>
            </w:pPr>
            <w:r>
              <w:t>Soggetti L. 92/2012, esenti al 50% (v. tabella sotto)</w:t>
            </w:r>
          </w:p>
        </w:tc>
        <w:tc>
          <w:tcPr>
            <w:tcW w:w="2527" w:type="dxa"/>
            <w:shd w:val="clear" w:color="auto" w:fill="auto"/>
          </w:tcPr>
          <w:p>
            <w:pPr>
              <w:pStyle w:val="CorpoAltF0"/>
              <w:ind w:left="57"/>
              <w:rPr>
                <w:b/>
              </w:rPr>
            </w:pPr>
            <w:r>
              <w:rPr>
                <w:b/>
              </w:rPr>
              <w:t>45</w:t>
            </w:r>
          </w:p>
        </w:tc>
      </w:tr>
    </w:tbl>
    <w:p>
      <w:pPr>
        <w:pStyle w:val="CorpoAltF0"/>
        <w:spacing w:before="120" w:after="60"/>
        <w:jc w:val="center"/>
        <w:rPr>
          <w:b/>
        </w:rPr>
      </w:pPr>
      <w:r>
        <w:rPr>
          <w:b/>
        </w:rPr>
        <w:t>RETRIBUZIONI SOGGETTE A SCONTO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
        <w:gridCol w:w="6408"/>
        <w:gridCol w:w="2527"/>
      </w:tblGrid>
      <w:tr>
        <w:trPr>
          <w:trHeight w:hRule="exact" w:val="284"/>
        </w:trPr>
        <w:tc>
          <w:tcPr>
            <w:tcW w:w="694" w:type="dxa"/>
            <w:shd w:val="clear" w:color="auto" w:fill="auto"/>
          </w:tcPr>
          <w:p>
            <w:pPr>
              <w:pStyle w:val="CorpoAltF0"/>
              <w:jc w:val="center"/>
              <w:rPr>
                <w:b/>
              </w:rPr>
            </w:pPr>
            <w:r>
              <w:rPr>
                <w:b/>
              </w:rPr>
              <w:t>Sigla</w:t>
            </w:r>
          </w:p>
        </w:tc>
        <w:tc>
          <w:tcPr>
            <w:tcW w:w="6593" w:type="dxa"/>
            <w:shd w:val="clear" w:color="auto" w:fill="auto"/>
          </w:tcPr>
          <w:p>
            <w:pPr>
              <w:pStyle w:val="CorpoAltF0"/>
              <w:ind w:left="57"/>
              <w:rPr>
                <w:b/>
              </w:rPr>
            </w:pPr>
            <w:r>
              <w:rPr>
                <w:b/>
              </w:rPr>
              <w:t>Descrizione</w:t>
            </w:r>
          </w:p>
        </w:tc>
        <w:tc>
          <w:tcPr>
            <w:tcW w:w="2568" w:type="dxa"/>
            <w:shd w:val="clear" w:color="auto" w:fill="auto"/>
          </w:tcPr>
          <w:p>
            <w:pPr>
              <w:pStyle w:val="CorpoAltF0"/>
              <w:ind w:left="57"/>
              <w:rPr>
                <w:b/>
              </w:rPr>
            </w:pPr>
            <w:r>
              <w:rPr>
                <w:b/>
              </w:rPr>
              <w:t xml:space="preserve">Cod. </w:t>
            </w:r>
            <w:proofErr w:type="spellStart"/>
            <w:r>
              <w:rPr>
                <w:b/>
              </w:rPr>
              <w:t>pos</w:t>
            </w:r>
            <w:proofErr w:type="spellEnd"/>
            <w:r>
              <w:rPr>
                <w:b/>
              </w:rPr>
              <w:t>. assicurativa</w:t>
            </w:r>
          </w:p>
        </w:tc>
      </w:tr>
      <w:tr>
        <w:trPr>
          <w:trHeight w:hRule="exact" w:val="284"/>
        </w:trPr>
        <w:tc>
          <w:tcPr>
            <w:tcW w:w="694" w:type="dxa"/>
            <w:shd w:val="clear" w:color="auto" w:fill="auto"/>
          </w:tcPr>
          <w:p>
            <w:pPr>
              <w:pStyle w:val="CorpoAltF0"/>
              <w:jc w:val="center"/>
              <w:rPr>
                <w:b/>
              </w:rPr>
            </w:pPr>
            <w:r>
              <w:rPr>
                <w:b/>
              </w:rPr>
              <w:t>1</w:t>
            </w:r>
          </w:p>
        </w:tc>
        <w:tc>
          <w:tcPr>
            <w:tcW w:w="6593" w:type="dxa"/>
            <w:shd w:val="clear" w:color="auto" w:fill="auto"/>
          </w:tcPr>
          <w:p>
            <w:pPr>
              <w:pStyle w:val="CorpoAltF0"/>
              <w:ind w:left="57"/>
            </w:pPr>
            <w:bookmarkStart w:id="80" w:name="ImpostRiduzEdilizia"/>
            <w:bookmarkEnd w:id="80"/>
            <w:r>
              <w:t>Sconto edilizia 11,50%</w:t>
            </w:r>
          </w:p>
        </w:tc>
        <w:tc>
          <w:tcPr>
            <w:tcW w:w="2568" w:type="dxa"/>
            <w:shd w:val="clear" w:color="auto" w:fill="auto"/>
          </w:tcPr>
          <w:p>
            <w:pPr>
              <w:pStyle w:val="CorpoAltF0"/>
              <w:ind w:left="57"/>
              <w:rPr>
                <w:b/>
              </w:rPr>
            </w:pPr>
            <w:r>
              <w:rPr>
                <w:b/>
              </w:rPr>
              <w:t>30 + “E”</w:t>
            </w:r>
            <w:r>
              <w:t xml:space="preserve"> in</w:t>
            </w:r>
            <w:r>
              <w:rPr>
                <w:bCs/>
              </w:rPr>
              <w:t xml:space="preserve"> </w:t>
            </w:r>
            <w:r>
              <w:rPr>
                <w:b/>
                <w:bCs/>
              </w:rPr>
              <w:t>AZIE</w:t>
            </w:r>
            <w:r>
              <w:rPr>
                <w:bCs/>
              </w:rPr>
              <w:t xml:space="preserve"> &gt; </w:t>
            </w:r>
            <w:r>
              <w:rPr>
                <w:b/>
                <w:bCs/>
              </w:rPr>
              <w:t>INAIL</w:t>
            </w:r>
          </w:p>
        </w:tc>
      </w:tr>
      <w:tr>
        <w:trPr>
          <w:trHeight w:hRule="exact" w:val="284"/>
        </w:trPr>
        <w:tc>
          <w:tcPr>
            <w:tcW w:w="694" w:type="dxa"/>
            <w:shd w:val="clear" w:color="auto" w:fill="auto"/>
          </w:tcPr>
          <w:p>
            <w:pPr>
              <w:pStyle w:val="CorpoAltF0"/>
              <w:jc w:val="center"/>
              <w:rPr>
                <w:b/>
              </w:rPr>
            </w:pPr>
            <w:r>
              <w:rPr>
                <w:b/>
              </w:rPr>
              <w:t>3</w:t>
            </w:r>
          </w:p>
        </w:tc>
        <w:tc>
          <w:tcPr>
            <w:tcW w:w="6593" w:type="dxa"/>
            <w:shd w:val="clear" w:color="auto" w:fill="auto"/>
          </w:tcPr>
          <w:p>
            <w:pPr>
              <w:pStyle w:val="CorpoAltF0"/>
              <w:ind w:left="57"/>
            </w:pPr>
            <w:r>
              <w:t xml:space="preserve">Sconto settore della pesca 45,07% su </w:t>
            </w:r>
            <w:proofErr w:type="spellStart"/>
            <w:r>
              <w:t>regolaz</w:t>
            </w:r>
            <w:proofErr w:type="spellEnd"/>
            <w:r>
              <w:t>. e 45,07% su rata</w:t>
            </w:r>
          </w:p>
        </w:tc>
        <w:tc>
          <w:tcPr>
            <w:tcW w:w="2568" w:type="dxa"/>
            <w:shd w:val="clear" w:color="auto" w:fill="auto"/>
          </w:tcPr>
          <w:p>
            <w:pPr>
              <w:pStyle w:val="CorpoAltF0"/>
              <w:ind w:left="57"/>
              <w:rPr>
                <w:b/>
              </w:rPr>
            </w:pPr>
            <w:r>
              <w:rPr>
                <w:b/>
              </w:rPr>
              <w:t xml:space="preserve">“P” </w:t>
            </w:r>
            <w:r>
              <w:t xml:space="preserve">in </w:t>
            </w:r>
            <w:r>
              <w:rPr>
                <w:b/>
              </w:rPr>
              <w:t>AZIE</w:t>
            </w:r>
            <w:r>
              <w:t xml:space="preserve"> &gt; </w:t>
            </w:r>
            <w:r>
              <w:rPr>
                <w:b/>
              </w:rPr>
              <w:t>INAIL</w:t>
            </w:r>
          </w:p>
        </w:tc>
      </w:tr>
      <w:tr>
        <w:trPr>
          <w:trHeight w:hRule="exact" w:val="284"/>
        </w:trPr>
        <w:tc>
          <w:tcPr>
            <w:tcW w:w="694" w:type="dxa"/>
            <w:shd w:val="clear" w:color="auto" w:fill="auto"/>
          </w:tcPr>
          <w:p>
            <w:pPr>
              <w:pStyle w:val="CorpoAltF0"/>
              <w:jc w:val="center"/>
              <w:rPr>
                <w:b/>
              </w:rPr>
            </w:pPr>
            <w:r>
              <w:rPr>
                <w:b/>
              </w:rPr>
              <w:t>7</w:t>
            </w:r>
          </w:p>
        </w:tc>
        <w:tc>
          <w:tcPr>
            <w:tcW w:w="6593" w:type="dxa"/>
            <w:shd w:val="clear" w:color="auto" w:fill="auto"/>
          </w:tcPr>
          <w:p>
            <w:pPr>
              <w:pStyle w:val="CorpoAltF0"/>
              <w:ind w:left="57"/>
            </w:pPr>
            <w:r>
              <w:t>Sconto sostegno della maternità e paternità 50%</w:t>
            </w:r>
          </w:p>
        </w:tc>
        <w:tc>
          <w:tcPr>
            <w:tcW w:w="2568" w:type="dxa"/>
            <w:shd w:val="clear" w:color="auto" w:fill="auto"/>
          </w:tcPr>
          <w:p>
            <w:pPr>
              <w:pStyle w:val="CorpoAltF0"/>
              <w:ind w:left="57"/>
              <w:rPr>
                <w:b/>
              </w:rPr>
            </w:pPr>
            <w:r>
              <w:rPr>
                <w:b/>
              </w:rPr>
              <w:t>50</w:t>
            </w:r>
          </w:p>
        </w:tc>
      </w:tr>
    </w:tbl>
    <w:p>
      <w:pPr>
        <w:pStyle w:val="CorpoAltF0"/>
        <w:rPr>
          <w:highlight w:val="yellow"/>
        </w:rPr>
      </w:pPr>
    </w:p>
    <w:p>
      <w:pPr>
        <w:pStyle w:val="CorpoAltF0"/>
      </w:pPr>
      <w:r>
        <w:t xml:space="preserve">Nella colonna “Cod. </w:t>
      </w:r>
      <w:proofErr w:type="spellStart"/>
      <w:r>
        <w:t>pos</w:t>
      </w:r>
      <w:proofErr w:type="spellEnd"/>
      <w:r>
        <w:t>. assicurativa” sono indicati i codici delle posizioni assicurative standard presenti al campo “</w:t>
      </w:r>
      <w:r>
        <w:rPr>
          <w:i/>
        </w:rPr>
        <w:t>P</w:t>
      </w:r>
      <w:r>
        <w:rPr>
          <w:i/>
          <w:iCs/>
        </w:rPr>
        <w:t>osizione assicurativa</w:t>
      </w:r>
      <w:r>
        <w:t>” di “</w:t>
      </w:r>
      <w:r>
        <w:rPr>
          <w:b/>
          <w:bCs/>
        </w:rPr>
        <w:t>DIPE</w:t>
      </w:r>
      <w:r>
        <w:rPr>
          <w:bCs/>
        </w:rPr>
        <w:t xml:space="preserve"> &gt; </w:t>
      </w:r>
      <w:r>
        <w:rPr>
          <w:bCs/>
          <w:i/>
        </w:rPr>
        <w:t>Dati generali</w:t>
      </w:r>
      <w:r>
        <w:rPr>
          <w:bCs/>
        </w:rPr>
        <w:t>”,</w:t>
      </w:r>
      <w:r>
        <w:t xml:space="preserve"> corrispondenti a ciascuna riduzione. Le corrispondenze sono state impostate nella tabella “</w:t>
      </w:r>
      <w:r>
        <w:rPr>
          <w:i/>
        </w:rPr>
        <w:t xml:space="preserve">Correlazione </w:t>
      </w:r>
      <w:proofErr w:type="spellStart"/>
      <w:r>
        <w:rPr>
          <w:i/>
        </w:rPr>
        <w:t>p.ass</w:t>
      </w:r>
      <w:proofErr w:type="spellEnd"/>
      <w:r>
        <w:rPr>
          <w:i/>
        </w:rPr>
        <w:t>/sigla INAIL</w:t>
      </w:r>
      <w:r>
        <w:t>” (</w:t>
      </w:r>
      <w:r>
        <w:rPr>
          <w:b/>
        </w:rPr>
        <w:t>TB0705</w:t>
      </w:r>
      <w:r>
        <w:t>).</w:t>
      </w:r>
    </w:p>
    <w:p>
      <w:pPr>
        <w:pStyle w:val="CorpoAltF0"/>
      </w:pPr>
      <w:r>
        <w:t>Il programma di ricalcolo verifica che la posizione assicurativa sia presente nel periodo assicurativo dettagliato per mese nella colonna “</w:t>
      </w:r>
      <w:r>
        <w:rPr>
          <w:i/>
        </w:rPr>
        <w:t xml:space="preserve">qualifica </w:t>
      </w:r>
      <w:proofErr w:type="spellStart"/>
      <w:r>
        <w:rPr>
          <w:i/>
        </w:rPr>
        <w:t>inps</w:t>
      </w:r>
      <w:proofErr w:type="spellEnd"/>
      <w:r>
        <w:t xml:space="preserve">” (2^ dato) dei progressivi INAIL di </w:t>
      </w:r>
      <w:r>
        <w:rPr>
          <w:b/>
          <w:bCs/>
        </w:rPr>
        <w:t>DIPE</w:t>
      </w:r>
      <w:r>
        <w:t>.</w:t>
      </w:r>
    </w:p>
    <w:p>
      <w:pPr>
        <w:pStyle w:val="CorpoAltF0"/>
      </w:pPr>
    </w:p>
    <w:p>
      <w:pPr>
        <w:pStyle w:val="CorpoAltF0"/>
        <w:rPr>
          <w:bCs/>
          <w:u w:val="single"/>
        </w:rPr>
      </w:pPr>
      <w:r>
        <w:rPr>
          <w:bCs/>
          <w:u w:val="single"/>
        </w:rPr>
        <w:t xml:space="preserve">Tabella di correlazione posizioni assicurative / sigle </w:t>
      </w:r>
      <w:proofErr w:type="spellStart"/>
      <w:r>
        <w:rPr>
          <w:bCs/>
          <w:u w:val="single"/>
        </w:rPr>
        <w:t>inail</w:t>
      </w:r>
      <w:proofErr w:type="spellEnd"/>
    </w:p>
    <w:p>
      <w:pPr>
        <w:pStyle w:val="CorpoAltF0"/>
      </w:pPr>
      <w:r>
        <w:t xml:space="preserve">La tabella di correlazione </w:t>
      </w:r>
      <w:r>
        <w:rPr>
          <w:b/>
        </w:rPr>
        <w:t>TB0705</w:t>
      </w:r>
      <w:r>
        <w:t xml:space="preserve"> permette di associare le riduzioni e gli sconti alle varie posizioni assicurative utilizzate per l’inquadramento contributivo del dipendente.</w:t>
      </w:r>
    </w:p>
    <w:p>
      <w:pPr>
        <w:pStyle w:val="CorpoAltF0"/>
      </w:pPr>
      <w:r>
        <w:t xml:space="preserve">La tabella è totalmente personalizzabile; si consiglia di verificarne il contenuto per effettuare correttamente il calcolo del premio e le relative esposizioni nel modello </w:t>
      </w:r>
      <w:r>
        <w:rPr>
          <w:b/>
        </w:rPr>
        <w:t>10SM</w:t>
      </w:r>
      <w:r>
        <w:t>.</w:t>
      </w:r>
    </w:p>
    <w:p>
      <w:pPr>
        <w:pStyle w:val="CorpoAltF0"/>
      </w:pPr>
      <w:r>
        <w:t xml:space="preserve">Per considerare in modo diverso le varie categorie di agevolazioni si può intervenire nella tabella di correlazione </w:t>
      </w:r>
      <w:r>
        <w:rPr>
          <w:b/>
        </w:rPr>
        <w:t>TB0705</w:t>
      </w:r>
      <w:r>
        <w:t xml:space="preserve"> in corrispondenza della posizione assicurativa interessata e indicare o modificare la sigla INAIL di autoliquidazione. Eliminando la sigla, le retribuzioni della posizione vengono incluse tra le retribuzioni complessive per il calcolo del premio. </w:t>
      </w:r>
    </w:p>
    <w:p>
      <w:pPr>
        <w:pStyle w:val="CorpoAltF0"/>
        <w:spacing w:before="120"/>
        <w:rPr>
          <w:b/>
        </w:rPr>
      </w:pPr>
      <w:r>
        <w:rPr>
          <w:b/>
        </w:rPr>
        <w:t>Con la modifica della tabella di correlazione è necessario ripetere il ricalcolo in 10SM se l’autoliquidazione comprende dipendenti con una posizione assicurativa modificata.</w:t>
      </w:r>
    </w:p>
    <w:p>
      <w:pPr>
        <w:pStyle w:val="CorpoAltF0"/>
        <w:rPr>
          <w:highlight w:val="yellow"/>
        </w:rPr>
      </w:pPr>
      <w:r>
        <w:rPr>
          <w:highlight w:val="yellow"/>
        </w:rPr>
        <w:br w:type="page"/>
      </w:r>
    </w:p>
    <w:p>
      <w:pPr>
        <w:pStyle w:val="CorpoAltF0"/>
      </w:pPr>
    </w:p>
    <w:p>
      <w:pPr>
        <w:pStyle w:val="CorpoAltF0"/>
        <w:rPr>
          <w:bCs/>
          <w:u w:val="single"/>
        </w:rPr>
      </w:pPr>
      <w:r>
        <w:rPr>
          <w:bCs/>
          <w:u w:val="single"/>
        </w:rPr>
        <w:t>Dipendenti agevolati ex L. 92/2012</w:t>
      </w:r>
    </w:p>
    <w:p>
      <w:pPr>
        <w:pStyle w:val="CorpoAltF0"/>
      </w:pPr>
      <w:r>
        <w:t>Per tali dipendenti sono previsti i seguenti codici:</w:t>
      </w:r>
    </w:p>
    <w:tbl>
      <w:tblPr>
        <w:tblW w:w="0" w:type="auto"/>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4A0" w:firstRow="1" w:lastRow="0" w:firstColumn="1" w:lastColumn="0" w:noHBand="0" w:noVBand="1"/>
      </w:tblPr>
      <w:tblGrid>
        <w:gridCol w:w="1074"/>
        <w:gridCol w:w="8549"/>
      </w:tblGrid>
      <w:tr>
        <w:tc>
          <w:tcPr>
            <w:tcW w:w="1101" w:type="dxa"/>
            <w:shd w:val="clear" w:color="auto" w:fill="auto"/>
          </w:tcPr>
          <w:p>
            <w:pPr>
              <w:pStyle w:val="CorpoAltF0"/>
              <w:spacing w:before="120"/>
              <w:jc w:val="center"/>
              <w:rPr>
                <w:b/>
                <w:sz w:val="18"/>
                <w:szCs w:val="18"/>
              </w:rPr>
            </w:pPr>
            <w:r>
              <w:rPr>
                <w:b/>
                <w:sz w:val="18"/>
                <w:szCs w:val="18"/>
              </w:rPr>
              <w:t>H</w:t>
            </w:r>
          </w:p>
        </w:tc>
        <w:tc>
          <w:tcPr>
            <w:tcW w:w="8820" w:type="dxa"/>
            <w:shd w:val="clear" w:color="auto" w:fill="auto"/>
          </w:tcPr>
          <w:p>
            <w:pPr>
              <w:pStyle w:val="CorpoAltF0"/>
              <w:spacing w:before="120"/>
              <w:rPr>
                <w:sz w:val="18"/>
                <w:szCs w:val="18"/>
              </w:rPr>
            </w:pPr>
            <w:r>
              <w:rPr>
                <w:sz w:val="18"/>
                <w:szCs w:val="18"/>
              </w:rPr>
              <w:t>Assunzione a tempo determinato di ultracinquantenni art. 4, c. 8, L. 92/2012;</w:t>
            </w:r>
          </w:p>
        </w:tc>
      </w:tr>
      <w:tr>
        <w:tc>
          <w:tcPr>
            <w:tcW w:w="1101" w:type="dxa"/>
            <w:shd w:val="clear" w:color="auto" w:fill="auto"/>
          </w:tcPr>
          <w:p>
            <w:pPr>
              <w:pStyle w:val="CorpoAltF0"/>
              <w:spacing w:before="120"/>
              <w:jc w:val="center"/>
              <w:rPr>
                <w:b/>
                <w:sz w:val="18"/>
                <w:szCs w:val="18"/>
              </w:rPr>
            </w:pPr>
            <w:r>
              <w:rPr>
                <w:b/>
                <w:sz w:val="18"/>
                <w:szCs w:val="18"/>
              </w:rPr>
              <w:t>I</w:t>
            </w:r>
          </w:p>
        </w:tc>
        <w:tc>
          <w:tcPr>
            <w:tcW w:w="8820" w:type="dxa"/>
            <w:shd w:val="clear" w:color="auto" w:fill="auto"/>
          </w:tcPr>
          <w:p>
            <w:pPr>
              <w:pStyle w:val="CorpoAltF0"/>
              <w:spacing w:before="120"/>
              <w:rPr>
                <w:sz w:val="18"/>
                <w:szCs w:val="18"/>
              </w:rPr>
            </w:pPr>
            <w:r>
              <w:rPr>
                <w:sz w:val="18"/>
                <w:szCs w:val="18"/>
              </w:rPr>
              <w:t>Proroga rapporti di lavoro instaurati con ultracinquantenni art. 4, c. 4, e 13, L. 92/2012;</w:t>
            </w:r>
          </w:p>
        </w:tc>
      </w:tr>
      <w:tr>
        <w:tc>
          <w:tcPr>
            <w:tcW w:w="1101" w:type="dxa"/>
            <w:shd w:val="clear" w:color="auto" w:fill="auto"/>
          </w:tcPr>
          <w:p>
            <w:pPr>
              <w:pStyle w:val="CorpoAltF0"/>
              <w:spacing w:before="120"/>
              <w:jc w:val="center"/>
              <w:rPr>
                <w:b/>
                <w:sz w:val="18"/>
                <w:szCs w:val="18"/>
              </w:rPr>
            </w:pPr>
            <w:r>
              <w:rPr>
                <w:b/>
                <w:sz w:val="18"/>
                <w:szCs w:val="18"/>
              </w:rPr>
              <w:t>J</w:t>
            </w:r>
          </w:p>
        </w:tc>
        <w:tc>
          <w:tcPr>
            <w:tcW w:w="8820" w:type="dxa"/>
            <w:shd w:val="clear" w:color="auto" w:fill="auto"/>
          </w:tcPr>
          <w:p>
            <w:pPr>
              <w:pStyle w:val="CorpoAltF0"/>
              <w:spacing w:before="120"/>
              <w:rPr>
                <w:sz w:val="18"/>
                <w:szCs w:val="18"/>
              </w:rPr>
            </w:pPr>
            <w:r>
              <w:rPr>
                <w:sz w:val="18"/>
                <w:szCs w:val="18"/>
              </w:rPr>
              <w:t>Riassunzione e trasformazione a tempo indeterminato di ultracinquantenni art.4, c.9, L.92/2012;</w:t>
            </w:r>
          </w:p>
        </w:tc>
      </w:tr>
      <w:tr>
        <w:tc>
          <w:tcPr>
            <w:tcW w:w="1101" w:type="dxa"/>
            <w:shd w:val="clear" w:color="auto" w:fill="auto"/>
          </w:tcPr>
          <w:p>
            <w:pPr>
              <w:pStyle w:val="CorpoAltF0"/>
              <w:spacing w:before="120"/>
              <w:jc w:val="center"/>
              <w:rPr>
                <w:b/>
                <w:sz w:val="18"/>
                <w:szCs w:val="18"/>
              </w:rPr>
            </w:pPr>
            <w:r>
              <w:rPr>
                <w:b/>
                <w:sz w:val="18"/>
                <w:szCs w:val="18"/>
              </w:rPr>
              <w:t>K</w:t>
            </w:r>
          </w:p>
        </w:tc>
        <w:tc>
          <w:tcPr>
            <w:tcW w:w="8820" w:type="dxa"/>
            <w:shd w:val="clear" w:color="auto" w:fill="auto"/>
          </w:tcPr>
          <w:p>
            <w:pPr>
              <w:pStyle w:val="CorpoAltF0"/>
              <w:spacing w:before="120"/>
              <w:rPr>
                <w:sz w:val="18"/>
                <w:szCs w:val="18"/>
              </w:rPr>
            </w:pPr>
            <w:r>
              <w:rPr>
                <w:sz w:val="18"/>
                <w:szCs w:val="18"/>
              </w:rPr>
              <w:t>Assunzione a tempo indeterminato di ultracinquantenni art. 4, c. 9, L. 92/2012;</w:t>
            </w:r>
          </w:p>
        </w:tc>
      </w:tr>
      <w:tr>
        <w:tc>
          <w:tcPr>
            <w:tcW w:w="1101" w:type="dxa"/>
            <w:shd w:val="clear" w:color="auto" w:fill="auto"/>
          </w:tcPr>
          <w:p>
            <w:pPr>
              <w:pStyle w:val="CorpoAltF0"/>
              <w:spacing w:before="120"/>
              <w:jc w:val="center"/>
              <w:rPr>
                <w:b/>
                <w:sz w:val="18"/>
                <w:szCs w:val="18"/>
              </w:rPr>
            </w:pPr>
            <w:r>
              <w:rPr>
                <w:b/>
                <w:sz w:val="18"/>
                <w:szCs w:val="18"/>
              </w:rPr>
              <w:t>L</w:t>
            </w:r>
          </w:p>
        </w:tc>
        <w:tc>
          <w:tcPr>
            <w:tcW w:w="8820" w:type="dxa"/>
            <w:shd w:val="clear" w:color="auto" w:fill="auto"/>
          </w:tcPr>
          <w:p>
            <w:pPr>
              <w:pStyle w:val="CorpoAltF0"/>
              <w:spacing w:before="120"/>
              <w:rPr>
                <w:sz w:val="18"/>
                <w:szCs w:val="18"/>
              </w:rPr>
            </w:pPr>
            <w:r>
              <w:rPr>
                <w:sz w:val="18"/>
                <w:szCs w:val="18"/>
              </w:rPr>
              <w:t>Proroga di rapporti di lavoro non agevolati art. 4, c. 8 e 13 L. 92/2012;</w:t>
            </w:r>
          </w:p>
        </w:tc>
      </w:tr>
      <w:tr>
        <w:tc>
          <w:tcPr>
            <w:tcW w:w="1101" w:type="dxa"/>
            <w:shd w:val="clear" w:color="auto" w:fill="auto"/>
          </w:tcPr>
          <w:p>
            <w:pPr>
              <w:pStyle w:val="CorpoAltF0"/>
              <w:spacing w:before="120"/>
              <w:jc w:val="center"/>
              <w:rPr>
                <w:b/>
                <w:sz w:val="18"/>
                <w:szCs w:val="18"/>
              </w:rPr>
            </w:pPr>
            <w:r>
              <w:rPr>
                <w:b/>
                <w:sz w:val="18"/>
                <w:szCs w:val="18"/>
              </w:rPr>
              <w:t>M</w:t>
            </w:r>
          </w:p>
        </w:tc>
        <w:tc>
          <w:tcPr>
            <w:tcW w:w="8820" w:type="dxa"/>
            <w:shd w:val="clear" w:color="auto" w:fill="auto"/>
          </w:tcPr>
          <w:p>
            <w:pPr>
              <w:pStyle w:val="CorpoAltF0"/>
              <w:spacing w:before="120"/>
              <w:rPr>
                <w:sz w:val="18"/>
                <w:szCs w:val="18"/>
              </w:rPr>
            </w:pPr>
            <w:r>
              <w:rPr>
                <w:sz w:val="18"/>
                <w:szCs w:val="18"/>
              </w:rPr>
              <w:t>Trasformazione a tempo indeterminato di rapporti di lavoro non agevolati art- 4, c.9, L. 92/2012;</w:t>
            </w:r>
          </w:p>
        </w:tc>
      </w:tr>
      <w:tr>
        <w:tc>
          <w:tcPr>
            <w:tcW w:w="1101" w:type="dxa"/>
            <w:shd w:val="clear" w:color="auto" w:fill="auto"/>
          </w:tcPr>
          <w:p>
            <w:pPr>
              <w:pStyle w:val="CorpoAltF0"/>
              <w:spacing w:before="120"/>
              <w:jc w:val="center"/>
              <w:rPr>
                <w:b/>
                <w:sz w:val="18"/>
                <w:szCs w:val="18"/>
              </w:rPr>
            </w:pPr>
            <w:r>
              <w:rPr>
                <w:b/>
                <w:sz w:val="18"/>
                <w:szCs w:val="18"/>
              </w:rPr>
              <w:t>N</w:t>
            </w:r>
          </w:p>
        </w:tc>
        <w:tc>
          <w:tcPr>
            <w:tcW w:w="8820" w:type="dxa"/>
            <w:shd w:val="clear" w:color="auto" w:fill="auto"/>
          </w:tcPr>
          <w:p>
            <w:pPr>
              <w:pStyle w:val="CorpoAltF0"/>
              <w:spacing w:before="120"/>
              <w:rPr>
                <w:sz w:val="18"/>
                <w:szCs w:val="18"/>
              </w:rPr>
            </w:pPr>
            <w:r>
              <w:rPr>
                <w:sz w:val="18"/>
                <w:szCs w:val="18"/>
              </w:rPr>
              <w:t>Assunzione a tempo determinato di donne di qualsiasi età prive di un impiego regolarmente retribuito art. 4, c. 11, L. 92/2012.</w:t>
            </w:r>
          </w:p>
        </w:tc>
      </w:tr>
      <w:tr>
        <w:tc>
          <w:tcPr>
            <w:tcW w:w="1101" w:type="dxa"/>
            <w:shd w:val="clear" w:color="auto" w:fill="auto"/>
          </w:tcPr>
          <w:p>
            <w:pPr>
              <w:pStyle w:val="CorpoAltF0"/>
              <w:spacing w:before="120"/>
              <w:jc w:val="center"/>
              <w:rPr>
                <w:b/>
                <w:sz w:val="18"/>
                <w:szCs w:val="18"/>
              </w:rPr>
            </w:pPr>
            <w:r>
              <w:rPr>
                <w:b/>
                <w:sz w:val="18"/>
                <w:szCs w:val="18"/>
              </w:rPr>
              <w:t>O</w:t>
            </w:r>
          </w:p>
        </w:tc>
        <w:tc>
          <w:tcPr>
            <w:tcW w:w="8820" w:type="dxa"/>
            <w:shd w:val="clear" w:color="auto" w:fill="auto"/>
          </w:tcPr>
          <w:p>
            <w:pPr>
              <w:pStyle w:val="CorpoAltF0"/>
              <w:spacing w:before="120"/>
              <w:rPr>
                <w:sz w:val="18"/>
                <w:szCs w:val="18"/>
              </w:rPr>
            </w:pPr>
            <w:r>
              <w:rPr>
                <w:sz w:val="18"/>
                <w:szCs w:val="18"/>
              </w:rPr>
              <w:t>Proroga del contratto stipulato con donne di qualsiasi età prive di impiego regolarmente retribuito art. 4, c. 11, L. 92/2012</w:t>
            </w:r>
          </w:p>
        </w:tc>
      </w:tr>
      <w:tr>
        <w:tc>
          <w:tcPr>
            <w:tcW w:w="1101" w:type="dxa"/>
            <w:shd w:val="clear" w:color="auto" w:fill="auto"/>
          </w:tcPr>
          <w:p>
            <w:pPr>
              <w:pStyle w:val="CorpoAltF0"/>
              <w:spacing w:before="120"/>
              <w:jc w:val="center"/>
              <w:rPr>
                <w:b/>
                <w:sz w:val="18"/>
                <w:szCs w:val="18"/>
              </w:rPr>
            </w:pPr>
            <w:r>
              <w:rPr>
                <w:b/>
                <w:sz w:val="18"/>
                <w:szCs w:val="18"/>
              </w:rPr>
              <w:t>P</w:t>
            </w:r>
          </w:p>
        </w:tc>
        <w:tc>
          <w:tcPr>
            <w:tcW w:w="8820" w:type="dxa"/>
            <w:shd w:val="clear" w:color="auto" w:fill="auto"/>
          </w:tcPr>
          <w:p>
            <w:pPr>
              <w:pStyle w:val="CorpoAltF0"/>
              <w:spacing w:before="120"/>
              <w:rPr>
                <w:sz w:val="18"/>
                <w:szCs w:val="18"/>
              </w:rPr>
            </w:pPr>
            <w:r>
              <w:rPr>
                <w:sz w:val="18"/>
                <w:szCs w:val="18"/>
              </w:rPr>
              <w:t>Trasformazione a tempo indeterminato del contratto stipulato con donne di qualsiasi età prive di un impiego regolarmente retribuito art. 4, c. 11, L. 92/2012</w:t>
            </w:r>
          </w:p>
        </w:tc>
      </w:tr>
      <w:tr>
        <w:tc>
          <w:tcPr>
            <w:tcW w:w="1101" w:type="dxa"/>
            <w:shd w:val="clear" w:color="auto" w:fill="auto"/>
          </w:tcPr>
          <w:p>
            <w:pPr>
              <w:pStyle w:val="CorpoAltF0"/>
              <w:spacing w:before="120"/>
              <w:jc w:val="center"/>
              <w:rPr>
                <w:b/>
                <w:sz w:val="18"/>
                <w:szCs w:val="18"/>
              </w:rPr>
            </w:pPr>
            <w:r>
              <w:rPr>
                <w:b/>
                <w:sz w:val="18"/>
                <w:szCs w:val="18"/>
              </w:rPr>
              <w:t>Q</w:t>
            </w:r>
          </w:p>
        </w:tc>
        <w:tc>
          <w:tcPr>
            <w:tcW w:w="8820" w:type="dxa"/>
            <w:shd w:val="clear" w:color="auto" w:fill="auto"/>
          </w:tcPr>
          <w:p>
            <w:pPr>
              <w:pStyle w:val="CorpoAltF0"/>
              <w:spacing w:before="120"/>
              <w:rPr>
                <w:sz w:val="18"/>
                <w:szCs w:val="18"/>
              </w:rPr>
            </w:pPr>
            <w:r>
              <w:rPr>
                <w:sz w:val="18"/>
                <w:szCs w:val="18"/>
              </w:rPr>
              <w:t>Assunzione a tempo indeterminato di donne di qualsiasi età prive di un impiego regolarmente retribuito art. 4, c. 11, L. 92/2012</w:t>
            </w:r>
          </w:p>
        </w:tc>
      </w:tr>
      <w:tr>
        <w:tc>
          <w:tcPr>
            <w:tcW w:w="1101" w:type="dxa"/>
            <w:shd w:val="clear" w:color="auto" w:fill="auto"/>
          </w:tcPr>
          <w:p>
            <w:pPr>
              <w:pStyle w:val="CorpoAltF0"/>
              <w:spacing w:before="120"/>
              <w:jc w:val="center"/>
              <w:rPr>
                <w:b/>
                <w:sz w:val="18"/>
                <w:szCs w:val="18"/>
              </w:rPr>
            </w:pPr>
            <w:r>
              <w:rPr>
                <w:b/>
                <w:sz w:val="18"/>
                <w:szCs w:val="18"/>
              </w:rPr>
              <w:t>R</w:t>
            </w:r>
          </w:p>
        </w:tc>
        <w:tc>
          <w:tcPr>
            <w:tcW w:w="8820" w:type="dxa"/>
            <w:shd w:val="clear" w:color="auto" w:fill="auto"/>
          </w:tcPr>
          <w:p>
            <w:pPr>
              <w:pStyle w:val="CorpoAltF0"/>
              <w:spacing w:before="120"/>
              <w:rPr>
                <w:sz w:val="18"/>
                <w:szCs w:val="18"/>
              </w:rPr>
            </w:pPr>
            <w:r>
              <w:rPr>
                <w:sz w:val="18"/>
                <w:szCs w:val="18"/>
              </w:rPr>
              <w:t>Assunzione a tempo determinato di donne di qualsiasi età residenti in regioni ammissibili ai finanziamenti UE art. 4, c. 11, L. 92/2012</w:t>
            </w:r>
          </w:p>
        </w:tc>
      </w:tr>
      <w:tr>
        <w:tc>
          <w:tcPr>
            <w:tcW w:w="1101" w:type="dxa"/>
            <w:shd w:val="clear" w:color="auto" w:fill="auto"/>
          </w:tcPr>
          <w:p>
            <w:pPr>
              <w:pStyle w:val="CorpoAltF0"/>
              <w:spacing w:before="120"/>
              <w:jc w:val="center"/>
              <w:rPr>
                <w:b/>
                <w:sz w:val="18"/>
                <w:szCs w:val="18"/>
              </w:rPr>
            </w:pPr>
            <w:r>
              <w:rPr>
                <w:b/>
                <w:sz w:val="18"/>
                <w:szCs w:val="18"/>
              </w:rPr>
              <w:t>S</w:t>
            </w:r>
          </w:p>
        </w:tc>
        <w:tc>
          <w:tcPr>
            <w:tcW w:w="8820" w:type="dxa"/>
            <w:shd w:val="clear" w:color="auto" w:fill="auto"/>
          </w:tcPr>
          <w:p>
            <w:pPr>
              <w:pStyle w:val="CorpoAltF0"/>
              <w:spacing w:before="120"/>
              <w:rPr>
                <w:sz w:val="18"/>
                <w:szCs w:val="18"/>
              </w:rPr>
            </w:pPr>
            <w:r>
              <w:rPr>
                <w:sz w:val="18"/>
                <w:szCs w:val="18"/>
              </w:rPr>
              <w:t>Proroga del contratto stipulato con donne di qualsiasi età residenti in regioni ammissibili ai finanziamenti UE art. 4, c. 11, L. 92/2012</w:t>
            </w:r>
          </w:p>
        </w:tc>
      </w:tr>
      <w:tr>
        <w:tc>
          <w:tcPr>
            <w:tcW w:w="1101" w:type="dxa"/>
            <w:shd w:val="clear" w:color="auto" w:fill="auto"/>
          </w:tcPr>
          <w:p>
            <w:pPr>
              <w:pStyle w:val="CorpoAltF0"/>
              <w:spacing w:before="120"/>
              <w:jc w:val="center"/>
              <w:rPr>
                <w:b/>
                <w:sz w:val="18"/>
                <w:szCs w:val="18"/>
              </w:rPr>
            </w:pPr>
            <w:r>
              <w:rPr>
                <w:b/>
                <w:sz w:val="18"/>
                <w:szCs w:val="18"/>
              </w:rPr>
              <w:t>T</w:t>
            </w:r>
          </w:p>
        </w:tc>
        <w:tc>
          <w:tcPr>
            <w:tcW w:w="8820" w:type="dxa"/>
            <w:shd w:val="clear" w:color="auto" w:fill="auto"/>
          </w:tcPr>
          <w:p>
            <w:pPr>
              <w:pStyle w:val="CorpoAltF0"/>
              <w:spacing w:before="120"/>
              <w:rPr>
                <w:sz w:val="18"/>
                <w:szCs w:val="18"/>
              </w:rPr>
            </w:pPr>
            <w:r>
              <w:rPr>
                <w:sz w:val="18"/>
                <w:szCs w:val="18"/>
              </w:rPr>
              <w:t>Trasformazione a tempo indeterminato del contratto stipulato con donne di qualsiasi età residenti in regioni ammissibili ai finanziamenti UE art. 4, c. 11, L. 92/2012</w:t>
            </w:r>
          </w:p>
        </w:tc>
      </w:tr>
      <w:tr>
        <w:tc>
          <w:tcPr>
            <w:tcW w:w="1101" w:type="dxa"/>
            <w:shd w:val="clear" w:color="auto" w:fill="auto"/>
          </w:tcPr>
          <w:p>
            <w:pPr>
              <w:pStyle w:val="CorpoAltF0"/>
              <w:spacing w:before="120"/>
              <w:jc w:val="center"/>
              <w:rPr>
                <w:b/>
                <w:sz w:val="18"/>
                <w:szCs w:val="18"/>
              </w:rPr>
            </w:pPr>
            <w:r>
              <w:rPr>
                <w:b/>
                <w:sz w:val="18"/>
                <w:szCs w:val="18"/>
              </w:rPr>
              <w:t>U</w:t>
            </w:r>
          </w:p>
        </w:tc>
        <w:tc>
          <w:tcPr>
            <w:tcW w:w="8820" w:type="dxa"/>
            <w:shd w:val="clear" w:color="auto" w:fill="auto"/>
          </w:tcPr>
          <w:p>
            <w:pPr>
              <w:pStyle w:val="CorpoAltF0"/>
              <w:spacing w:before="120"/>
              <w:rPr>
                <w:sz w:val="18"/>
                <w:szCs w:val="18"/>
              </w:rPr>
            </w:pPr>
            <w:r>
              <w:rPr>
                <w:sz w:val="18"/>
                <w:szCs w:val="18"/>
              </w:rPr>
              <w:t>Assunzione a tempo indeterminato di donne di qualsiasi età residenti in regioni ammissibili ai finanziamenti UE art. 4, c. 11, L. 92/2012</w:t>
            </w:r>
          </w:p>
        </w:tc>
      </w:tr>
      <w:tr>
        <w:tc>
          <w:tcPr>
            <w:tcW w:w="1101" w:type="dxa"/>
            <w:shd w:val="clear" w:color="auto" w:fill="auto"/>
          </w:tcPr>
          <w:p>
            <w:pPr>
              <w:pStyle w:val="CorpoAltF0"/>
              <w:spacing w:before="120"/>
              <w:jc w:val="center"/>
              <w:rPr>
                <w:b/>
                <w:sz w:val="18"/>
                <w:szCs w:val="18"/>
              </w:rPr>
            </w:pPr>
            <w:r>
              <w:rPr>
                <w:b/>
                <w:sz w:val="18"/>
                <w:szCs w:val="18"/>
              </w:rPr>
              <w:t>V</w:t>
            </w:r>
          </w:p>
        </w:tc>
        <w:tc>
          <w:tcPr>
            <w:tcW w:w="8820" w:type="dxa"/>
            <w:shd w:val="clear" w:color="auto" w:fill="auto"/>
          </w:tcPr>
          <w:p>
            <w:pPr>
              <w:pStyle w:val="CorpoAltF0"/>
              <w:spacing w:before="120"/>
              <w:rPr>
                <w:sz w:val="18"/>
                <w:szCs w:val="18"/>
              </w:rPr>
            </w:pPr>
            <w:r>
              <w:rPr>
                <w:sz w:val="18"/>
                <w:szCs w:val="18"/>
              </w:rPr>
              <w:t>Assunzione a tempo determinato di donne di qualsiasi età prive di un impiego da 24 mesi art. 4, c. 11, L. 92/2012</w:t>
            </w:r>
          </w:p>
        </w:tc>
      </w:tr>
      <w:tr>
        <w:tc>
          <w:tcPr>
            <w:tcW w:w="1101" w:type="dxa"/>
            <w:shd w:val="clear" w:color="auto" w:fill="auto"/>
          </w:tcPr>
          <w:p>
            <w:pPr>
              <w:pStyle w:val="CorpoAltF0"/>
              <w:spacing w:before="120"/>
              <w:jc w:val="center"/>
              <w:rPr>
                <w:b/>
                <w:sz w:val="18"/>
                <w:szCs w:val="18"/>
              </w:rPr>
            </w:pPr>
            <w:r>
              <w:rPr>
                <w:b/>
                <w:sz w:val="18"/>
                <w:szCs w:val="18"/>
              </w:rPr>
              <w:t>W</w:t>
            </w:r>
          </w:p>
        </w:tc>
        <w:tc>
          <w:tcPr>
            <w:tcW w:w="8820" w:type="dxa"/>
            <w:shd w:val="clear" w:color="auto" w:fill="auto"/>
          </w:tcPr>
          <w:p>
            <w:pPr>
              <w:pStyle w:val="CorpoAltF0"/>
              <w:spacing w:before="120"/>
              <w:rPr>
                <w:sz w:val="18"/>
                <w:szCs w:val="18"/>
              </w:rPr>
            </w:pPr>
            <w:r>
              <w:rPr>
                <w:sz w:val="18"/>
                <w:szCs w:val="18"/>
              </w:rPr>
              <w:t>Proroga del contratto stipulato con donne di qualsiasi età prive di un impiego da 24 mesi art. 4, c. 11, L. 92/2012</w:t>
            </w:r>
          </w:p>
        </w:tc>
      </w:tr>
      <w:tr>
        <w:tc>
          <w:tcPr>
            <w:tcW w:w="1101" w:type="dxa"/>
            <w:shd w:val="clear" w:color="auto" w:fill="auto"/>
          </w:tcPr>
          <w:p>
            <w:pPr>
              <w:pStyle w:val="CorpoAltF0"/>
              <w:spacing w:before="120"/>
              <w:jc w:val="center"/>
              <w:rPr>
                <w:b/>
                <w:sz w:val="18"/>
                <w:szCs w:val="18"/>
              </w:rPr>
            </w:pPr>
            <w:r>
              <w:rPr>
                <w:b/>
                <w:sz w:val="18"/>
                <w:szCs w:val="18"/>
              </w:rPr>
              <w:t>X</w:t>
            </w:r>
          </w:p>
        </w:tc>
        <w:tc>
          <w:tcPr>
            <w:tcW w:w="8820" w:type="dxa"/>
            <w:shd w:val="clear" w:color="auto" w:fill="auto"/>
          </w:tcPr>
          <w:p>
            <w:pPr>
              <w:pStyle w:val="CorpoAltF0"/>
              <w:spacing w:before="120"/>
              <w:rPr>
                <w:sz w:val="18"/>
                <w:szCs w:val="18"/>
              </w:rPr>
            </w:pPr>
            <w:r>
              <w:rPr>
                <w:sz w:val="18"/>
                <w:szCs w:val="18"/>
              </w:rPr>
              <w:t xml:space="preserve">Trasformazione a tempo indeterminato del contratto stipulato con donne di qualsiasi età </w:t>
            </w:r>
            <w:proofErr w:type="spellStart"/>
            <w:r>
              <w:rPr>
                <w:sz w:val="18"/>
                <w:szCs w:val="18"/>
              </w:rPr>
              <w:t>rpive</w:t>
            </w:r>
            <w:proofErr w:type="spellEnd"/>
            <w:r>
              <w:rPr>
                <w:sz w:val="18"/>
                <w:szCs w:val="18"/>
              </w:rPr>
              <w:t xml:space="preserve"> di un impiego da 24 mesi art. 4, c. 11, L. 92/2012</w:t>
            </w:r>
          </w:p>
        </w:tc>
      </w:tr>
      <w:tr>
        <w:tc>
          <w:tcPr>
            <w:tcW w:w="1101" w:type="dxa"/>
            <w:shd w:val="clear" w:color="auto" w:fill="auto"/>
          </w:tcPr>
          <w:p>
            <w:pPr>
              <w:pStyle w:val="CorpoAltF0"/>
              <w:spacing w:before="120"/>
              <w:jc w:val="center"/>
              <w:rPr>
                <w:b/>
                <w:sz w:val="18"/>
                <w:szCs w:val="18"/>
              </w:rPr>
            </w:pPr>
            <w:r>
              <w:rPr>
                <w:b/>
                <w:sz w:val="18"/>
                <w:szCs w:val="18"/>
              </w:rPr>
              <w:t>Y</w:t>
            </w:r>
          </w:p>
        </w:tc>
        <w:tc>
          <w:tcPr>
            <w:tcW w:w="8820" w:type="dxa"/>
            <w:shd w:val="clear" w:color="auto" w:fill="auto"/>
          </w:tcPr>
          <w:p>
            <w:pPr>
              <w:pStyle w:val="CorpoAltF0"/>
              <w:spacing w:before="120"/>
              <w:rPr>
                <w:sz w:val="18"/>
                <w:szCs w:val="18"/>
              </w:rPr>
            </w:pPr>
            <w:r>
              <w:rPr>
                <w:sz w:val="18"/>
                <w:szCs w:val="18"/>
              </w:rPr>
              <w:t xml:space="preserve">Assunzione a tempo indeterminato di donne di qualsiasi età </w:t>
            </w:r>
            <w:proofErr w:type="spellStart"/>
            <w:r>
              <w:rPr>
                <w:sz w:val="18"/>
                <w:szCs w:val="18"/>
              </w:rPr>
              <w:t>rpive</w:t>
            </w:r>
            <w:proofErr w:type="spellEnd"/>
            <w:r>
              <w:rPr>
                <w:sz w:val="18"/>
                <w:szCs w:val="18"/>
              </w:rPr>
              <w:t xml:space="preserve"> di un impiego da 24 mesi art. 4, c. 11, L. 92/2012</w:t>
            </w:r>
          </w:p>
        </w:tc>
      </w:tr>
    </w:tbl>
    <w:p>
      <w:pPr>
        <w:pStyle w:val="CorpoAltF0"/>
      </w:pPr>
    </w:p>
    <w:p>
      <w:pPr>
        <w:pStyle w:val="CorpoAltF0"/>
      </w:pPr>
      <w:r>
        <w:t>Per l’inserimento di tali codici il programma verifica, nella sezione “</w:t>
      </w:r>
      <w:r>
        <w:rPr>
          <w:i/>
        </w:rPr>
        <w:t>Progressivi &gt; INAIL</w:t>
      </w:r>
      <w:r>
        <w:t xml:space="preserve">” di </w:t>
      </w:r>
      <w:r>
        <w:rPr>
          <w:b/>
        </w:rPr>
        <w:t>DIPE</w:t>
      </w:r>
      <w:r>
        <w:t xml:space="preserve">, i periodi associati alla posizione assicurativa </w:t>
      </w:r>
      <w:r>
        <w:rPr>
          <w:b/>
        </w:rPr>
        <w:t>45</w:t>
      </w:r>
      <w:r>
        <w:t xml:space="preserve"> e, con riferimento a tali periodi, individua il relativo codice esenzione INAIL in base alla correlazione delle seguenti informazioni anagrafiche del dipendente:</w:t>
      </w:r>
    </w:p>
    <w:p>
      <w:pPr>
        <w:pStyle w:val="CorpoAltF0"/>
        <w:rPr>
          <w:highlight w:val="yellow"/>
        </w:rPr>
      </w:pPr>
      <w:r>
        <w:rPr>
          <w:highlight w:val="yellow"/>
        </w:rPr>
        <w:br w:type="page"/>
      </w:r>
    </w:p>
    <w:p>
      <w:pPr>
        <w:pStyle w:val="CorpoAltF0"/>
        <w:rPr>
          <w:highlight w:val="yellow"/>
        </w:rPr>
      </w:pPr>
    </w:p>
    <w:p>
      <w:pPr>
        <w:pStyle w:val="CorpoAltF0"/>
        <w:spacing w:before="120"/>
        <w:jc w:val="center"/>
      </w:pPr>
      <w:r>
        <w:rPr>
          <w:noProof/>
        </w:rPr>
        <w:drawing>
          <wp:inline distT="0" distB="0" distL="0" distR="0">
            <wp:extent cx="6120765" cy="4038600"/>
            <wp:effectExtent l="0" t="0" r="0" b="0"/>
            <wp:docPr id="140" name="Immagin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D07018.tmp"/>
                    <pic:cNvPicPr/>
                  </pic:nvPicPr>
                  <pic:blipFill>
                    <a:blip r:embed="rId49">
                      <a:extLst>
                        <a:ext uri="{28A0092B-C50C-407E-A947-70E740481C1C}">
                          <a14:useLocalDpi xmlns:a14="http://schemas.microsoft.com/office/drawing/2010/main" val="0"/>
                        </a:ext>
                      </a:extLst>
                    </a:blip>
                    <a:stretch>
                      <a:fillRect/>
                    </a:stretch>
                  </pic:blipFill>
                  <pic:spPr>
                    <a:xfrm>
                      <a:off x="0" y="0"/>
                      <a:ext cx="6120765" cy="4038600"/>
                    </a:xfrm>
                    <a:prstGeom prst="rect">
                      <a:avLst/>
                    </a:prstGeom>
                    <a:ln w="38100">
                      <a:noFill/>
                    </a:ln>
                  </pic:spPr>
                </pic:pic>
              </a:graphicData>
            </a:graphic>
          </wp:inline>
        </w:drawing>
      </w:r>
    </w:p>
    <w:p>
      <w:pPr>
        <w:pStyle w:val="CorpoAltF0"/>
      </w:pPr>
    </w:p>
    <w:p>
      <w:pPr>
        <w:pStyle w:val="CorpoAltF0"/>
      </w:pPr>
      <w:r>
        <w:t>Pertanto, la retribuzione relativa a ciascun periodo evidenziato distintamente nella sezione “</w:t>
      </w:r>
      <w:r>
        <w:rPr>
          <w:i/>
        </w:rPr>
        <w:t>Progressivi &gt; INAIL</w:t>
      </w:r>
      <w:r>
        <w:t xml:space="preserve">” di </w:t>
      </w:r>
      <w:r>
        <w:rPr>
          <w:b/>
        </w:rPr>
        <w:t>DIPE</w:t>
      </w:r>
      <w:r>
        <w:t xml:space="preserve"> (cedolini fiscali / aggiuntivi) con posizione assicurativa dipendente 45, verrà computata con la corrispondente sigla fra le retribuzioni parzialmente esenti.</w:t>
      </w:r>
    </w:p>
    <w:p>
      <w:pPr>
        <w:pStyle w:val="CorpoAltF0"/>
        <w:spacing w:before="120"/>
      </w:pPr>
      <w:r>
        <w:t>Va precisato che, in presenza di proroga o trasformazione in corso di mese che non ha determinato un cambio della posizione assicurativa del dipendente (agevolazione spettante sia prima che dopo la proroga/trasformazione), la retribuzione del mese interessato non risulta suddivisa all’interno dei “</w:t>
      </w:r>
      <w:r>
        <w:rPr>
          <w:i/>
        </w:rPr>
        <w:t>Progressivi &gt; INAIL</w:t>
      </w:r>
      <w:r>
        <w:t>” del dipendente.</w:t>
      </w:r>
    </w:p>
    <w:p>
      <w:pPr>
        <w:pStyle w:val="CorpoAltF0"/>
      </w:pPr>
      <w:r>
        <w:t>In tal caso, l’intera retribuzione del mese verrà riportata nelle retribuzioni parzialmente esenti con la sigla corrispondente al periodo successivo la proroga/trasformazione.</w:t>
      </w:r>
    </w:p>
    <w:p>
      <w:pPr>
        <w:pStyle w:val="CorpoAltF0"/>
        <w:rPr>
          <w:highlight w:val="yellow"/>
        </w:rPr>
      </w:pPr>
      <w:r>
        <w:rPr>
          <w:highlight w:val="yellow"/>
        </w:rPr>
        <w:br w:type="page"/>
      </w:r>
    </w:p>
    <w:p>
      <w:pPr>
        <w:pStyle w:val="TS-titolo-04"/>
      </w:pPr>
      <w:bookmarkStart w:id="81" w:name="_Toc345687930"/>
      <w:bookmarkStart w:id="82" w:name="_Toc471235867"/>
      <w:bookmarkStart w:id="83" w:name="_Toc6329833"/>
      <w:r>
        <w:lastRenderedPageBreak/>
        <w:t>Appendice 4: Correlazione Basi di calcolo / Gestione 10SM</w:t>
      </w:r>
      <w:bookmarkEnd w:id="81"/>
      <w:bookmarkEnd w:id="82"/>
      <w:bookmarkEnd w:id="83"/>
    </w:p>
    <w:p>
      <w:pPr>
        <w:pStyle w:val="CorpoAltF0"/>
        <w:spacing w:before="120"/>
      </w:pPr>
      <w:r>
        <w:t xml:space="preserve">In questa sezione vengono forniti alcuni esempi per compilare le pagine di gestione dell’autoliquidazione INAIL partendo dalle basi di calcolo fornite dall’INAIL (basi di calcolo INAIL con corrispondente posizione dei dati nelle pagine di gestione di </w:t>
      </w:r>
      <w:proofErr w:type="spellStart"/>
      <w:r>
        <w:t>Gecom</w:t>
      </w:r>
      <w:proofErr w:type="spellEnd"/>
      <w:r>
        <w:t>-Paghe).</w:t>
      </w:r>
    </w:p>
    <w:p>
      <w:pPr>
        <w:pStyle w:val="CorpoAltF0"/>
        <w:spacing w:before="60"/>
      </w:pPr>
      <w:r>
        <w:t xml:space="preserve">Si precisa che alcuni dati (tasso Inail per regolazione e rata, </w:t>
      </w:r>
      <w:r>
        <w:rPr>
          <w:i/>
        </w:rPr>
        <w:t>flag</w:t>
      </w:r>
      <w:r>
        <w:t xml:space="preserve"> applicazione riduzione L. 147/13 e </w:t>
      </w:r>
      <w:proofErr w:type="spellStart"/>
      <w:r>
        <w:t>addiz</w:t>
      </w:r>
      <w:proofErr w:type="spellEnd"/>
      <w:r>
        <w:t xml:space="preserve">. amianto nonché dati relativi ai soci artigiani) possono essere aggiornati automaticamente nella procedura PAGHE mediante importazione del file delle basi di calcolo fornito dall’INAIL (v. pag. </w:t>
      </w:r>
      <w:r>
        <w:fldChar w:fldCharType="begin"/>
      </w:r>
      <w:r>
        <w:instrText xml:space="preserve"> PAGEREF AGGTAS \h </w:instrText>
      </w:r>
      <w:r>
        <w:fldChar w:fldCharType="separate"/>
      </w:r>
      <w:r>
        <w:rPr>
          <w:noProof/>
        </w:rPr>
        <w:t>12</w:t>
      </w:r>
      <w:r>
        <w:fldChar w:fldCharType="end"/>
      </w:r>
      <w:r>
        <w:t xml:space="preserve">, comando </w:t>
      </w:r>
      <w:r>
        <w:rPr>
          <w:b/>
        </w:rPr>
        <w:t>AGGTAS</w:t>
      </w:r>
      <w:r>
        <w:t>).</w:t>
      </w:r>
    </w:p>
    <w:p>
      <w:pPr>
        <w:pStyle w:val="CorpoAltF0"/>
        <w:spacing w:before="60"/>
      </w:pPr>
      <w:r>
        <w:t>Di seguito si riporta il modello delle basi di calcolo INAIL, con alcuni riferimenti al programma Paghe:</w:t>
      </w:r>
    </w:p>
    <w:p>
      <w:pPr>
        <w:pStyle w:val="CorpoAltF0"/>
        <w:pBdr>
          <w:top w:val="single" w:sz="4" w:space="1" w:color="A6A6A6" w:themeColor="background1" w:themeShade="A6"/>
          <w:left w:val="single" w:sz="4" w:space="4" w:color="A6A6A6" w:themeColor="background1" w:themeShade="A6"/>
          <w:right w:val="single" w:sz="4" w:space="4" w:color="A6A6A6" w:themeColor="background1" w:themeShade="A6"/>
        </w:pBdr>
        <w:spacing w:before="80"/>
        <w:jc w:val="left"/>
        <w:rPr>
          <w:noProof/>
          <w:highlight w:val="yellow"/>
        </w:rPr>
      </w:pPr>
    </w:p>
    <w:p>
      <w:pPr>
        <w:pStyle w:val="CorpoAltF0"/>
        <w:pBdr>
          <w:top w:val="single" w:sz="4" w:space="1" w:color="A6A6A6" w:themeColor="background1" w:themeShade="A6"/>
          <w:left w:val="single" w:sz="4" w:space="4" w:color="A6A6A6" w:themeColor="background1" w:themeShade="A6"/>
          <w:right w:val="single" w:sz="4" w:space="4" w:color="A6A6A6" w:themeColor="background1" w:themeShade="A6"/>
        </w:pBdr>
        <w:jc w:val="center"/>
        <w:rPr>
          <w:noProof/>
        </w:rPr>
      </w:pPr>
      <w:r>
        <w:rPr>
          <w:noProof/>
        </w:rPr>
        <w:drawing>
          <wp:inline distT="0" distB="0" distL="0" distR="0">
            <wp:extent cx="5400000" cy="1829692"/>
            <wp:effectExtent l="0" t="0" r="0" b="0"/>
            <wp:docPr id="106" name="Immagin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400000" cy="1829692"/>
                    </a:xfrm>
                    <a:prstGeom prst="rect">
                      <a:avLst/>
                    </a:prstGeom>
                  </pic:spPr>
                </pic:pic>
              </a:graphicData>
            </a:graphic>
          </wp:inline>
        </w:drawing>
      </w:r>
    </w:p>
    <w:p>
      <w:pPr>
        <w:pStyle w:val="CorpoAltF0"/>
        <w:pBdr>
          <w:top w:val="single" w:sz="4" w:space="1" w:color="A6A6A6" w:themeColor="background1" w:themeShade="A6"/>
          <w:left w:val="single" w:sz="4" w:space="4" w:color="A6A6A6" w:themeColor="background1" w:themeShade="A6"/>
          <w:right w:val="single" w:sz="4" w:space="4" w:color="A6A6A6" w:themeColor="background1" w:themeShade="A6"/>
        </w:pBdr>
        <w:jc w:val="center"/>
        <w:rPr>
          <w:noProof/>
        </w:rPr>
      </w:pPr>
      <w:r>
        <w:rPr>
          <w:noProof/>
        </w:rPr>
        <w:drawing>
          <wp:inline distT="0" distB="0" distL="0" distR="0">
            <wp:extent cx="5400000" cy="1094678"/>
            <wp:effectExtent l="0" t="0" r="0" b="0"/>
            <wp:docPr id="107" name="Immagin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400000" cy="1094678"/>
                    </a:xfrm>
                    <a:prstGeom prst="rect">
                      <a:avLst/>
                    </a:prstGeom>
                  </pic:spPr>
                </pic:pic>
              </a:graphicData>
            </a:graphic>
          </wp:inline>
        </w:drawing>
      </w:r>
    </w:p>
    <w:p>
      <w:pPr>
        <w:pStyle w:val="CorpoAltF0"/>
        <w:pBdr>
          <w:top w:val="single" w:sz="4" w:space="1" w:color="A6A6A6" w:themeColor="background1" w:themeShade="A6"/>
          <w:left w:val="single" w:sz="4" w:space="4" w:color="A6A6A6" w:themeColor="background1" w:themeShade="A6"/>
          <w:right w:val="single" w:sz="4" w:space="4" w:color="A6A6A6" w:themeColor="background1" w:themeShade="A6"/>
        </w:pBdr>
        <w:jc w:val="center"/>
        <w:rPr>
          <w:noProof/>
        </w:rPr>
      </w:pPr>
      <w:r>
        <w:rPr>
          <w:noProof/>
        </w:rPr>
        <w:drawing>
          <wp:inline distT="0" distB="0" distL="0" distR="0">
            <wp:extent cx="5400000" cy="1832493"/>
            <wp:effectExtent l="0" t="0" r="0" b="0"/>
            <wp:docPr id="108" name="Immagin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400000" cy="1832493"/>
                    </a:xfrm>
                    <a:prstGeom prst="rect">
                      <a:avLst/>
                    </a:prstGeom>
                  </pic:spPr>
                </pic:pic>
              </a:graphicData>
            </a:graphic>
          </wp:inline>
        </w:drawing>
      </w:r>
    </w:p>
    <w:p>
      <w:pPr>
        <w:pStyle w:val="CorpoAltF0"/>
        <w:pBdr>
          <w:top w:val="single" w:sz="4" w:space="1" w:color="A6A6A6" w:themeColor="background1" w:themeShade="A6"/>
          <w:left w:val="single" w:sz="4" w:space="4" w:color="A6A6A6" w:themeColor="background1" w:themeShade="A6"/>
          <w:right w:val="single" w:sz="4" w:space="4" w:color="A6A6A6" w:themeColor="background1" w:themeShade="A6"/>
        </w:pBdr>
        <w:jc w:val="center"/>
        <w:rPr>
          <w:noProof/>
        </w:rPr>
      </w:pPr>
      <w:r>
        <w:rPr>
          <w:noProof/>
        </w:rPr>
        <w:drawing>
          <wp:inline distT="0" distB="0" distL="0" distR="0">
            <wp:extent cx="5400000" cy="950700"/>
            <wp:effectExtent l="0" t="0" r="0" b="1905"/>
            <wp:docPr id="109" name="Immagin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400000" cy="950700"/>
                    </a:xfrm>
                    <a:prstGeom prst="rect">
                      <a:avLst/>
                    </a:prstGeom>
                  </pic:spPr>
                </pic:pic>
              </a:graphicData>
            </a:graphic>
          </wp:inline>
        </w:drawing>
      </w:r>
    </w:p>
    <w:p>
      <w:pPr>
        <w:pStyle w:val="CorpoAltF0"/>
        <w:pBdr>
          <w:top w:val="single" w:sz="4" w:space="1" w:color="A6A6A6" w:themeColor="background1" w:themeShade="A6"/>
          <w:left w:val="single" w:sz="4" w:space="4" w:color="A6A6A6" w:themeColor="background1" w:themeShade="A6"/>
          <w:right w:val="single" w:sz="4" w:space="4" w:color="A6A6A6" w:themeColor="background1" w:themeShade="A6"/>
        </w:pBdr>
        <w:jc w:val="center"/>
        <w:rPr>
          <w:noProof/>
        </w:rPr>
      </w:pPr>
      <w:r>
        <w:rPr>
          <w:noProof/>
        </w:rPr>
        <w:drawing>
          <wp:inline distT="0" distB="0" distL="0" distR="0">
            <wp:extent cx="5400000" cy="1295798"/>
            <wp:effectExtent l="0" t="0" r="0" b="0"/>
            <wp:docPr id="110" name="Immagin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400000" cy="1295798"/>
                    </a:xfrm>
                    <a:prstGeom prst="rect">
                      <a:avLst/>
                    </a:prstGeom>
                  </pic:spPr>
                </pic:pic>
              </a:graphicData>
            </a:graphic>
          </wp:inline>
        </w:drawing>
      </w:r>
    </w:p>
    <w:p>
      <w:pPr>
        <w:pStyle w:val="CorpoAltF0"/>
        <w:pBdr>
          <w:left w:val="single" w:sz="4" w:space="4" w:color="A6A6A6" w:themeColor="background1" w:themeShade="A6"/>
          <w:bottom w:val="single" w:sz="4" w:space="1" w:color="A6A6A6" w:themeColor="background1" w:themeShade="A6"/>
          <w:right w:val="single" w:sz="4" w:space="4" w:color="A6A6A6" w:themeColor="background1" w:themeShade="A6"/>
        </w:pBdr>
        <w:jc w:val="left"/>
        <w:rPr>
          <w:noProof/>
          <w:sz w:val="16"/>
          <w:szCs w:val="16"/>
          <w:highlight w:val="yellow"/>
        </w:rPr>
      </w:pPr>
    </w:p>
    <w:p>
      <w:pPr>
        <w:pStyle w:val="CorpoAltF0"/>
        <w:rPr>
          <w:highlight w:val="yellow"/>
        </w:rPr>
      </w:pPr>
      <w:r>
        <w:rPr>
          <w:highlight w:val="yellow"/>
        </w:rPr>
        <w:br w:type="page"/>
      </w:r>
    </w:p>
    <w:p>
      <w:pPr>
        <w:pStyle w:val="CorpoAltF0"/>
        <w:rPr>
          <w:highlight w:val="yellow"/>
        </w:rPr>
      </w:pPr>
    </w:p>
    <w:p>
      <w:pPr>
        <w:pStyle w:val="CorpoAltF0"/>
      </w:pPr>
      <w:r>
        <w:rPr>
          <w:b/>
        </w:rPr>
        <w:t>AZIE</w:t>
      </w:r>
      <w:r>
        <w:t xml:space="preserve"> &gt; scheda “</w:t>
      </w:r>
      <w:r>
        <w:rPr>
          <w:i/>
        </w:rPr>
        <w:t>Inail</w:t>
      </w:r>
      <w:r>
        <w:t>” &gt; Posizione assicurativa</w:t>
      </w:r>
    </w:p>
    <w:p>
      <w:pPr>
        <w:pStyle w:val="CorpoAltF0"/>
        <w:spacing w:before="120"/>
        <w:jc w:val="center"/>
      </w:pPr>
      <w:r>
        <w:rPr>
          <w:noProof/>
        </w:rPr>
        <w:drawing>
          <wp:inline distT="0" distB="0" distL="0" distR="0">
            <wp:extent cx="6120765" cy="2995295"/>
            <wp:effectExtent l="0" t="0" r="0" b="0"/>
            <wp:docPr id="111" name="Immagin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120765" cy="2995295"/>
                    </a:xfrm>
                    <a:prstGeom prst="rect">
                      <a:avLst/>
                    </a:prstGeom>
                  </pic:spPr>
                </pic:pic>
              </a:graphicData>
            </a:graphic>
          </wp:inline>
        </w:drawing>
      </w:r>
    </w:p>
    <w:p>
      <w:pPr>
        <w:pStyle w:val="CorpoAltF0"/>
      </w:pPr>
    </w:p>
    <w:p>
      <w:pPr>
        <w:pStyle w:val="CorpoAltF0"/>
      </w:pPr>
    </w:p>
    <w:p>
      <w:pPr>
        <w:pStyle w:val="CorpoAltF0"/>
      </w:pPr>
    </w:p>
    <w:p>
      <w:pPr>
        <w:pStyle w:val="CorpoAltF0"/>
      </w:pPr>
      <w:r>
        <w:rPr>
          <w:b/>
        </w:rPr>
        <w:t>AZIE</w:t>
      </w:r>
      <w:r>
        <w:t xml:space="preserve"> &gt; scheda “</w:t>
      </w:r>
      <w:r>
        <w:rPr>
          <w:i/>
        </w:rPr>
        <w:t>Inail</w:t>
      </w:r>
      <w:r>
        <w:t>” &gt; Posizione assicurativa &gt; pulsante “</w:t>
      </w:r>
      <w:r>
        <w:rPr>
          <w:i/>
        </w:rPr>
        <w:t>Funzioni&gt;Soci</w:t>
      </w:r>
      <w:r>
        <w:t>”</w:t>
      </w:r>
    </w:p>
    <w:p>
      <w:pPr>
        <w:pStyle w:val="CorpoAltF0"/>
        <w:spacing w:before="120"/>
        <w:jc w:val="center"/>
        <w:rPr>
          <w:noProof/>
        </w:rPr>
      </w:pPr>
      <w:r>
        <w:rPr>
          <w:noProof/>
        </w:rPr>
        <w:drawing>
          <wp:inline distT="0" distB="0" distL="0" distR="0">
            <wp:extent cx="5760000" cy="2402838"/>
            <wp:effectExtent l="0" t="0" r="0" b="0"/>
            <wp:docPr id="118" name="Immagin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0000" cy="2402838"/>
                    </a:xfrm>
                    <a:prstGeom prst="rect">
                      <a:avLst/>
                    </a:prstGeom>
                  </pic:spPr>
                </pic:pic>
              </a:graphicData>
            </a:graphic>
          </wp:inline>
        </w:drawing>
      </w:r>
    </w:p>
    <w:p>
      <w:pPr>
        <w:pStyle w:val="CorpoAltF0"/>
        <w:rPr>
          <w:noProof/>
        </w:rPr>
      </w:pPr>
    </w:p>
    <w:p>
      <w:pPr>
        <w:pStyle w:val="CorpoAltF0"/>
      </w:pPr>
      <w:r>
        <w:br w:type="page"/>
      </w:r>
    </w:p>
    <w:p>
      <w:pPr>
        <w:pStyle w:val="CorpoAltF0"/>
      </w:pPr>
    </w:p>
    <w:p>
      <w:pPr>
        <w:pStyle w:val="CorpoAltF0"/>
      </w:pPr>
      <w:r>
        <w:rPr>
          <w:b/>
        </w:rPr>
        <w:t>10SM</w:t>
      </w:r>
      <w:r>
        <w:t xml:space="preserve"> &gt; 1–</w:t>
      </w:r>
      <w:r>
        <w:rPr>
          <w:i/>
        </w:rPr>
        <w:t>Gestione liquidazioni</w:t>
      </w:r>
      <w:r>
        <w:t xml:space="preserve"> &gt; 1–</w:t>
      </w:r>
      <w:r>
        <w:rPr>
          <w:i/>
        </w:rPr>
        <w:t>Gestione PAT</w:t>
      </w:r>
      <w:r>
        <w:t xml:space="preserve"> &gt; 2–</w:t>
      </w:r>
      <w:r>
        <w:rPr>
          <w:i/>
        </w:rPr>
        <w:t>Tasso Inail e periodi</w:t>
      </w:r>
    </w:p>
    <w:p>
      <w:pPr>
        <w:pStyle w:val="CorpoAltF0"/>
        <w:spacing w:before="120"/>
        <w:jc w:val="center"/>
      </w:pPr>
      <w:r>
        <w:rPr>
          <w:noProof/>
        </w:rPr>
        <w:drawing>
          <wp:inline distT="0" distB="0" distL="0" distR="0">
            <wp:extent cx="5760000" cy="2907190"/>
            <wp:effectExtent l="0" t="0" r="0" b="7620"/>
            <wp:docPr id="119" name="Immagin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60000" cy="2907190"/>
                    </a:xfrm>
                    <a:prstGeom prst="rect">
                      <a:avLst/>
                    </a:prstGeom>
                  </pic:spPr>
                </pic:pic>
              </a:graphicData>
            </a:graphic>
          </wp:inline>
        </w:drawing>
      </w:r>
    </w:p>
    <w:p>
      <w:pPr>
        <w:pStyle w:val="CorpoAltF0"/>
      </w:pPr>
    </w:p>
    <w:p>
      <w:pPr>
        <w:pStyle w:val="CorpoAltF0"/>
      </w:pPr>
    </w:p>
    <w:p>
      <w:pPr>
        <w:pStyle w:val="CorpoAltF0"/>
      </w:pPr>
      <w:r>
        <w:rPr>
          <w:b/>
        </w:rPr>
        <w:t>10SM</w:t>
      </w:r>
      <w:r>
        <w:t xml:space="preserve"> &gt; 1–</w:t>
      </w:r>
      <w:r>
        <w:rPr>
          <w:i/>
        </w:rPr>
        <w:t>Gestione liquidazioni</w:t>
      </w:r>
      <w:r>
        <w:t xml:space="preserve"> &gt; 1–</w:t>
      </w:r>
      <w:r>
        <w:rPr>
          <w:i/>
        </w:rPr>
        <w:t>Gestione PAT</w:t>
      </w:r>
      <w:r>
        <w:t xml:space="preserve"> &gt; 3–</w:t>
      </w:r>
      <w:r>
        <w:rPr>
          <w:i/>
        </w:rPr>
        <w:t>Composizione nucleo artigiano</w:t>
      </w:r>
    </w:p>
    <w:p>
      <w:pPr>
        <w:pStyle w:val="CorpoAltF0"/>
        <w:spacing w:before="120"/>
        <w:jc w:val="center"/>
      </w:pPr>
      <w:r>
        <w:rPr>
          <w:noProof/>
        </w:rPr>
        <w:drawing>
          <wp:inline distT="0" distB="0" distL="0" distR="0">
            <wp:extent cx="5760000" cy="2101662"/>
            <wp:effectExtent l="0" t="0" r="0" b="0"/>
            <wp:docPr id="120" name="Immagin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60000" cy="2101662"/>
                    </a:xfrm>
                    <a:prstGeom prst="rect">
                      <a:avLst/>
                    </a:prstGeom>
                  </pic:spPr>
                </pic:pic>
              </a:graphicData>
            </a:graphic>
          </wp:inline>
        </w:drawing>
      </w:r>
    </w:p>
    <w:p>
      <w:pPr>
        <w:pStyle w:val="CorpoAltF0"/>
      </w:pPr>
    </w:p>
    <w:p>
      <w:pPr>
        <w:pStyle w:val="CorpoAltF0"/>
      </w:pPr>
    </w:p>
    <w:p>
      <w:pPr>
        <w:pStyle w:val="CorpoAltF0"/>
      </w:pPr>
      <w:r>
        <w:rPr>
          <w:b/>
        </w:rPr>
        <w:t>10SM</w:t>
      </w:r>
      <w:r>
        <w:t xml:space="preserve"> &gt; 1–</w:t>
      </w:r>
      <w:r>
        <w:rPr>
          <w:i/>
        </w:rPr>
        <w:t>Gestione liquidazioni</w:t>
      </w:r>
      <w:r>
        <w:t xml:space="preserve"> &gt; 1–</w:t>
      </w:r>
      <w:r>
        <w:rPr>
          <w:i/>
        </w:rPr>
        <w:t>Gestione PAT</w:t>
      </w:r>
      <w:r>
        <w:t xml:space="preserve"> &gt; 4–</w:t>
      </w:r>
      <w:r>
        <w:rPr>
          <w:i/>
        </w:rPr>
        <w:t>Denuncia delle retribuzioni corrisposte</w:t>
      </w:r>
    </w:p>
    <w:p>
      <w:pPr>
        <w:pStyle w:val="CorpoAltF0"/>
        <w:spacing w:before="120"/>
        <w:jc w:val="center"/>
        <w:rPr>
          <w:bCs/>
        </w:rPr>
      </w:pPr>
      <w:r>
        <w:rPr>
          <w:noProof/>
        </w:rPr>
        <w:drawing>
          <wp:inline distT="0" distB="0" distL="0" distR="0">
            <wp:extent cx="5760000" cy="2312007"/>
            <wp:effectExtent l="0" t="0" r="0" b="0"/>
            <wp:docPr id="124" name="Immagin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60000" cy="2312007"/>
                    </a:xfrm>
                    <a:prstGeom prst="rect">
                      <a:avLst/>
                    </a:prstGeom>
                  </pic:spPr>
                </pic:pic>
              </a:graphicData>
            </a:graphic>
          </wp:inline>
        </w:drawing>
      </w:r>
    </w:p>
    <w:p>
      <w:pPr>
        <w:pStyle w:val="CorpoAltF0"/>
      </w:pPr>
      <w:r>
        <w:br w:type="page"/>
      </w:r>
    </w:p>
    <w:p>
      <w:pPr>
        <w:pStyle w:val="CorpoAltF0"/>
      </w:pPr>
    </w:p>
    <w:p>
      <w:pPr>
        <w:pStyle w:val="CorpoAltF0"/>
        <w:rPr>
          <w:i/>
        </w:rPr>
      </w:pPr>
      <w:r>
        <w:rPr>
          <w:b/>
        </w:rPr>
        <w:t>10SM</w:t>
      </w:r>
      <w:r>
        <w:t xml:space="preserve"> &gt; 1–</w:t>
      </w:r>
      <w:r>
        <w:rPr>
          <w:i/>
        </w:rPr>
        <w:t>Gestione liquidazioni</w:t>
      </w:r>
      <w:r>
        <w:t xml:space="preserve"> &gt; 2–</w:t>
      </w:r>
      <w:r>
        <w:rPr>
          <w:i/>
        </w:rPr>
        <w:t>Gestione contributi associativi</w:t>
      </w:r>
    </w:p>
    <w:p>
      <w:pPr>
        <w:pStyle w:val="CorpoAltF0"/>
        <w:spacing w:before="120"/>
        <w:jc w:val="center"/>
      </w:pPr>
      <w:r>
        <w:rPr>
          <w:noProof/>
        </w:rPr>
        <w:drawing>
          <wp:inline distT="0" distB="0" distL="0" distR="0">
            <wp:extent cx="5760000" cy="3182073"/>
            <wp:effectExtent l="0" t="0" r="0" b="0"/>
            <wp:docPr id="128" name="Immagin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60000" cy="3182073"/>
                    </a:xfrm>
                    <a:prstGeom prst="rect">
                      <a:avLst/>
                    </a:prstGeom>
                  </pic:spPr>
                </pic:pic>
              </a:graphicData>
            </a:graphic>
          </wp:inline>
        </w:drawing>
      </w:r>
    </w:p>
    <w:p>
      <w:pPr>
        <w:pStyle w:val="CorpoAltF0"/>
        <w:rPr>
          <w:highlight w:val="yellow"/>
        </w:rPr>
      </w:pPr>
      <w:r>
        <w:rPr>
          <w:highlight w:val="yellow"/>
        </w:rPr>
        <w:br w:type="page"/>
      </w:r>
    </w:p>
    <w:p>
      <w:pPr>
        <w:pStyle w:val="CorpoAltF0"/>
        <w:rPr>
          <w:highlight w:val="yellow"/>
        </w:rPr>
      </w:pPr>
    </w:p>
    <w:p>
      <w:pPr>
        <w:pStyle w:val="TS-titolo-04"/>
      </w:pPr>
      <w:bookmarkStart w:id="84" w:name="_Toc471235869"/>
      <w:bookmarkStart w:id="85" w:name="_Toc6329834"/>
      <w:r>
        <w:t>Stampe autoliquidazione</w:t>
      </w:r>
      <w:bookmarkEnd w:id="84"/>
      <w:bookmarkEnd w:id="85"/>
      <w:r>
        <w:t xml:space="preserve"> </w:t>
      </w:r>
    </w:p>
    <w:p>
      <w:pPr>
        <w:pStyle w:val="TS-titolo-05"/>
      </w:pPr>
      <w:bookmarkStart w:id="86" w:name="_Toc471235870"/>
      <w:bookmarkStart w:id="87" w:name="_Toc6329835"/>
      <w:r>
        <w:t>Stampa modello su carta bianca</w:t>
      </w:r>
      <w:bookmarkEnd w:id="86"/>
      <w:bookmarkEnd w:id="87"/>
    </w:p>
    <w:p>
      <w:pPr>
        <w:pStyle w:val="CorpoAltF0"/>
        <w:spacing w:before="120"/>
      </w:pPr>
      <w:r>
        <w:t>La scelta 7 “</w:t>
      </w:r>
      <w:r>
        <w:rPr>
          <w:i/>
        </w:rPr>
        <w:t>Stampa modello su carta bianca”</w:t>
      </w:r>
      <w:r>
        <w:t xml:space="preserve"> del comando </w:t>
      </w:r>
      <w:r>
        <w:rPr>
          <w:b/>
        </w:rPr>
        <w:t>10SM</w:t>
      </w:r>
      <w:r>
        <w:t xml:space="preserve"> esegue la stampa dei dati contenuti nel modello con la stessa struttura del modello disposta su due colonne. La stampa veniva richiesta in allegato al supporto magnetico (il supporto magnetico non è più previsto fra le modalità di presentazione della denuncia).</w:t>
      </w:r>
    </w:p>
    <w:p>
      <w:pPr>
        <w:pStyle w:val="CorpoAltF0"/>
        <w:rPr>
          <w:highlight w:val="yellow"/>
        </w:rPr>
      </w:pPr>
    </w:p>
    <w:p>
      <w:pPr>
        <w:pStyle w:val="CorpoAltF0"/>
        <w:rPr>
          <w:highlight w:val="yellow"/>
        </w:rPr>
      </w:pPr>
    </w:p>
    <w:p>
      <w:pPr>
        <w:pStyle w:val="TS-titolo-05"/>
      </w:pPr>
      <w:bookmarkStart w:id="88" w:name="_Toc471235871"/>
      <w:bookmarkStart w:id="89" w:name="_Toc6329836"/>
      <w:r>
        <w:t>Stampa lettere (10SM &gt; scelta 5)</w:t>
      </w:r>
      <w:bookmarkEnd w:id="88"/>
      <w:bookmarkEnd w:id="89"/>
    </w:p>
    <w:p>
      <w:pPr>
        <w:pStyle w:val="CorpoAltF0"/>
        <w:spacing w:before="120"/>
      </w:pPr>
      <w:r>
        <w:t>La scelta 5 “</w:t>
      </w:r>
      <w:r>
        <w:rPr>
          <w:i/>
        </w:rPr>
        <w:t>Stampa lettere</w:t>
      </w:r>
      <w:r>
        <w:t xml:space="preserve">” del comando </w:t>
      </w:r>
      <w:r>
        <w:rPr>
          <w:b/>
        </w:rPr>
        <w:t>10SM</w:t>
      </w:r>
      <w:r>
        <w:t xml:space="preserve"> permette di stampare le lettere per la registrazione contabile dei dati Inail, per PAT o per azienda, nonché la lettera sconto edili. </w:t>
      </w:r>
    </w:p>
    <w:p>
      <w:pPr>
        <w:pStyle w:val="CorpoAltF0"/>
        <w:spacing w:before="120"/>
        <w:jc w:val="center"/>
        <w:rPr>
          <w:noProof/>
          <w:highlight w:val="yellow"/>
        </w:rPr>
      </w:pPr>
      <w:r>
        <w:rPr>
          <w:noProof/>
        </w:rPr>
        <w:drawing>
          <wp:inline distT="0" distB="0" distL="0" distR="0">
            <wp:extent cx="5760000" cy="2328142"/>
            <wp:effectExtent l="0" t="0" r="0" b="0"/>
            <wp:docPr id="171" name="Immagin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60000" cy="2328142"/>
                    </a:xfrm>
                    <a:prstGeom prst="rect">
                      <a:avLst/>
                    </a:prstGeom>
                  </pic:spPr>
                </pic:pic>
              </a:graphicData>
            </a:graphic>
          </wp:inline>
        </w:drawing>
      </w:r>
    </w:p>
    <w:p>
      <w:pPr>
        <w:pStyle w:val="CorpoAltF0"/>
      </w:pPr>
    </w:p>
    <w:p>
      <w:pPr>
        <w:pStyle w:val="CorpoAltF0"/>
      </w:pPr>
      <w:r>
        <w:t>Le stampe in oggetto sono disponibili anche in formato RTF; vengono generate sulla base dei modelli di seguito elencati memorizzati nella cartella \EPAGHE\</w:t>
      </w:r>
      <w:proofErr w:type="spellStart"/>
      <w:r>
        <w:t>rtf</w:t>
      </w:r>
      <w:proofErr w:type="spellEnd"/>
      <w:r>
        <w:t>. L’utente può modificare tali modelli o predisporne altri da collegare nei relativi campi della tabella “</w:t>
      </w:r>
      <w:r>
        <w:rPr>
          <w:i/>
          <w:iCs/>
        </w:rPr>
        <w:t>Parametri modelli RTF</w:t>
      </w:r>
      <w:r>
        <w:t>” (</w:t>
      </w:r>
      <w:r>
        <w:rPr>
          <w:b/>
          <w:bCs/>
        </w:rPr>
        <w:t>TB1213</w:t>
      </w:r>
      <w:r>
        <w:t>).</w:t>
      </w:r>
    </w:p>
    <w:p>
      <w:pPr>
        <w:pStyle w:val="CorpoAltF0"/>
      </w:pPr>
    </w:p>
    <w:tbl>
      <w:tblPr>
        <w:tblW w:w="0" w:type="auto"/>
        <w:tblLook w:val="04A0" w:firstRow="1" w:lastRow="0" w:firstColumn="1" w:lastColumn="0" w:noHBand="0" w:noVBand="1"/>
      </w:tblPr>
      <w:tblGrid>
        <w:gridCol w:w="1672"/>
        <w:gridCol w:w="7967"/>
      </w:tblGrid>
      <w:tr>
        <w:tc>
          <w:tcPr>
            <w:tcW w:w="1668" w:type="dxa"/>
            <w:tcMar>
              <w:top w:w="28" w:type="dxa"/>
              <w:bottom w:w="28" w:type="dxa"/>
            </w:tcMar>
          </w:tcPr>
          <w:p>
            <w:pPr>
              <w:pStyle w:val="CorpoAltF0"/>
            </w:pPr>
            <w:r>
              <w:t>10SMLETP.rtf:</w:t>
            </w:r>
          </w:p>
        </w:tc>
        <w:tc>
          <w:tcPr>
            <w:tcW w:w="8110" w:type="dxa"/>
            <w:tcMar>
              <w:top w:w="28" w:type="dxa"/>
              <w:bottom w:w="28" w:type="dxa"/>
            </w:tcMar>
          </w:tcPr>
          <w:p>
            <w:pPr>
              <w:pStyle w:val="CorpoAltF0"/>
            </w:pPr>
            <w:r>
              <w:t xml:space="preserve">lettera per PAT senza dettaglio importi collaboratori (scelta 5.1) </w:t>
            </w:r>
          </w:p>
        </w:tc>
      </w:tr>
      <w:tr>
        <w:tc>
          <w:tcPr>
            <w:tcW w:w="1668" w:type="dxa"/>
            <w:tcMar>
              <w:top w:w="28" w:type="dxa"/>
              <w:bottom w:w="28" w:type="dxa"/>
            </w:tcMar>
          </w:tcPr>
          <w:p>
            <w:pPr>
              <w:pStyle w:val="CorpoAltF0"/>
            </w:pPr>
            <w:r>
              <w:t>10SMLPDET.rtf:</w:t>
            </w:r>
          </w:p>
        </w:tc>
        <w:tc>
          <w:tcPr>
            <w:tcW w:w="8110" w:type="dxa"/>
            <w:tcMar>
              <w:top w:w="28" w:type="dxa"/>
              <w:bottom w:w="28" w:type="dxa"/>
            </w:tcMar>
          </w:tcPr>
          <w:p>
            <w:pPr>
              <w:pStyle w:val="CorpoAltF0"/>
            </w:pPr>
            <w:r>
              <w:t>lettera per PAT con dettaglio importi collaboratori (scelta 5.2)</w:t>
            </w:r>
          </w:p>
        </w:tc>
      </w:tr>
      <w:tr>
        <w:tc>
          <w:tcPr>
            <w:tcW w:w="1668" w:type="dxa"/>
            <w:tcMar>
              <w:top w:w="28" w:type="dxa"/>
              <w:bottom w:w="28" w:type="dxa"/>
            </w:tcMar>
          </w:tcPr>
          <w:p>
            <w:pPr>
              <w:pStyle w:val="CorpoAltF0"/>
            </w:pPr>
            <w:r>
              <w:t>10SMLETA.rtf:</w:t>
            </w:r>
          </w:p>
        </w:tc>
        <w:tc>
          <w:tcPr>
            <w:tcW w:w="8110" w:type="dxa"/>
            <w:tcMar>
              <w:top w:w="28" w:type="dxa"/>
              <w:bottom w:w="28" w:type="dxa"/>
            </w:tcMar>
          </w:tcPr>
          <w:p>
            <w:pPr>
              <w:pStyle w:val="CorpoAltF0"/>
            </w:pPr>
            <w:r>
              <w:t>lettera per azienda senza dettaglio importi dipendenti, soci, collaboratori (scelta 5.3)</w:t>
            </w:r>
          </w:p>
        </w:tc>
      </w:tr>
      <w:tr>
        <w:tc>
          <w:tcPr>
            <w:tcW w:w="1668" w:type="dxa"/>
            <w:tcMar>
              <w:top w:w="28" w:type="dxa"/>
              <w:bottom w:w="28" w:type="dxa"/>
            </w:tcMar>
          </w:tcPr>
          <w:p>
            <w:pPr>
              <w:pStyle w:val="CorpoAltF0"/>
            </w:pPr>
            <w:r>
              <w:t>10SMLADET.rtf:</w:t>
            </w:r>
          </w:p>
        </w:tc>
        <w:tc>
          <w:tcPr>
            <w:tcW w:w="8110" w:type="dxa"/>
            <w:tcMar>
              <w:top w:w="28" w:type="dxa"/>
              <w:bottom w:w="28" w:type="dxa"/>
            </w:tcMar>
          </w:tcPr>
          <w:p>
            <w:pPr>
              <w:pStyle w:val="CorpoAltF0"/>
            </w:pPr>
            <w:r>
              <w:t>lettera per azienda con dettaglio importi dipendenti, soci, collaboratori (scelta 5.4)</w:t>
            </w:r>
          </w:p>
        </w:tc>
      </w:tr>
      <w:tr>
        <w:tc>
          <w:tcPr>
            <w:tcW w:w="1668" w:type="dxa"/>
            <w:tcMar>
              <w:top w:w="28" w:type="dxa"/>
              <w:bottom w:w="28" w:type="dxa"/>
            </w:tcMar>
          </w:tcPr>
          <w:p>
            <w:pPr>
              <w:pStyle w:val="CorpoAltF0"/>
            </w:pPr>
            <w:r>
              <w:t>10SMLETE.rtf:</w:t>
            </w:r>
          </w:p>
        </w:tc>
        <w:tc>
          <w:tcPr>
            <w:tcW w:w="8110" w:type="dxa"/>
            <w:tcMar>
              <w:top w:w="28" w:type="dxa"/>
              <w:bottom w:w="28" w:type="dxa"/>
            </w:tcMar>
          </w:tcPr>
          <w:p>
            <w:pPr>
              <w:pStyle w:val="CorpoAltF0"/>
            </w:pPr>
            <w:r>
              <w:t xml:space="preserve">lettera sconto edili (scelta 5.5) </w:t>
            </w:r>
          </w:p>
        </w:tc>
      </w:tr>
    </w:tbl>
    <w:p>
      <w:pPr>
        <w:pStyle w:val="CorpoAltF0"/>
      </w:pPr>
    </w:p>
    <w:p>
      <w:pPr>
        <w:pStyle w:val="CorpoAltF0"/>
      </w:pPr>
      <w:r>
        <w:t xml:space="preserve">Con riferimento alla “Lettera per PAT senza dettaglio” in formato </w:t>
      </w:r>
      <w:proofErr w:type="spellStart"/>
      <w:r>
        <w:t>rtf</w:t>
      </w:r>
      <w:proofErr w:type="spellEnd"/>
      <w:r>
        <w:t xml:space="preserve"> (scelta 5.1) il programma utilizza un modello contenente il dettaglio delle retribuzioni esenti (10SMLETP.rtf). </w:t>
      </w:r>
    </w:p>
    <w:p>
      <w:pPr>
        <w:pStyle w:val="CorpoAltF0"/>
      </w:pPr>
      <w:r>
        <w:t xml:space="preserve">Nel caso in cui l’utente desideri stampare la lettera senza dettaglio delle riduzioni, è disponibile un secondo modello (10SMLETP2.rtf) da richiamare al campo 10SMP di tabella </w:t>
      </w:r>
      <w:r>
        <w:rPr>
          <w:b/>
        </w:rPr>
        <w:t>TB1213</w:t>
      </w:r>
      <w:r>
        <w:t xml:space="preserve"> “</w:t>
      </w:r>
      <w:r>
        <w:rPr>
          <w:i/>
        </w:rPr>
        <w:t>Parametri</w:t>
      </w:r>
      <w:r>
        <w:t xml:space="preserve"> </w:t>
      </w:r>
      <w:r>
        <w:rPr>
          <w:i/>
        </w:rPr>
        <w:t>modelli</w:t>
      </w:r>
      <w:r>
        <w:t xml:space="preserve"> </w:t>
      </w:r>
      <w:r>
        <w:rPr>
          <w:i/>
        </w:rPr>
        <w:t>RTF</w:t>
      </w:r>
      <w:r>
        <w:t>”.</w:t>
      </w:r>
    </w:p>
    <w:p>
      <w:pPr>
        <w:pStyle w:val="CorpoAltF0"/>
      </w:pPr>
    </w:p>
    <w:p>
      <w:pPr>
        <w:pStyle w:val="CorpoAltF0"/>
      </w:pPr>
      <w:r>
        <w:t>Nelle pagine successive vengono elencate le variabili disponibili per le lettere INAIL e il fac-simile proposto da Teamsystem.</w:t>
      </w:r>
    </w:p>
    <w:p>
      <w:pPr>
        <w:rPr>
          <w:rFonts w:ascii="Arial" w:hAnsi="Arial" w:cs="Arial"/>
          <w:sz w:val="20"/>
          <w:szCs w:val="20"/>
        </w:rPr>
      </w:pPr>
      <w:r>
        <w:br w:type="page"/>
      </w:r>
    </w:p>
    <w:p>
      <w:pPr>
        <w:pStyle w:val="CorpoAltF0"/>
      </w:pPr>
    </w:p>
    <w:tbl>
      <w:tblPr>
        <w:tblW w:w="91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20"/>
        <w:gridCol w:w="800"/>
        <w:gridCol w:w="408"/>
        <w:gridCol w:w="508"/>
        <w:gridCol w:w="4840"/>
      </w:tblGrid>
      <w:tr>
        <w:trPr>
          <w:trHeight w:val="255"/>
          <w:jc w:val="center"/>
        </w:trPr>
        <w:tc>
          <w:tcPr>
            <w:tcW w:w="2620" w:type="dxa"/>
            <w:noWrap/>
            <w:tcMar>
              <w:top w:w="15" w:type="dxa"/>
              <w:left w:w="15" w:type="dxa"/>
              <w:bottom w:w="0" w:type="dxa"/>
              <w:right w:w="15" w:type="dxa"/>
            </w:tcMar>
            <w:vAlign w:val="bottom"/>
          </w:tcPr>
          <w:p>
            <w:pPr>
              <w:pStyle w:val="CorpoAltF0"/>
              <w:ind w:left="109"/>
              <w:jc w:val="center"/>
              <w:rPr>
                <w:b/>
              </w:rPr>
            </w:pPr>
            <w:r>
              <w:rPr>
                <w:b/>
              </w:rPr>
              <w:t>NOME CAMPO</w:t>
            </w:r>
          </w:p>
        </w:tc>
        <w:tc>
          <w:tcPr>
            <w:tcW w:w="800" w:type="dxa"/>
            <w:noWrap/>
            <w:tcMar>
              <w:top w:w="15" w:type="dxa"/>
              <w:left w:w="15" w:type="dxa"/>
              <w:bottom w:w="0" w:type="dxa"/>
              <w:right w:w="15" w:type="dxa"/>
            </w:tcMar>
            <w:vAlign w:val="bottom"/>
          </w:tcPr>
          <w:p>
            <w:pPr>
              <w:pStyle w:val="CorpoAltF0"/>
              <w:jc w:val="center"/>
              <w:rPr>
                <w:b/>
              </w:rPr>
            </w:pPr>
            <w:r>
              <w:rPr>
                <w:b/>
              </w:rPr>
              <w:t>TIPO</w:t>
            </w:r>
          </w:p>
        </w:tc>
        <w:tc>
          <w:tcPr>
            <w:tcW w:w="408" w:type="dxa"/>
            <w:noWrap/>
            <w:tcMar>
              <w:top w:w="15" w:type="dxa"/>
              <w:left w:w="15" w:type="dxa"/>
              <w:bottom w:w="0" w:type="dxa"/>
              <w:right w:w="15" w:type="dxa"/>
            </w:tcMar>
            <w:vAlign w:val="bottom"/>
          </w:tcPr>
          <w:p>
            <w:pPr>
              <w:pStyle w:val="CorpoAltF0"/>
              <w:jc w:val="center"/>
              <w:rPr>
                <w:b/>
              </w:rPr>
            </w:pPr>
            <w:r>
              <w:rPr>
                <w:b/>
              </w:rPr>
              <w:t>INT.</w:t>
            </w:r>
          </w:p>
        </w:tc>
        <w:tc>
          <w:tcPr>
            <w:tcW w:w="508" w:type="dxa"/>
            <w:noWrap/>
            <w:tcMar>
              <w:top w:w="15" w:type="dxa"/>
              <w:left w:w="15" w:type="dxa"/>
              <w:bottom w:w="0" w:type="dxa"/>
              <w:right w:w="15" w:type="dxa"/>
            </w:tcMar>
            <w:vAlign w:val="bottom"/>
          </w:tcPr>
          <w:p>
            <w:pPr>
              <w:pStyle w:val="CorpoAltF0"/>
              <w:jc w:val="center"/>
              <w:rPr>
                <w:b/>
              </w:rPr>
            </w:pPr>
            <w:r>
              <w:rPr>
                <w:b/>
              </w:rPr>
              <w:t>DEC.</w:t>
            </w:r>
          </w:p>
        </w:tc>
        <w:tc>
          <w:tcPr>
            <w:tcW w:w="4840" w:type="dxa"/>
            <w:noWrap/>
            <w:tcMar>
              <w:top w:w="15" w:type="dxa"/>
              <w:left w:w="15" w:type="dxa"/>
              <w:bottom w:w="0" w:type="dxa"/>
              <w:right w:w="15" w:type="dxa"/>
            </w:tcMar>
            <w:vAlign w:val="bottom"/>
          </w:tcPr>
          <w:p>
            <w:pPr>
              <w:pStyle w:val="CorpoAltF0"/>
              <w:jc w:val="center"/>
              <w:rPr>
                <w:b/>
              </w:rPr>
            </w:pPr>
            <w:r>
              <w:rPr>
                <w:b/>
              </w:rPr>
              <w:t>DESCRIZIONE</w:t>
            </w:r>
          </w:p>
        </w:tc>
      </w:tr>
      <w:tr>
        <w:trPr>
          <w:trHeight w:val="255"/>
          <w:jc w:val="center"/>
        </w:trPr>
        <w:tc>
          <w:tcPr>
            <w:tcW w:w="2620" w:type="dxa"/>
            <w:noWrap/>
            <w:tcMar>
              <w:top w:w="15" w:type="dxa"/>
              <w:left w:w="15" w:type="dxa"/>
              <w:bottom w:w="0" w:type="dxa"/>
              <w:right w:w="15" w:type="dxa"/>
            </w:tcMar>
            <w:vAlign w:val="bottom"/>
          </w:tcPr>
          <w:p>
            <w:pPr>
              <w:pStyle w:val="CorpoAltF0"/>
              <w:ind w:left="109"/>
            </w:pPr>
            <w:r>
              <w:t>ANNO</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4</w:t>
            </w:r>
          </w:p>
        </w:tc>
        <w:tc>
          <w:tcPr>
            <w:tcW w:w="508" w:type="dxa"/>
            <w:noWrap/>
            <w:tcMar>
              <w:top w:w="15" w:type="dxa"/>
              <w:left w:w="15" w:type="dxa"/>
              <w:bottom w:w="0" w:type="dxa"/>
              <w:right w:w="15" w:type="dxa"/>
            </w:tcMar>
            <w:vAlign w:val="bottom"/>
          </w:tcPr>
          <w:p>
            <w:pPr>
              <w:pStyle w:val="CorpoAltF0"/>
              <w:jc w:val="center"/>
            </w:pPr>
          </w:p>
        </w:tc>
        <w:tc>
          <w:tcPr>
            <w:tcW w:w="4840" w:type="dxa"/>
            <w:noWrap/>
            <w:tcMar>
              <w:top w:w="15" w:type="dxa"/>
              <w:left w:w="15" w:type="dxa"/>
              <w:bottom w:w="0" w:type="dxa"/>
              <w:right w:w="15" w:type="dxa"/>
            </w:tcMar>
            <w:vAlign w:val="bottom"/>
          </w:tcPr>
          <w:p>
            <w:pPr>
              <w:pStyle w:val="CorpoAltF0"/>
              <w:ind w:left="109"/>
            </w:pPr>
            <w:r>
              <w:t>Anno denuncia</w:t>
            </w:r>
          </w:p>
        </w:tc>
      </w:tr>
      <w:tr>
        <w:trPr>
          <w:trHeight w:val="255"/>
          <w:jc w:val="center"/>
        </w:trPr>
        <w:tc>
          <w:tcPr>
            <w:tcW w:w="0" w:type="auto"/>
            <w:noWrap/>
            <w:tcMar>
              <w:top w:w="15" w:type="dxa"/>
              <w:left w:w="15" w:type="dxa"/>
              <w:bottom w:w="0" w:type="dxa"/>
              <w:right w:w="15" w:type="dxa"/>
            </w:tcMar>
            <w:vAlign w:val="bottom"/>
          </w:tcPr>
          <w:p>
            <w:pPr>
              <w:pStyle w:val="CorpoAltF0"/>
              <w:ind w:left="109"/>
            </w:pPr>
            <w:r>
              <w:t>ANNO-PREC</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4</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Anno precedente denuncia</w:t>
            </w:r>
          </w:p>
        </w:tc>
      </w:tr>
      <w:tr>
        <w:trPr>
          <w:trHeight w:val="255"/>
          <w:jc w:val="center"/>
        </w:trPr>
        <w:tc>
          <w:tcPr>
            <w:tcW w:w="0" w:type="auto"/>
            <w:noWrap/>
            <w:tcMar>
              <w:top w:w="15" w:type="dxa"/>
              <w:left w:w="15" w:type="dxa"/>
              <w:bottom w:w="0" w:type="dxa"/>
              <w:right w:w="15" w:type="dxa"/>
            </w:tcMar>
            <w:vAlign w:val="bottom"/>
          </w:tcPr>
          <w:p>
            <w:pPr>
              <w:pStyle w:val="CorpoAltF0"/>
              <w:ind w:left="109"/>
            </w:pPr>
            <w:r>
              <w:t>ANNO-SUCC</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4</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Anno successivo alla denuncia</w:t>
            </w:r>
          </w:p>
        </w:tc>
      </w:tr>
      <w:tr>
        <w:trPr>
          <w:trHeight w:val="255"/>
          <w:jc w:val="center"/>
        </w:trPr>
        <w:tc>
          <w:tcPr>
            <w:tcW w:w="0" w:type="auto"/>
            <w:noWrap/>
            <w:tcMar>
              <w:top w:w="15" w:type="dxa"/>
              <w:left w:w="15" w:type="dxa"/>
              <w:bottom w:w="0" w:type="dxa"/>
              <w:right w:w="15" w:type="dxa"/>
            </w:tcMar>
            <w:vAlign w:val="bottom"/>
          </w:tcPr>
          <w:p>
            <w:pPr>
              <w:pStyle w:val="CorpoAltF0"/>
              <w:ind w:left="109"/>
            </w:pPr>
            <w:r>
              <w:t>DATA-STAMPA</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Data di stampa format gg/mm/aa</w:t>
            </w:r>
          </w:p>
        </w:tc>
      </w:tr>
      <w:tr>
        <w:trPr>
          <w:trHeight w:val="255"/>
          <w:jc w:val="center"/>
        </w:trPr>
        <w:tc>
          <w:tcPr>
            <w:tcW w:w="0" w:type="auto"/>
            <w:noWrap/>
            <w:tcMar>
              <w:top w:w="15" w:type="dxa"/>
              <w:left w:w="15" w:type="dxa"/>
              <w:bottom w:w="0" w:type="dxa"/>
              <w:right w:w="15" w:type="dxa"/>
            </w:tcMar>
            <w:vAlign w:val="bottom"/>
          </w:tcPr>
          <w:p>
            <w:pPr>
              <w:pStyle w:val="CorpoAltF0"/>
              <w:ind w:left="109"/>
            </w:pPr>
            <w:r>
              <w:t>DATA-STAMPA8</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Data di stampa format gg/mm/</w:t>
            </w:r>
            <w:proofErr w:type="spellStart"/>
            <w:r>
              <w:t>aaaa</w:t>
            </w:r>
            <w:proofErr w:type="spellEnd"/>
          </w:p>
        </w:tc>
      </w:tr>
      <w:tr>
        <w:trPr>
          <w:trHeight w:val="255"/>
          <w:jc w:val="center"/>
        </w:trPr>
        <w:tc>
          <w:tcPr>
            <w:tcW w:w="0" w:type="auto"/>
            <w:noWrap/>
            <w:tcMar>
              <w:top w:w="15" w:type="dxa"/>
              <w:left w:w="15" w:type="dxa"/>
              <w:bottom w:w="0" w:type="dxa"/>
              <w:right w:w="15" w:type="dxa"/>
            </w:tcMar>
            <w:vAlign w:val="bottom"/>
          </w:tcPr>
          <w:p>
            <w:pPr>
              <w:pStyle w:val="CorpoAltF0"/>
              <w:ind w:left="109"/>
            </w:pPr>
            <w:r>
              <w:t>DATA-STAMPA6</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Data di stampa format gg/mm/aa</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AZI_COD</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4</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Codice azienda</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AZI_RAGSOC-FISC</w:t>
            </w:r>
          </w:p>
        </w:tc>
        <w:tc>
          <w:tcPr>
            <w:tcW w:w="800"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40</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Ragione sociale fiscale</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AZI_COM-FISC</w:t>
            </w:r>
          </w:p>
        </w:tc>
        <w:tc>
          <w:tcPr>
            <w:tcW w:w="800"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24</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Comune indirizzo fiscale</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AZI_IND-FISC</w:t>
            </w:r>
          </w:p>
        </w:tc>
        <w:tc>
          <w:tcPr>
            <w:tcW w:w="800" w:type="dxa"/>
            <w:noWrap/>
            <w:tcMar>
              <w:top w:w="15" w:type="dxa"/>
              <w:left w:w="15" w:type="dxa"/>
              <w:bottom w:w="0" w:type="dxa"/>
              <w:right w:w="15" w:type="dxa"/>
            </w:tcMar>
            <w:vAlign w:val="bottom"/>
          </w:tcPr>
          <w:p>
            <w:pPr>
              <w:pStyle w:val="CorpoAltF0"/>
              <w:jc w:val="center"/>
              <w:rPr>
                <w:lang w:val="en-GB"/>
              </w:rPr>
            </w:pPr>
            <w:r>
              <w:rPr>
                <w:lang w:val="en-GB"/>
              </w:rPr>
              <w:t>Alpha</w:t>
            </w:r>
          </w:p>
        </w:tc>
        <w:tc>
          <w:tcPr>
            <w:tcW w:w="408" w:type="dxa"/>
            <w:noWrap/>
            <w:tcMar>
              <w:top w:w="15" w:type="dxa"/>
              <w:left w:w="15" w:type="dxa"/>
              <w:bottom w:w="0" w:type="dxa"/>
              <w:right w:w="15" w:type="dxa"/>
            </w:tcMar>
            <w:vAlign w:val="bottom"/>
          </w:tcPr>
          <w:p>
            <w:pPr>
              <w:pStyle w:val="CorpoAltF0"/>
              <w:jc w:val="center"/>
            </w:pPr>
            <w:r>
              <w:t>30</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Indirizzo fiscale</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AZI_CAP-FISC</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5</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Cap indirizzo fiscale</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AZI_PROV-FISC</w:t>
            </w:r>
          </w:p>
        </w:tc>
        <w:tc>
          <w:tcPr>
            <w:tcW w:w="800"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Provincia indirizzo fiscale</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AZI_RAGSOC-ANAG</w:t>
            </w:r>
          </w:p>
        </w:tc>
        <w:tc>
          <w:tcPr>
            <w:tcW w:w="800"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40</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Ragione sociale anagrafica</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AZI_COM-ANAG</w:t>
            </w:r>
          </w:p>
        </w:tc>
        <w:tc>
          <w:tcPr>
            <w:tcW w:w="800"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24</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Comune indirizzo anagrafico</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de-DE"/>
              </w:rPr>
            </w:pPr>
            <w:r>
              <w:rPr>
                <w:lang w:val="de-DE"/>
              </w:rPr>
              <w:t>AZI_IND-ANAG</w:t>
            </w:r>
          </w:p>
        </w:tc>
        <w:tc>
          <w:tcPr>
            <w:tcW w:w="800"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30</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Indirizzo anagrafico</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AZI_CAP-ANAG</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5</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Cap indirizzo anagrafico</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AZI_PROV-ANAG</w:t>
            </w:r>
          </w:p>
        </w:tc>
        <w:tc>
          <w:tcPr>
            <w:tcW w:w="800"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Provincia indirizzo anagrafico</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fr-FR"/>
              </w:rPr>
            </w:pPr>
            <w:r>
              <w:rPr>
                <w:lang w:val="fr-FR"/>
              </w:rPr>
              <w:t>AZI_CODFIS</w:t>
            </w:r>
          </w:p>
        </w:tc>
        <w:tc>
          <w:tcPr>
            <w:tcW w:w="800" w:type="dxa"/>
            <w:noWrap/>
            <w:tcMar>
              <w:top w:w="15" w:type="dxa"/>
              <w:left w:w="15" w:type="dxa"/>
              <w:bottom w:w="0" w:type="dxa"/>
              <w:right w:w="15" w:type="dxa"/>
            </w:tcMar>
            <w:vAlign w:val="bottom"/>
          </w:tcPr>
          <w:p>
            <w:pPr>
              <w:pStyle w:val="CorpoAltF0"/>
              <w:jc w:val="center"/>
              <w:rPr>
                <w:lang w:val="fr-FR"/>
              </w:rPr>
            </w:pPr>
            <w:r>
              <w:rPr>
                <w:lang w:val="fr-FR"/>
              </w:rPr>
              <w:t>Alpha</w:t>
            </w:r>
          </w:p>
        </w:tc>
        <w:tc>
          <w:tcPr>
            <w:tcW w:w="408" w:type="dxa"/>
            <w:noWrap/>
            <w:tcMar>
              <w:top w:w="15" w:type="dxa"/>
              <w:left w:w="15" w:type="dxa"/>
              <w:bottom w:w="0" w:type="dxa"/>
              <w:right w:w="15" w:type="dxa"/>
            </w:tcMar>
            <w:vAlign w:val="bottom"/>
          </w:tcPr>
          <w:p>
            <w:pPr>
              <w:pStyle w:val="CorpoAltF0"/>
              <w:jc w:val="center"/>
            </w:pPr>
            <w:r>
              <w:t>16</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Codice fiscale</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AZI_PIVA</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11</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Partita IVA</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AZI_CODINAIL</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9</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Codice azienda INAIL</w:t>
            </w:r>
          </w:p>
        </w:tc>
      </w:tr>
      <w:tr>
        <w:trPr>
          <w:trHeight w:val="255"/>
          <w:jc w:val="center"/>
        </w:trPr>
        <w:tc>
          <w:tcPr>
            <w:tcW w:w="0" w:type="auto"/>
            <w:noWrap/>
            <w:tcMar>
              <w:top w:w="15" w:type="dxa"/>
              <w:left w:w="15" w:type="dxa"/>
              <w:bottom w:w="0" w:type="dxa"/>
              <w:right w:w="15" w:type="dxa"/>
            </w:tcMar>
            <w:vAlign w:val="bottom"/>
          </w:tcPr>
          <w:p>
            <w:pPr>
              <w:pStyle w:val="CorpoAltF0"/>
              <w:ind w:left="109"/>
            </w:pPr>
            <w:r>
              <w:t>AZI_CC-INAIL</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proofErr w:type="spellStart"/>
            <w:r>
              <w:t>Controcodice</w:t>
            </w:r>
            <w:proofErr w:type="spellEnd"/>
            <w:r>
              <w:t xml:space="preserve"> INAIL</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IMP_PREMIO-REG</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regolazione</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IMP_ADDIZ-REG</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addizionale su regolazione</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IMP_TOT-REG</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totale regolazione</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IMP_ACCO-PAG</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Acconto versato anno precedente</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IMP_TOT-ANNO</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totale di competenza anno</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IMP_TOT-RAT</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rata</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IMP_ADDIZ-RAT</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addizionale su rata</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IMP_TOT-ANTI</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totale rata anticipata</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IMP_ACCONTO</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acconto 60%</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IMP_TOT-VERSA</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totale da versare</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IMP_CTRASS-DEB</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contributi associativi a debito</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IMP_CTRASS-CRE</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contributi associativi a credito</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IMP_RAT01-SCAD</w:t>
            </w:r>
          </w:p>
        </w:tc>
        <w:tc>
          <w:tcPr>
            <w:tcW w:w="800" w:type="dxa"/>
            <w:noWrap/>
            <w:tcMar>
              <w:top w:w="15" w:type="dxa"/>
              <w:left w:w="15" w:type="dxa"/>
              <w:bottom w:w="0" w:type="dxa"/>
              <w:right w:w="15" w:type="dxa"/>
            </w:tcMar>
            <w:vAlign w:val="bottom"/>
          </w:tcPr>
          <w:p>
            <w:pPr>
              <w:pStyle w:val="CorpoAltF0"/>
              <w:jc w:val="center"/>
              <w:rPr>
                <w:lang w:val="en-GB"/>
              </w:rPr>
            </w:pPr>
            <w:proofErr w:type="spellStart"/>
            <w:r>
              <w:rPr>
                <w:lang w:val="en-GB"/>
              </w:rP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Data scadenza rata 1</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fr-FR"/>
              </w:rPr>
            </w:pPr>
            <w:r>
              <w:rPr>
                <w:lang w:val="fr-FR"/>
              </w:rPr>
              <w:t>IMP_RAT01-IMPO</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scadenza 1</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IMP_RAT01-INTE</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Di cui interessi su scadenza 1</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IMP_RAT02-SCAD</w:t>
            </w:r>
          </w:p>
        </w:tc>
        <w:tc>
          <w:tcPr>
            <w:tcW w:w="800" w:type="dxa"/>
            <w:noWrap/>
            <w:tcMar>
              <w:top w:w="15" w:type="dxa"/>
              <w:left w:w="15" w:type="dxa"/>
              <w:bottom w:w="0" w:type="dxa"/>
              <w:right w:w="15" w:type="dxa"/>
            </w:tcMar>
            <w:vAlign w:val="bottom"/>
          </w:tcPr>
          <w:p>
            <w:pPr>
              <w:pStyle w:val="CorpoAltF0"/>
              <w:jc w:val="center"/>
              <w:rPr>
                <w:lang w:val="en-GB"/>
              </w:rPr>
            </w:pPr>
            <w:proofErr w:type="spellStart"/>
            <w:r>
              <w:rPr>
                <w:lang w:val="en-GB"/>
              </w:rP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Data scadenza rata 2</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fr-FR"/>
              </w:rPr>
            </w:pPr>
            <w:r>
              <w:rPr>
                <w:lang w:val="fr-FR"/>
              </w:rPr>
              <w:t>IMP_RAT02-IMPO</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scadenza 2</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IMP_RAT02-INTE</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Di cui interessi su scadenza 2</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IMP_RAT03-SCAD</w:t>
            </w:r>
          </w:p>
        </w:tc>
        <w:tc>
          <w:tcPr>
            <w:tcW w:w="800" w:type="dxa"/>
            <w:noWrap/>
            <w:tcMar>
              <w:top w:w="15" w:type="dxa"/>
              <w:left w:w="15" w:type="dxa"/>
              <w:bottom w:w="0" w:type="dxa"/>
              <w:right w:w="15" w:type="dxa"/>
            </w:tcMar>
            <w:vAlign w:val="bottom"/>
          </w:tcPr>
          <w:p>
            <w:pPr>
              <w:pStyle w:val="CorpoAltF0"/>
              <w:jc w:val="center"/>
              <w:rPr>
                <w:lang w:val="en-GB"/>
              </w:rPr>
            </w:pPr>
            <w:proofErr w:type="spellStart"/>
            <w:r>
              <w:rPr>
                <w:lang w:val="en-GB"/>
              </w:rP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Data scadenza rata 3</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fr-FR"/>
              </w:rPr>
            </w:pPr>
            <w:r>
              <w:rPr>
                <w:lang w:val="fr-FR"/>
              </w:rPr>
              <w:t>IMP_RAT03-IMPO</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scadenza 3</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IMP_RAT03-INTE</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Di cui interessi su scadenza 3</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en-GB"/>
              </w:rPr>
            </w:pPr>
            <w:r>
              <w:rPr>
                <w:lang w:val="en-GB"/>
              </w:rPr>
              <w:t>IMP_RAT04-SCAD</w:t>
            </w:r>
          </w:p>
        </w:tc>
        <w:tc>
          <w:tcPr>
            <w:tcW w:w="800" w:type="dxa"/>
            <w:noWrap/>
            <w:tcMar>
              <w:top w:w="15" w:type="dxa"/>
              <w:left w:w="15" w:type="dxa"/>
              <w:bottom w:w="0" w:type="dxa"/>
              <w:right w:w="15" w:type="dxa"/>
            </w:tcMar>
            <w:vAlign w:val="bottom"/>
          </w:tcPr>
          <w:p>
            <w:pPr>
              <w:pStyle w:val="CorpoAltF0"/>
              <w:jc w:val="center"/>
              <w:rPr>
                <w:lang w:val="en-GB"/>
              </w:rPr>
            </w:pPr>
            <w:proofErr w:type="spellStart"/>
            <w:r>
              <w:rPr>
                <w:lang w:val="en-GB"/>
              </w:rP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0" w:type="auto"/>
            <w:noWrap/>
            <w:tcMar>
              <w:top w:w="15" w:type="dxa"/>
              <w:left w:w="15" w:type="dxa"/>
              <w:bottom w:w="0" w:type="dxa"/>
              <w:right w:w="15" w:type="dxa"/>
            </w:tcMar>
            <w:vAlign w:val="bottom"/>
          </w:tcPr>
          <w:p>
            <w:pPr>
              <w:pStyle w:val="CorpoAltF0"/>
              <w:jc w:val="center"/>
            </w:pPr>
          </w:p>
        </w:tc>
        <w:tc>
          <w:tcPr>
            <w:tcW w:w="0" w:type="auto"/>
            <w:noWrap/>
            <w:tcMar>
              <w:top w:w="15" w:type="dxa"/>
              <w:left w:w="15" w:type="dxa"/>
              <w:bottom w:w="0" w:type="dxa"/>
              <w:right w:w="15" w:type="dxa"/>
            </w:tcMar>
            <w:vAlign w:val="bottom"/>
          </w:tcPr>
          <w:p>
            <w:pPr>
              <w:pStyle w:val="CorpoAltF0"/>
              <w:ind w:left="109"/>
            </w:pPr>
            <w:r>
              <w:t>Data scadenza rata 4</w:t>
            </w:r>
          </w:p>
        </w:tc>
      </w:tr>
      <w:tr>
        <w:trPr>
          <w:trHeight w:val="255"/>
          <w:jc w:val="center"/>
        </w:trPr>
        <w:tc>
          <w:tcPr>
            <w:tcW w:w="0" w:type="auto"/>
            <w:noWrap/>
            <w:tcMar>
              <w:top w:w="15" w:type="dxa"/>
              <w:left w:w="15" w:type="dxa"/>
              <w:bottom w:w="0" w:type="dxa"/>
              <w:right w:w="15" w:type="dxa"/>
            </w:tcMar>
            <w:vAlign w:val="bottom"/>
          </w:tcPr>
          <w:p>
            <w:pPr>
              <w:pStyle w:val="CorpoAltF0"/>
              <w:ind w:left="109"/>
              <w:rPr>
                <w:lang w:val="fr-FR"/>
              </w:rPr>
            </w:pPr>
            <w:r>
              <w:rPr>
                <w:lang w:val="fr-FR"/>
              </w:rPr>
              <w:t>IMP_RAT04-IMPO</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Importo scadenza 4</w:t>
            </w:r>
          </w:p>
        </w:tc>
      </w:tr>
      <w:tr>
        <w:trPr>
          <w:trHeight w:val="255"/>
          <w:jc w:val="center"/>
        </w:trPr>
        <w:tc>
          <w:tcPr>
            <w:tcW w:w="0" w:type="auto"/>
            <w:noWrap/>
            <w:tcMar>
              <w:top w:w="15" w:type="dxa"/>
              <w:left w:w="15" w:type="dxa"/>
              <w:bottom w:w="0" w:type="dxa"/>
              <w:right w:w="15" w:type="dxa"/>
            </w:tcMar>
            <w:vAlign w:val="bottom"/>
          </w:tcPr>
          <w:p>
            <w:pPr>
              <w:pStyle w:val="CorpoAltF0"/>
              <w:ind w:left="109"/>
            </w:pPr>
            <w:r>
              <w:t>IMP_RAT04-INTE</w:t>
            </w:r>
          </w:p>
        </w:tc>
        <w:tc>
          <w:tcPr>
            <w:tcW w:w="800"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0" w:type="auto"/>
            <w:noWrap/>
            <w:tcMar>
              <w:top w:w="15" w:type="dxa"/>
              <w:left w:w="15" w:type="dxa"/>
              <w:bottom w:w="0" w:type="dxa"/>
              <w:right w:w="15" w:type="dxa"/>
            </w:tcMar>
            <w:vAlign w:val="bottom"/>
          </w:tcPr>
          <w:p>
            <w:pPr>
              <w:pStyle w:val="CorpoAltF0"/>
              <w:jc w:val="center"/>
            </w:pPr>
            <w:r>
              <w:t>2</w:t>
            </w:r>
          </w:p>
        </w:tc>
        <w:tc>
          <w:tcPr>
            <w:tcW w:w="0" w:type="auto"/>
            <w:noWrap/>
            <w:tcMar>
              <w:top w:w="15" w:type="dxa"/>
              <w:left w:w="15" w:type="dxa"/>
              <w:bottom w:w="0" w:type="dxa"/>
              <w:right w:w="15" w:type="dxa"/>
            </w:tcMar>
            <w:vAlign w:val="bottom"/>
          </w:tcPr>
          <w:p>
            <w:pPr>
              <w:pStyle w:val="CorpoAltF0"/>
              <w:ind w:left="109"/>
            </w:pPr>
            <w:r>
              <w:t>Di cui interessi su scadenza 4</w:t>
            </w:r>
          </w:p>
        </w:tc>
      </w:tr>
    </w:tbl>
    <w:p>
      <w:pPr>
        <w:pStyle w:val="CorpoAltF0"/>
      </w:pPr>
      <w:r>
        <w:br w:type="page"/>
      </w:r>
    </w:p>
    <w:p>
      <w:pPr>
        <w:pStyle w:val="CorpoAltF0"/>
      </w:pPr>
    </w:p>
    <w:p>
      <w:pPr>
        <w:pStyle w:val="CorpoAltF0"/>
      </w:pPr>
      <w:r>
        <w:t xml:space="preserve">Nel testo il NOME CAMPO deve essere preceduto dal simbolo </w:t>
      </w:r>
      <w:r>
        <w:rPr>
          <w:b/>
        </w:rPr>
        <w:t>@</w:t>
      </w:r>
    </w:p>
    <w:p>
      <w:pPr>
        <w:pStyle w:val="CorpoAltF0"/>
      </w:pPr>
    </w:p>
    <w:tbl>
      <w:tblPr>
        <w:tblW w:w="91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564"/>
        <w:gridCol w:w="831"/>
        <w:gridCol w:w="408"/>
        <w:gridCol w:w="508"/>
        <w:gridCol w:w="4831"/>
      </w:tblGrid>
      <w:tr>
        <w:trPr>
          <w:trHeight w:val="255"/>
          <w:jc w:val="center"/>
        </w:trPr>
        <w:tc>
          <w:tcPr>
            <w:tcW w:w="2564" w:type="dxa"/>
            <w:noWrap/>
            <w:tcMar>
              <w:top w:w="15" w:type="dxa"/>
              <w:left w:w="15" w:type="dxa"/>
              <w:bottom w:w="0" w:type="dxa"/>
              <w:right w:w="15" w:type="dxa"/>
            </w:tcMar>
            <w:vAlign w:val="bottom"/>
          </w:tcPr>
          <w:p>
            <w:pPr>
              <w:pStyle w:val="CorpoAltF0"/>
              <w:ind w:left="91"/>
              <w:jc w:val="center"/>
              <w:rPr>
                <w:b/>
              </w:rPr>
            </w:pPr>
            <w:r>
              <w:rPr>
                <w:b/>
              </w:rPr>
              <w:t>NOME CAMPO</w:t>
            </w:r>
          </w:p>
        </w:tc>
        <w:tc>
          <w:tcPr>
            <w:tcW w:w="831" w:type="dxa"/>
            <w:noWrap/>
            <w:tcMar>
              <w:top w:w="15" w:type="dxa"/>
              <w:left w:w="15" w:type="dxa"/>
              <w:bottom w:w="0" w:type="dxa"/>
              <w:right w:w="15" w:type="dxa"/>
            </w:tcMar>
            <w:vAlign w:val="bottom"/>
          </w:tcPr>
          <w:p>
            <w:pPr>
              <w:pStyle w:val="CorpoAltF0"/>
              <w:jc w:val="center"/>
              <w:rPr>
                <w:b/>
              </w:rPr>
            </w:pPr>
            <w:r>
              <w:rPr>
                <w:b/>
              </w:rPr>
              <w:t>TIPO</w:t>
            </w:r>
          </w:p>
        </w:tc>
        <w:tc>
          <w:tcPr>
            <w:tcW w:w="408" w:type="dxa"/>
            <w:noWrap/>
            <w:tcMar>
              <w:top w:w="15" w:type="dxa"/>
              <w:left w:w="15" w:type="dxa"/>
              <w:bottom w:w="0" w:type="dxa"/>
              <w:right w:w="15" w:type="dxa"/>
            </w:tcMar>
            <w:vAlign w:val="bottom"/>
          </w:tcPr>
          <w:p>
            <w:pPr>
              <w:pStyle w:val="CorpoAltF0"/>
              <w:jc w:val="center"/>
              <w:rPr>
                <w:b/>
              </w:rPr>
            </w:pPr>
            <w:r>
              <w:rPr>
                <w:b/>
              </w:rPr>
              <w:t>INT.</w:t>
            </w:r>
          </w:p>
        </w:tc>
        <w:tc>
          <w:tcPr>
            <w:tcW w:w="508" w:type="dxa"/>
            <w:noWrap/>
            <w:tcMar>
              <w:top w:w="15" w:type="dxa"/>
              <w:left w:w="15" w:type="dxa"/>
              <w:bottom w:w="0" w:type="dxa"/>
              <w:right w:w="15" w:type="dxa"/>
            </w:tcMar>
            <w:vAlign w:val="bottom"/>
          </w:tcPr>
          <w:p>
            <w:pPr>
              <w:pStyle w:val="CorpoAltF0"/>
              <w:jc w:val="center"/>
              <w:rPr>
                <w:b/>
              </w:rPr>
            </w:pPr>
            <w:r>
              <w:rPr>
                <w:b/>
              </w:rPr>
              <w:t>DEC.</w:t>
            </w:r>
          </w:p>
        </w:tc>
        <w:tc>
          <w:tcPr>
            <w:tcW w:w="4831" w:type="dxa"/>
            <w:noWrap/>
            <w:tcMar>
              <w:top w:w="15" w:type="dxa"/>
              <w:left w:w="15" w:type="dxa"/>
              <w:bottom w:w="0" w:type="dxa"/>
              <w:right w:w="15" w:type="dxa"/>
            </w:tcMar>
            <w:vAlign w:val="bottom"/>
          </w:tcPr>
          <w:p>
            <w:pPr>
              <w:pStyle w:val="CorpoAltF0"/>
              <w:ind w:left="91"/>
              <w:jc w:val="center"/>
              <w:rPr>
                <w:b/>
              </w:rPr>
            </w:pPr>
            <w:r>
              <w:rPr>
                <w:b/>
              </w:rPr>
              <w:t>DESCRIZIONE</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ANNO</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4</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Anno denuncia</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ANNO-PREC</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4</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Anno precedente denuncia</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ANNO-SUCC</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4</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Anno successivo alla denuncia</w:t>
            </w:r>
          </w:p>
        </w:tc>
      </w:tr>
      <w:tr>
        <w:trPr>
          <w:trHeight w:val="255"/>
          <w:jc w:val="center"/>
        </w:trPr>
        <w:tc>
          <w:tcPr>
            <w:tcW w:w="2564" w:type="dxa"/>
            <w:noWrap/>
            <w:tcMar>
              <w:top w:w="15" w:type="dxa"/>
              <w:left w:w="15" w:type="dxa"/>
              <w:bottom w:w="0" w:type="dxa"/>
              <w:right w:w="15" w:type="dxa"/>
            </w:tcMar>
            <w:vAlign w:val="bottom"/>
          </w:tcPr>
          <w:p>
            <w:pPr>
              <w:pStyle w:val="CorpoAltF0"/>
              <w:ind w:left="91"/>
            </w:pPr>
            <w:r>
              <w:t>DATA-STAMPA</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Data di stampa format gg/mm/aa</w:t>
            </w:r>
          </w:p>
        </w:tc>
      </w:tr>
      <w:tr>
        <w:trPr>
          <w:trHeight w:val="255"/>
          <w:jc w:val="center"/>
        </w:trPr>
        <w:tc>
          <w:tcPr>
            <w:tcW w:w="2564" w:type="dxa"/>
            <w:noWrap/>
            <w:tcMar>
              <w:top w:w="15" w:type="dxa"/>
              <w:left w:w="15" w:type="dxa"/>
              <w:bottom w:w="0" w:type="dxa"/>
              <w:right w:w="15" w:type="dxa"/>
            </w:tcMar>
            <w:vAlign w:val="bottom"/>
          </w:tcPr>
          <w:p>
            <w:pPr>
              <w:pStyle w:val="CorpoAltF0"/>
              <w:ind w:left="91"/>
            </w:pPr>
            <w:r>
              <w:t>DATA-STAMPA8</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Data di stampa format gg/mm/</w:t>
            </w:r>
            <w:proofErr w:type="spellStart"/>
            <w:r>
              <w:t>aaaa</w:t>
            </w:r>
            <w:proofErr w:type="spellEnd"/>
          </w:p>
        </w:tc>
      </w:tr>
      <w:tr>
        <w:trPr>
          <w:trHeight w:val="255"/>
          <w:jc w:val="center"/>
        </w:trPr>
        <w:tc>
          <w:tcPr>
            <w:tcW w:w="2564" w:type="dxa"/>
            <w:noWrap/>
            <w:tcMar>
              <w:top w:w="15" w:type="dxa"/>
              <w:left w:w="15" w:type="dxa"/>
              <w:bottom w:w="0" w:type="dxa"/>
              <w:right w:w="15" w:type="dxa"/>
            </w:tcMar>
            <w:vAlign w:val="bottom"/>
          </w:tcPr>
          <w:p>
            <w:pPr>
              <w:pStyle w:val="CorpoAltF0"/>
              <w:ind w:left="91"/>
            </w:pPr>
            <w:r>
              <w:t>AZI_COD</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4</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Codice azienda</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AZI_RAGSOC-FISC</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40</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Ragione sociale fiscale</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AZI_COM-FISC</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24</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Comune indirizzo fiscale</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en-GB"/>
              </w:rPr>
            </w:pPr>
            <w:r>
              <w:rPr>
                <w:lang w:val="en-GB"/>
              </w:rPr>
              <w:t>AZI_IND-FISC</w:t>
            </w:r>
          </w:p>
        </w:tc>
        <w:tc>
          <w:tcPr>
            <w:tcW w:w="831" w:type="dxa"/>
            <w:noWrap/>
            <w:tcMar>
              <w:top w:w="15" w:type="dxa"/>
              <w:left w:w="15" w:type="dxa"/>
              <w:bottom w:w="0" w:type="dxa"/>
              <w:right w:w="15" w:type="dxa"/>
            </w:tcMar>
            <w:vAlign w:val="bottom"/>
          </w:tcPr>
          <w:p>
            <w:pPr>
              <w:pStyle w:val="CorpoAltF0"/>
              <w:jc w:val="center"/>
              <w:rPr>
                <w:lang w:val="en-GB"/>
              </w:rPr>
            </w:pPr>
            <w:r>
              <w:rPr>
                <w:lang w:val="en-GB"/>
              </w:rPr>
              <w:t>Alpha</w:t>
            </w:r>
          </w:p>
        </w:tc>
        <w:tc>
          <w:tcPr>
            <w:tcW w:w="408" w:type="dxa"/>
            <w:noWrap/>
            <w:tcMar>
              <w:top w:w="15" w:type="dxa"/>
              <w:left w:w="15" w:type="dxa"/>
              <w:bottom w:w="0" w:type="dxa"/>
              <w:right w:w="15" w:type="dxa"/>
            </w:tcMar>
            <w:vAlign w:val="bottom"/>
          </w:tcPr>
          <w:p>
            <w:pPr>
              <w:pStyle w:val="CorpoAltF0"/>
              <w:jc w:val="center"/>
            </w:pPr>
            <w:r>
              <w:t>30</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Indirizzo fiscale</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AZI_CAP-FISC</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5</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Cap indirizzo fiscale</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AZI_PROV-FISC</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2</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Provincia indirizzo fiscale</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AZI_RAGSOC-ANAG</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40</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Ragione sociale anagrafica</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AZI_COM-ANAG</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24</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Comune indirizzo anagrafico</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de-DE"/>
              </w:rPr>
            </w:pPr>
            <w:r>
              <w:rPr>
                <w:lang w:val="de-DE"/>
              </w:rPr>
              <w:t>AZI_IND-ANAG</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30</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Indirizzo anagrafico</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AZI_CAP-ANAG</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5</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Cap indirizzo anagrafico</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AZI_PROV-ANAG</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2</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Provincia indirizzo anagrafico</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fr-FR"/>
              </w:rPr>
            </w:pPr>
            <w:r>
              <w:rPr>
                <w:lang w:val="fr-FR"/>
              </w:rPr>
              <w:t>AZI_CODFIS</w:t>
            </w:r>
          </w:p>
        </w:tc>
        <w:tc>
          <w:tcPr>
            <w:tcW w:w="831" w:type="dxa"/>
            <w:noWrap/>
            <w:tcMar>
              <w:top w:w="15" w:type="dxa"/>
              <w:left w:w="15" w:type="dxa"/>
              <w:bottom w:w="0" w:type="dxa"/>
              <w:right w:w="15" w:type="dxa"/>
            </w:tcMar>
            <w:vAlign w:val="bottom"/>
          </w:tcPr>
          <w:p>
            <w:pPr>
              <w:pStyle w:val="CorpoAltF0"/>
              <w:jc w:val="center"/>
              <w:rPr>
                <w:lang w:val="fr-FR"/>
              </w:rPr>
            </w:pPr>
            <w:r>
              <w:rPr>
                <w:lang w:val="fr-FR"/>
              </w:rPr>
              <w:t>Alpha</w:t>
            </w:r>
          </w:p>
        </w:tc>
        <w:tc>
          <w:tcPr>
            <w:tcW w:w="408" w:type="dxa"/>
            <w:noWrap/>
            <w:tcMar>
              <w:top w:w="15" w:type="dxa"/>
              <w:left w:w="15" w:type="dxa"/>
              <w:bottom w:w="0" w:type="dxa"/>
              <w:right w:w="15" w:type="dxa"/>
            </w:tcMar>
            <w:vAlign w:val="bottom"/>
          </w:tcPr>
          <w:p>
            <w:pPr>
              <w:pStyle w:val="CorpoAltF0"/>
              <w:jc w:val="center"/>
            </w:pPr>
            <w:r>
              <w:t>16</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Codice fiscale</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AZI_PIVA</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11</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Partita IVA</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AZI_LEG-RAP</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35</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Cognome e Nome</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AZI_LEG-TITOLO</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35</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 xml:space="preserve">Qualifica </w:t>
            </w:r>
          </w:p>
        </w:tc>
      </w:tr>
      <w:tr>
        <w:trPr>
          <w:trHeight w:val="255"/>
          <w:jc w:val="center"/>
        </w:trPr>
        <w:tc>
          <w:tcPr>
            <w:tcW w:w="2564" w:type="dxa"/>
            <w:noWrap/>
            <w:tcMar>
              <w:top w:w="15" w:type="dxa"/>
              <w:left w:w="15" w:type="dxa"/>
              <w:bottom w:w="0" w:type="dxa"/>
              <w:right w:w="15" w:type="dxa"/>
            </w:tcMar>
            <w:vAlign w:val="bottom"/>
          </w:tcPr>
          <w:p>
            <w:pPr>
              <w:pStyle w:val="CorpoAltF0"/>
              <w:ind w:left="91"/>
            </w:pPr>
            <w:r>
              <w:t>AZI_POS-EDILE</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8</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Posizione Cassa Edile</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fr-FR"/>
              </w:rPr>
            </w:pPr>
            <w:r>
              <w:rPr>
                <w:lang w:val="fr-FR"/>
              </w:rPr>
              <w:t>PAT_DES-SEDE</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20</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Descrizione sede</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PAT_NUM</w:t>
            </w:r>
          </w:p>
        </w:tc>
        <w:tc>
          <w:tcPr>
            <w:tcW w:w="831" w:type="dxa"/>
            <w:noWrap/>
            <w:tcMar>
              <w:top w:w="15" w:type="dxa"/>
              <w:left w:w="15" w:type="dxa"/>
              <w:bottom w:w="0" w:type="dxa"/>
              <w:right w:w="15" w:type="dxa"/>
            </w:tcMar>
            <w:vAlign w:val="bottom"/>
          </w:tcPr>
          <w:p>
            <w:pPr>
              <w:pStyle w:val="CorpoAltF0"/>
              <w:jc w:val="center"/>
              <w:rPr>
                <w:lang w:val="de-DE"/>
              </w:rPr>
            </w:pPr>
            <w:proofErr w:type="spellStart"/>
            <w:r>
              <w:rPr>
                <w:lang w:val="de-DE"/>
              </w:rP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Numero PAT</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PAT_CC</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2</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Codice controllo PAT</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PAT_VOCE</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4</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 xml:space="preserve">Voce </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PAT_RETR-SOCI-NA</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831" w:type="dxa"/>
            <w:noWrap/>
            <w:tcMar>
              <w:top w:w="15" w:type="dxa"/>
              <w:left w:w="15" w:type="dxa"/>
              <w:bottom w:w="0" w:type="dxa"/>
              <w:right w:w="15" w:type="dxa"/>
            </w:tcMar>
            <w:vAlign w:val="bottom"/>
          </w:tcPr>
          <w:p>
            <w:pPr>
              <w:pStyle w:val="CorpoAltF0"/>
              <w:ind w:left="91"/>
            </w:pPr>
            <w:r>
              <w:t>Retribuzione soci non artigiani</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PAT_RETR-DIPEND</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831" w:type="dxa"/>
            <w:noWrap/>
            <w:tcMar>
              <w:top w:w="15" w:type="dxa"/>
              <w:left w:w="15" w:type="dxa"/>
              <w:bottom w:w="0" w:type="dxa"/>
              <w:right w:w="15" w:type="dxa"/>
            </w:tcMar>
            <w:vAlign w:val="bottom"/>
          </w:tcPr>
          <w:p>
            <w:pPr>
              <w:pStyle w:val="CorpoAltF0"/>
              <w:ind w:left="91"/>
            </w:pPr>
            <w:r>
              <w:t>Retribuzione dipendenti</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en-GB"/>
              </w:rPr>
            </w:pPr>
            <w:r>
              <w:rPr>
                <w:lang w:val="en-GB"/>
              </w:rPr>
              <w:t>PAT_RID01-DESC</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31</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 xml:space="preserve">Descrizione </w:t>
            </w:r>
            <w:proofErr w:type="gramStart"/>
            <w:r>
              <w:t>1^</w:t>
            </w:r>
            <w:proofErr w:type="gramEnd"/>
            <w:r>
              <w:t xml:space="preserve"> riduzione</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en-GB"/>
              </w:rPr>
            </w:pPr>
            <w:r>
              <w:rPr>
                <w:lang w:val="en-GB"/>
              </w:rPr>
              <w:t>PAT_RID01-SIGLA</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1</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 xml:space="preserve">Sigla </w:t>
            </w:r>
            <w:proofErr w:type="gramStart"/>
            <w:r>
              <w:t>1^</w:t>
            </w:r>
            <w:proofErr w:type="gramEnd"/>
            <w:r>
              <w:t xml:space="preserve"> riduzione</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en-GB"/>
              </w:rPr>
            </w:pPr>
            <w:r>
              <w:rPr>
                <w:lang w:val="en-GB"/>
              </w:rPr>
              <w:t>PAT_RID01-IMPO</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831" w:type="dxa"/>
            <w:noWrap/>
            <w:tcMar>
              <w:top w:w="15" w:type="dxa"/>
              <w:left w:w="15" w:type="dxa"/>
              <w:bottom w:w="0" w:type="dxa"/>
              <w:right w:w="15" w:type="dxa"/>
            </w:tcMar>
            <w:vAlign w:val="bottom"/>
          </w:tcPr>
          <w:p>
            <w:pPr>
              <w:pStyle w:val="CorpoAltF0"/>
              <w:ind w:left="91"/>
            </w:pPr>
            <w:r>
              <w:t xml:space="preserve">Importo </w:t>
            </w:r>
            <w:proofErr w:type="gramStart"/>
            <w:r>
              <w:t>1^</w:t>
            </w:r>
            <w:proofErr w:type="gramEnd"/>
            <w:r>
              <w:t xml:space="preserve"> riduzione</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en-GB"/>
              </w:rPr>
            </w:pPr>
            <w:r>
              <w:rPr>
                <w:lang w:val="en-GB"/>
              </w:rPr>
              <w:t>PAT_RID30-DESC</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31</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Descrizione 30^ riduzione</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en-GB"/>
              </w:rPr>
            </w:pPr>
            <w:r>
              <w:rPr>
                <w:lang w:val="en-GB"/>
              </w:rPr>
              <w:t>PAT_RID30-SIGLA</w:t>
            </w:r>
          </w:p>
        </w:tc>
        <w:tc>
          <w:tcPr>
            <w:tcW w:w="831" w:type="dxa"/>
            <w:noWrap/>
            <w:tcMar>
              <w:top w:w="15" w:type="dxa"/>
              <w:left w:w="15" w:type="dxa"/>
              <w:bottom w:w="0" w:type="dxa"/>
              <w:right w:w="15" w:type="dxa"/>
            </w:tcMar>
            <w:vAlign w:val="bottom"/>
          </w:tcPr>
          <w:p>
            <w:pPr>
              <w:pStyle w:val="CorpoAltF0"/>
              <w:jc w:val="center"/>
            </w:pPr>
            <w:r>
              <w:t>Alpha</w:t>
            </w:r>
          </w:p>
        </w:tc>
        <w:tc>
          <w:tcPr>
            <w:tcW w:w="408" w:type="dxa"/>
            <w:noWrap/>
            <w:tcMar>
              <w:top w:w="15" w:type="dxa"/>
              <w:left w:w="15" w:type="dxa"/>
              <w:bottom w:w="0" w:type="dxa"/>
              <w:right w:w="15" w:type="dxa"/>
            </w:tcMar>
            <w:vAlign w:val="bottom"/>
          </w:tcPr>
          <w:p>
            <w:pPr>
              <w:pStyle w:val="CorpoAltF0"/>
              <w:jc w:val="center"/>
            </w:pPr>
            <w:r>
              <w:t>1</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Sigla 30^ riduzione</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en-GB"/>
              </w:rPr>
            </w:pPr>
            <w:r>
              <w:rPr>
                <w:lang w:val="en-GB"/>
              </w:rPr>
              <w:t>PAT_RID30-IMPO</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831" w:type="dxa"/>
            <w:noWrap/>
            <w:tcMar>
              <w:top w:w="15" w:type="dxa"/>
              <w:left w:w="15" w:type="dxa"/>
              <w:bottom w:w="0" w:type="dxa"/>
              <w:right w:w="15" w:type="dxa"/>
            </w:tcMar>
            <w:vAlign w:val="bottom"/>
          </w:tcPr>
          <w:p>
            <w:pPr>
              <w:pStyle w:val="CorpoAltF0"/>
              <w:ind w:left="91"/>
            </w:pPr>
            <w:r>
              <w:t>Importo 30^ riduzione</w:t>
            </w:r>
          </w:p>
        </w:tc>
      </w:tr>
      <w:tr>
        <w:trPr>
          <w:trHeight w:val="255"/>
          <w:jc w:val="center"/>
        </w:trPr>
        <w:tc>
          <w:tcPr>
            <w:tcW w:w="2564" w:type="dxa"/>
            <w:noWrap/>
            <w:tcMar>
              <w:top w:w="15" w:type="dxa"/>
              <w:left w:w="15" w:type="dxa"/>
              <w:bottom w:w="0" w:type="dxa"/>
              <w:right w:w="15" w:type="dxa"/>
            </w:tcMar>
            <w:vAlign w:val="bottom"/>
          </w:tcPr>
          <w:p>
            <w:pPr>
              <w:pStyle w:val="CorpoAltF0"/>
              <w:ind w:left="91"/>
              <w:rPr>
                <w:lang w:val="fr-FR"/>
              </w:rPr>
            </w:pPr>
            <w:r>
              <w:rPr>
                <w:lang w:val="fr-FR"/>
              </w:rPr>
              <w:t>PAT_RETR-TOTALE</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831" w:type="dxa"/>
            <w:noWrap/>
            <w:tcMar>
              <w:top w:w="15" w:type="dxa"/>
              <w:left w:w="15" w:type="dxa"/>
              <w:bottom w:w="0" w:type="dxa"/>
              <w:right w:w="15" w:type="dxa"/>
            </w:tcMar>
            <w:vAlign w:val="bottom"/>
          </w:tcPr>
          <w:p>
            <w:pPr>
              <w:pStyle w:val="CorpoAltF0"/>
              <w:ind w:left="91"/>
            </w:pPr>
            <w:r>
              <w:t>Totale retribuzioni al netto delle riduzioni</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PAT_PERI-DAL1</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Data inizio periodo 1</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PAT_PERI-AL1</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Data fine periodo 1</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PAT_TASSO1</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3</w:t>
            </w:r>
          </w:p>
        </w:tc>
        <w:tc>
          <w:tcPr>
            <w:tcW w:w="508" w:type="dxa"/>
            <w:noWrap/>
            <w:tcMar>
              <w:top w:w="15" w:type="dxa"/>
              <w:left w:w="15" w:type="dxa"/>
              <w:bottom w:w="0" w:type="dxa"/>
              <w:right w:w="15" w:type="dxa"/>
            </w:tcMar>
            <w:vAlign w:val="bottom"/>
          </w:tcPr>
          <w:p>
            <w:pPr>
              <w:pStyle w:val="CorpoAltF0"/>
              <w:jc w:val="center"/>
            </w:pPr>
            <w:r>
              <w:t>2</w:t>
            </w:r>
          </w:p>
        </w:tc>
        <w:tc>
          <w:tcPr>
            <w:tcW w:w="4831" w:type="dxa"/>
            <w:noWrap/>
            <w:tcMar>
              <w:top w:w="15" w:type="dxa"/>
              <w:left w:w="15" w:type="dxa"/>
              <w:bottom w:w="0" w:type="dxa"/>
              <w:right w:w="15" w:type="dxa"/>
            </w:tcMar>
            <w:vAlign w:val="bottom"/>
          </w:tcPr>
          <w:p>
            <w:pPr>
              <w:pStyle w:val="CorpoAltF0"/>
              <w:ind w:left="91"/>
            </w:pPr>
            <w:r>
              <w:t>Tasso periodo 1</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PAT_PERI-DAL2</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Data inizio periodo 2</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PAT_PERI-AL2</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8</w:t>
            </w:r>
          </w:p>
        </w:tc>
        <w:tc>
          <w:tcPr>
            <w:tcW w:w="508" w:type="dxa"/>
            <w:noWrap/>
            <w:tcMar>
              <w:top w:w="15" w:type="dxa"/>
              <w:left w:w="15" w:type="dxa"/>
              <w:bottom w:w="0" w:type="dxa"/>
              <w:right w:w="15" w:type="dxa"/>
            </w:tcMar>
            <w:vAlign w:val="bottom"/>
          </w:tcPr>
          <w:p>
            <w:pPr>
              <w:pStyle w:val="CorpoAltF0"/>
              <w:jc w:val="center"/>
            </w:pPr>
          </w:p>
        </w:tc>
        <w:tc>
          <w:tcPr>
            <w:tcW w:w="4831" w:type="dxa"/>
            <w:noWrap/>
            <w:tcMar>
              <w:top w:w="15" w:type="dxa"/>
              <w:left w:w="15" w:type="dxa"/>
              <w:bottom w:w="0" w:type="dxa"/>
              <w:right w:w="15" w:type="dxa"/>
            </w:tcMar>
            <w:vAlign w:val="bottom"/>
          </w:tcPr>
          <w:p>
            <w:pPr>
              <w:pStyle w:val="CorpoAltF0"/>
              <w:ind w:left="91"/>
            </w:pPr>
            <w:r>
              <w:t>Data fine periodo 2</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PAT_TASSO2</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3</w:t>
            </w:r>
          </w:p>
        </w:tc>
        <w:tc>
          <w:tcPr>
            <w:tcW w:w="508" w:type="dxa"/>
            <w:noWrap/>
            <w:tcMar>
              <w:top w:w="15" w:type="dxa"/>
              <w:left w:w="15" w:type="dxa"/>
              <w:bottom w:w="0" w:type="dxa"/>
              <w:right w:w="15" w:type="dxa"/>
            </w:tcMar>
            <w:vAlign w:val="bottom"/>
          </w:tcPr>
          <w:p>
            <w:pPr>
              <w:pStyle w:val="CorpoAltF0"/>
              <w:jc w:val="center"/>
            </w:pPr>
            <w:r>
              <w:t>2</w:t>
            </w:r>
          </w:p>
        </w:tc>
        <w:tc>
          <w:tcPr>
            <w:tcW w:w="4831" w:type="dxa"/>
            <w:noWrap/>
            <w:tcMar>
              <w:top w:w="15" w:type="dxa"/>
              <w:left w:w="15" w:type="dxa"/>
              <w:bottom w:w="0" w:type="dxa"/>
              <w:right w:w="15" w:type="dxa"/>
            </w:tcMar>
            <w:vAlign w:val="bottom"/>
          </w:tcPr>
          <w:p>
            <w:pPr>
              <w:pStyle w:val="CorpoAltF0"/>
              <w:ind w:left="91"/>
            </w:pPr>
            <w:r>
              <w:t>Tasso periodo 2</w:t>
            </w:r>
          </w:p>
        </w:tc>
      </w:tr>
      <w:tr>
        <w:trPr>
          <w:trHeight w:val="255"/>
          <w:jc w:val="center"/>
        </w:trPr>
        <w:tc>
          <w:tcPr>
            <w:tcW w:w="2564" w:type="dxa"/>
            <w:noWrap/>
            <w:tcMar>
              <w:top w:w="15" w:type="dxa"/>
              <w:left w:w="15" w:type="dxa"/>
              <w:bottom w:w="0" w:type="dxa"/>
              <w:right w:w="15" w:type="dxa"/>
            </w:tcMar>
            <w:vAlign w:val="bottom"/>
          </w:tcPr>
          <w:p>
            <w:pPr>
              <w:pStyle w:val="CorpoAltF0"/>
              <w:ind w:left="91"/>
            </w:pPr>
            <w:r>
              <w:t>PAT_PREMIO-DIPE</w:t>
            </w:r>
          </w:p>
        </w:tc>
        <w:tc>
          <w:tcPr>
            <w:tcW w:w="831" w:type="dxa"/>
            <w:noWrap/>
            <w:tcMar>
              <w:top w:w="15" w:type="dxa"/>
              <w:left w:w="15" w:type="dxa"/>
              <w:bottom w:w="0" w:type="dxa"/>
              <w:right w:w="15" w:type="dxa"/>
            </w:tcMar>
            <w:vAlign w:val="bottom"/>
          </w:tcPr>
          <w:p>
            <w:pPr>
              <w:pStyle w:val="CorpoAltF0"/>
              <w:jc w:val="center"/>
            </w:pPr>
            <w:proofErr w:type="spellStart"/>
            <w:r>
              <w:t>Num</w:t>
            </w:r>
            <w:proofErr w:type="spellEnd"/>
          </w:p>
        </w:tc>
        <w:tc>
          <w:tcPr>
            <w:tcW w:w="408"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831" w:type="dxa"/>
            <w:noWrap/>
            <w:tcMar>
              <w:top w:w="15" w:type="dxa"/>
              <w:left w:w="15" w:type="dxa"/>
              <w:bottom w:w="0" w:type="dxa"/>
              <w:right w:w="15" w:type="dxa"/>
            </w:tcMar>
            <w:vAlign w:val="bottom"/>
          </w:tcPr>
          <w:p>
            <w:pPr>
              <w:pStyle w:val="CorpoAltF0"/>
              <w:ind w:left="91"/>
            </w:pPr>
            <w:r>
              <w:t>Premio dipendenti</w:t>
            </w:r>
          </w:p>
        </w:tc>
      </w:tr>
    </w:tbl>
    <w:p>
      <w:pPr>
        <w:pStyle w:val="CorpoAltF0"/>
      </w:pPr>
      <w:r>
        <w:br w:type="page"/>
      </w:r>
    </w:p>
    <w:p>
      <w:pPr>
        <w:pStyle w:val="CorpoAltF0"/>
      </w:pPr>
    </w:p>
    <w:tbl>
      <w:tblPr>
        <w:tblW w:w="9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575"/>
        <w:gridCol w:w="826"/>
        <w:gridCol w:w="409"/>
        <w:gridCol w:w="508"/>
        <w:gridCol w:w="4798"/>
      </w:tblGrid>
      <w:tr>
        <w:trPr>
          <w:trHeight w:val="255"/>
          <w:jc w:val="center"/>
        </w:trPr>
        <w:tc>
          <w:tcPr>
            <w:tcW w:w="2575" w:type="dxa"/>
            <w:noWrap/>
            <w:tcMar>
              <w:top w:w="15" w:type="dxa"/>
              <w:left w:w="15" w:type="dxa"/>
              <w:bottom w:w="0" w:type="dxa"/>
              <w:right w:w="15" w:type="dxa"/>
            </w:tcMar>
            <w:vAlign w:val="bottom"/>
          </w:tcPr>
          <w:p>
            <w:pPr>
              <w:pStyle w:val="CorpoAltF0"/>
              <w:jc w:val="center"/>
              <w:rPr>
                <w:b/>
              </w:rPr>
            </w:pPr>
            <w:r>
              <w:rPr>
                <w:b/>
              </w:rPr>
              <w:t>NOME CAMPO</w:t>
            </w:r>
          </w:p>
        </w:tc>
        <w:tc>
          <w:tcPr>
            <w:tcW w:w="826" w:type="dxa"/>
            <w:noWrap/>
            <w:tcMar>
              <w:top w:w="15" w:type="dxa"/>
              <w:left w:w="15" w:type="dxa"/>
              <w:bottom w:w="0" w:type="dxa"/>
              <w:right w:w="15" w:type="dxa"/>
            </w:tcMar>
            <w:vAlign w:val="bottom"/>
          </w:tcPr>
          <w:p>
            <w:pPr>
              <w:pStyle w:val="CorpoAltF0"/>
              <w:jc w:val="center"/>
              <w:rPr>
                <w:b/>
                <w:bCs/>
              </w:rPr>
            </w:pPr>
            <w:r>
              <w:rPr>
                <w:b/>
                <w:bCs/>
              </w:rPr>
              <w:t>TIPO</w:t>
            </w:r>
          </w:p>
        </w:tc>
        <w:tc>
          <w:tcPr>
            <w:tcW w:w="409" w:type="dxa"/>
            <w:noWrap/>
            <w:tcMar>
              <w:top w:w="15" w:type="dxa"/>
              <w:left w:w="15" w:type="dxa"/>
              <w:bottom w:w="0" w:type="dxa"/>
              <w:right w:w="15" w:type="dxa"/>
            </w:tcMar>
            <w:vAlign w:val="bottom"/>
          </w:tcPr>
          <w:p>
            <w:pPr>
              <w:pStyle w:val="CorpoAltF0"/>
              <w:jc w:val="center"/>
              <w:rPr>
                <w:b/>
                <w:bCs/>
              </w:rPr>
            </w:pPr>
            <w:r>
              <w:rPr>
                <w:b/>
                <w:bCs/>
              </w:rPr>
              <w:t>INT.</w:t>
            </w:r>
          </w:p>
        </w:tc>
        <w:tc>
          <w:tcPr>
            <w:tcW w:w="508" w:type="dxa"/>
            <w:noWrap/>
            <w:tcMar>
              <w:top w:w="15" w:type="dxa"/>
              <w:left w:w="15" w:type="dxa"/>
              <w:bottom w:w="0" w:type="dxa"/>
              <w:right w:w="15" w:type="dxa"/>
            </w:tcMar>
            <w:vAlign w:val="bottom"/>
          </w:tcPr>
          <w:p>
            <w:pPr>
              <w:pStyle w:val="CorpoAltF0"/>
              <w:jc w:val="center"/>
              <w:rPr>
                <w:b/>
                <w:bCs/>
              </w:rPr>
            </w:pPr>
            <w:r>
              <w:rPr>
                <w:b/>
                <w:bCs/>
              </w:rPr>
              <w:t>DEC.</w:t>
            </w:r>
          </w:p>
        </w:tc>
        <w:tc>
          <w:tcPr>
            <w:tcW w:w="4798" w:type="dxa"/>
            <w:noWrap/>
            <w:tcMar>
              <w:top w:w="15" w:type="dxa"/>
              <w:left w:w="15" w:type="dxa"/>
              <w:bottom w:w="0" w:type="dxa"/>
              <w:right w:w="15" w:type="dxa"/>
            </w:tcMar>
            <w:vAlign w:val="bottom"/>
          </w:tcPr>
          <w:p>
            <w:pPr>
              <w:pStyle w:val="CorpoAltF0"/>
              <w:jc w:val="center"/>
              <w:rPr>
                <w:b/>
                <w:bCs/>
              </w:rPr>
            </w:pPr>
            <w:r>
              <w:rPr>
                <w:b/>
                <w:bCs/>
              </w:rPr>
              <w:t>DESCRIZIONE</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PAT_PREMIO-SOCI</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Premio soci non artigiani</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PAT_PREMIO-ARTI</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Premio soci artigiani</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PAT_ADDI-DIPE</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Addizionale su premio dipendenti</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PAT_ADDI-SOCI</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Addizionale su premio soci non artigiani</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PAT_ADDI-ARTI</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Addizionale su premio soci artigiani</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PAT_ADDI-TOTALE</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Addizionale totale</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PAT_TOTALE-ANNO</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Totale premio anno</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PAT_ACCO-DIPE</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Acconto dipendenti versato anno precedente</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PAT_ACCO-SOCI</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Acconto soci versato anno precedente</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PAT_ACCO-ARTI</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Acconto soci artigiani versato anno precedente</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PAT_SALDO</w:t>
            </w:r>
          </w:p>
        </w:tc>
        <w:tc>
          <w:tcPr>
            <w:tcW w:w="826" w:type="dxa"/>
            <w:noWrap/>
            <w:tcMar>
              <w:top w:w="15" w:type="dxa"/>
              <w:left w:w="15" w:type="dxa"/>
              <w:bottom w:w="0" w:type="dxa"/>
              <w:right w:w="15" w:type="dxa"/>
            </w:tcMar>
            <w:vAlign w:val="bottom"/>
          </w:tcPr>
          <w:p>
            <w:pPr>
              <w:pStyle w:val="CorpoAltF0"/>
              <w:jc w:val="center"/>
            </w:pPr>
            <w:proofErr w:type="spellStart"/>
            <w:r>
              <w:t>Num</w:t>
            </w:r>
            <w:proofErr w:type="spellEnd"/>
          </w:p>
        </w:tc>
        <w:tc>
          <w:tcPr>
            <w:tcW w:w="409" w:type="dxa"/>
            <w:noWrap/>
            <w:tcMar>
              <w:top w:w="15" w:type="dxa"/>
              <w:left w:w="15" w:type="dxa"/>
              <w:bottom w:w="0" w:type="dxa"/>
              <w:right w:w="15" w:type="dxa"/>
            </w:tcMar>
            <w:vAlign w:val="bottom"/>
          </w:tcPr>
          <w:p>
            <w:pPr>
              <w:pStyle w:val="CorpoAltF0"/>
              <w:jc w:val="center"/>
            </w:pPr>
            <w: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Saldo anno</w:t>
            </w:r>
          </w:p>
        </w:tc>
      </w:tr>
      <w:tr>
        <w:trPr>
          <w:trHeight w:val="255"/>
          <w:jc w:val="center"/>
        </w:trPr>
        <w:tc>
          <w:tcPr>
            <w:tcW w:w="2575" w:type="dxa"/>
            <w:noWrap/>
            <w:tcMar>
              <w:top w:w="15" w:type="dxa"/>
              <w:left w:w="15" w:type="dxa"/>
              <w:bottom w:w="0" w:type="dxa"/>
              <w:right w:w="15" w:type="dxa"/>
            </w:tcMar>
            <w:vAlign w:val="bottom"/>
          </w:tcPr>
          <w:p>
            <w:pPr>
              <w:pStyle w:val="CorpoAltF0"/>
              <w:ind w:left="91"/>
            </w:pPr>
            <w:r>
              <w:t>PAT_RETR-EDILI</w:t>
            </w:r>
          </w:p>
        </w:tc>
        <w:tc>
          <w:tcPr>
            <w:tcW w:w="826" w:type="dxa"/>
            <w:noWrap/>
            <w:tcMar>
              <w:top w:w="15" w:type="dxa"/>
              <w:left w:w="15" w:type="dxa"/>
              <w:bottom w:w="0" w:type="dxa"/>
              <w:right w:w="15" w:type="dxa"/>
            </w:tcMar>
            <w:vAlign w:val="bottom"/>
          </w:tcPr>
          <w:p>
            <w:pPr>
              <w:pStyle w:val="CorpoAltF0"/>
              <w:jc w:val="center"/>
              <w:rPr>
                <w:lang w:val="en-GB"/>
              </w:rPr>
            </w:pPr>
            <w:proofErr w:type="spellStart"/>
            <w:r>
              <w:rPr>
                <w:lang w:val="en-GB"/>
              </w:rPr>
              <w:t>Num</w:t>
            </w:r>
            <w:proofErr w:type="spellEnd"/>
          </w:p>
        </w:tc>
        <w:tc>
          <w:tcPr>
            <w:tcW w:w="409" w:type="dxa"/>
            <w:noWrap/>
            <w:tcMar>
              <w:top w:w="15" w:type="dxa"/>
              <w:left w:w="15" w:type="dxa"/>
              <w:bottom w:w="0" w:type="dxa"/>
              <w:right w:w="15" w:type="dxa"/>
            </w:tcMar>
            <w:vAlign w:val="bottom"/>
          </w:tcPr>
          <w:p>
            <w:pPr>
              <w:pStyle w:val="CorpoAltF0"/>
              <w:jc w:val="center"/>
              <w:rPr>
                <w:lang w:val="en-GB"/>
              </w:rPr>
            </w:pPr>
            <w:r>
              <w:rPr>
                <w:lang w:val="en-GB"/>
              </w:rPr>
              <w:t>13</w:t>
            </w:r>
          </w:p>
        </w:tc>
        <w:tc>
          <w:tcPr>
            <w:tcW w:w="508" w:type="dxa"/>
            <w:noWrap/>
            <w:tcMar>
              <w:top w:w="15" w:type="dxa"/>
              <w:left w:w="15" w:type="dxa"/>
              <w:bottom w:w="0" w:type="dxa"/>
              <w:right w:w="15" w:type="dxa"/>
            </w:tcMar>
            <w:vAlign w:val="bottom"/>
          </w:tcPr>
          <w:p>
            <w:pPr>
              <w:pStyle w:val="CorpoAltF0"/>
              <w:jc w:val="center"/>
            </w:pPr>
            <w:r>
              <w:t>2</w:t>
            </w:r>
          </w:p>
        </w:tc>
        <w:tc>
          <w:tcPr>
            <w:tcW w:w="4798" w:type="dxa"/>
            <w:noWrap/>
            <w:tcMar>
              <w:top w:w="15" w:type="dxa"/>
              <w:left w:w="15" w:type="dxa"/>
              <w:bottom w:w="0" w:type="dxa"/>
              <w:right w:w="15" w:type="dxa"/>
            </w:tcMar>
            <w:vAlign w:val="bottom"/>
          </w:tcPr>
          <w:p>
            <w:pPr>
              <w:pStyle w:val="CorpoAltF0"/>
              <w:ind w:left="91"/>
            </w:pPr>
            <w:r>
              <w:t>Retribuzione edili soggette a sconto</w:t>
            </w:r>
          </w:p>
        </w:tc>
      </w:tr>
    </w:tbl>
    <w:p>
      <w:pPr>
        <w:pStyle w:val="CorpoAltF0"/>
        <w:rPr>
          <w:highlight w:val="yellow"/>
        </w:rPr>
      </w:pPr>
      <w:r>
        <w:rPr>
          <w:highlight w:val="yellow"/>
        </w:rPr>
        <w:br w:type="page"/>
      </w:r>
    </w:p>
    <w:p>
      <w:pPr>
        <w:pStyle w:val="Ignora"/>
      </w:pPr>
    </w:p>
    <w:p>
      <w:pPr>
        <w:pStyle w:val="CorpoAltF0"/>
        <w:rPr>
          <w:b/>
        </w:rPr>
      </w:pPr>
      <w:r>
        <w:t xml:space="preserve">File </w:t>
      </w:r>
      <w:r>
        <w:rPr>
          <w:b/>
        </w:rPr>
        <w:t>10SMLETP.rft</w:t>
      </w:r>
    </w:p>
    <w:p>
      <w:pPr>
        <w:pStyle w:val="CorpoAltF0"/>
      </w:pPr>
    </w:p>
    <w:p>
      <w:pPr>
        <w:pStyle w:val="CorpoAltF0"/>
        <w:jc w:val="center"/>
      </w:pPr>
      <w:r>
        <w:rPr>
          <w:noProof/>
        </w:rPr>
        <w:drawing>
          <wp:inline distT="0" distB="0" distL="0" distR="0">
            <wp:extent cx="6117590" cy="8268335"/>
            <wp:effectExtent l="0" t="0" r="0" b="0"/>
            <wp:docPr id="112" name="Immagin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6117590" cy="8268335"/>
                    </a:xfrm>
                    <a:prstGeom prst="rect">
                      <a:avLst/>
                    </a:prstGeom>
                    <a:noFill/>
                    <a:ln w="19050">
                      <a:noFill/>
                    </a:ln>
                  </pic:spPr>
                </pic:pic>
              </a:graphicData>
            </a:graphic>
          </wp:inline>
        </w:drawing>
      </w:r>
    </w:p>
    <w:p>
      <w:pPr>
        <w:rPr>
          <w:rFonts w:ascii="Arial" w:hAnsi="Arial" w:cs="Arial"/>
          <w:sz w:val="20"/>
          <w:szCs w:val="20"/>
        </w:rPr>
      </w:pPr>
      <w:r>
        <w:br w:type="page"/>
      </w:r>
    </w:p>
    <w:p>
      <w:pPr>
        <w:pStyle w:val="CorpoAltF0"/>
      </w:pPr>
    </w:p>
    <w:p>
      <w:pPr>
        <w:pStyle w:val="CorpoAltF0"/>
        <w:rPr>
          <w:lang w:val="en-US"/>
        </w:rPr>
      </w:pPr>
      <w:r>
        <w:rPr>
          <w:bCs/>
          <w:lang w:val="en-US"/>
        </w:rPr>
        <w:t>File</w:t>
      </w:r>
      <w:r>
        <w:rPr>
          <w:lang w:val="en-US"/>
        </w:rPr>
        <w:t xml:space="preserve"> </w:t>
      </w:r>
      <w:r>
        <w:rPr>
          <w:b/>
          <w:lang w:val="en-US"/>
        </w:rPr>
        <w:t>10SMLETP2.rft</w:t>
      </w:r>
    </w:p>
    <w:p>
      <w:pPr>
        <w:pStyle w:val="CorpoAltF0"/>
        <w:rPr>
          <w:lang w:val="en-US"/>
        </w:rPr>
      </w:pPr>
    </w:p>
    <w:p>
      <w:pPr>
        <w:pStyle w:val="CorpoAltF0"/>
        <w:jc w:val="center"/>
        <w:rPr>
          <w:lang w:val="en-US"/>
        </w:rPr>
      </w:pPr>
      <w:r>
        <w:rPr>
          <w:noProof/>
        </w:rPr>
        <w:drawing>
          <wp:inline distT="0" distB="0" distL="0" distR="0">
            <wp:extent cx="6117590" cy="6696710"/>
            <wp:effectExtent l="0" t="0" r="0" b="8890"/>
            <wp:docPr id="113" name="Immagin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6117590" cy="6696710"/>
                    </a:xfrm>
                    <a:prstGeom prst="rect">
                      <a:avLst/>
                    </a:prstGeom>
                    <a:noFill/>
                    <a:ln w="19050">
                      <a:noFill/>
                    </a:ln>
                  </pic:spPr>
                </pic:pic>
              </a:graphicData>
            </a:graphic>
          </wp:inline>
        </w:drawing>
      </w:r>
    </w:p>
    <w:p>
      <w:pPr>
        <w:pStyle w:val="CorpoAltF0"/>
      </w:pPr>
      <w:r>
        <w:rPr>
          <w:lang w:val="en-US"/>
        </w:rPr>
        <w:br w:type="page"/>
      </w:r>
    </w:p>
    <w:p>
      <w:pPr>
        <w:pStyle w:val="Ignora"/>
      </w:pPr>
    </w:p>
    <w:p>
      <w:pPr>
        <w:pStyle w:val="CorpoAltF0"/>
      </w:pPr>
      <w:r>
        <w:t xml:space="preserve">File </w:t>
      </w:r>
      <w:r>
        <w:rPr>
          <w:b/>
        </w:rPr>
        <w:t>10SMLPDET.rft</w:t>
      </w:r>
    </w:p>
    <w:p>
      <w:pPr>
        <w:pStyle w:val="CorpoAltF0"/>
      </w:pPr>
    </w:p>
    <w:p>
      <w:pPr>
        <w:pStyle w:val="CorpoAltF0"/>
        <w:jc w:val="center"/>
      </w:pPr>
      <w:r>
        <w:rPr>
          <w:noProof/>
        </w:rPr>
        <w:drawing>
          <wp:inline distT="0" distB="0" distL="0" distR="0">
            <wp:extent cx="5917565" cy="8203565"/>
            <wp:effectExtent l="0" t="0" r="6985" b="6985"/>
            <wp:docPr id="114" name="Immagin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4">
                      <a:extLst>
                        <a:ext uri="{28A0092B-C50C-407E-A947-70E740481C1C}">
                          <a14:useLocalDpi xmlns:a14="http://schemas.microsoft.com/office/drawing/2010/main" val="0"/>
                        </a:ext>
                      </a:extLst>
                    </a:blip>
                    <a:srcRect b="1291"/>
                    <a:stretch>
                      <a:fillRect/>
                    </a:stretch>
                  </pic:blipFill>
                  <pic:spPr bwMode="auto">
                    <a:xfrm>
                      <a:off x="0" y="0"/>
                      <a:ext cx="5917565" cy="8203565"/>
                    </a:xfrm>
                    <a:prstGeom prst="rect">
                      <a:avLst/>
                    </a:prstGeom>
                    <a:noFill/>
                    <a:ln w="19050">
                      <a:noFill/>
                    </a:ln>
                  </pic:spPr>
                </pic:pic>
              </a:graphicData>
            </a:graphic>
          </wp:inline>
        </w:drawing>
      </w:r>
    </w:p>
    <w:p>
      <w:pPr>
        <w:pStyle w:val="CorpoAltF0"/>
      </w:pPr>
      <w:r>
        <w:br w:type="page"/>
      </w:r>
    </w:p>
    <w:p>
      <w:pPr>
        <w:pStyle w:val="Ignora"/>
      </w:pPr>
    </w:p>
    <w:p>
      <w:pPr>
        <w:pStyle w:val="CorpoAltF0"/>
        <w:rPr>
          <w:b/>
        </w:rPr>
      </w:pPr>
      <w:r>
        <w:t xml:space="preserve">File </w:t>
      </w:r>
      <w:r>
        <w:rPr>
          <w:b/>
        </w:rPr>
        <w:t>10SMLETA.rft</w:t>
      </w:r>
    </w:p>
    <w:p>
      <w:pPr>
        <w:pStyle w:val="CorpoAltF0"/>
      </w:pPr>
    </w:p>
    <w:p>
      <w:pPr>
        <w:pStyle w:val="CorpoAltF0"/>
        <w:jc w:val="center"/>
      </w:pPr>
      <w:r>
        <w:rPr>
          <w:noProof/>
        </w:rPr>
        <w:drawing>
          <wp:inline distT="0" distB="0" distL="0" distR="0">
            <wp:extent cx="5760000" cy="8162619"/>
            <wp:effectExtent l="0" t="0" r="0" b="0"/>
            <wp:docPr id="115" name="Immagin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000" cy="8162619"/>
                    </a:xfrm>
                    <a:prstGeom prst="rect">
                      <a:avLst/>
                    </a:prstGeom>
                    <a:noFill/>
                    <a:ln w="19050">
                      <a:noFill/>
                    </a:ln>
                  </pic:spPr>
                </pic:pic>
              </a:graphicData>
            </a:graphic>
          </wp:inline>
        </w:drawing>
      </w:r>
    </w:p>
    <w:p>
      <w:pPr>
        <w:pStyle w:val="CorpoAltF0"/>
      </w:pPr>
      <w:r>
        <w:br w:type="page"/>
      </w:r>
    </w:p>
    <w:p>
      <w:pPr>
        <w:pStyle w:val="Ignora"/>
      </w:pPr>
    </w:p>
    <w:p>
      <w:pPr>
        <w:pStyle w:val="CorpoAltF0"/>
        <w:rPr>
          <w:b/>
        </w:rPr>
      </w:pPr>
      <w:r>
        <w:t xml:space="preserve">File </w:t>
      </w:r>
      <w:r>
        <w:rPr>
          <w:b/>
        </w:rPr>
        <w:t>10SMLADET.rft</w:t>
      </w:r>
    </w:p>
    <w:p>
      <w:pPr>
        <w:pStyle w:val="CorpoAltF0"/>
      </w:pPr>
    </w:p>
    <w:p>
      <w:pPr>
        <w:pStyle w:val="CorpoAltF0"/>
        <w:jc w:val="center"/>
        <w:rPr>
          <w:lang w:val="en-GB"/>
        </w:rPr>
      </w:pPr>
      <w:r>
        <w:rPr>
          <w:noProof/>
        </w:rPr>
        <w:drawing>
          <wp:inline distT="0" distB="0" distL="0" distR="0">
            <wp:extent cx="5760000" cy="8308569"/>
            <wp:effectExtent l="0" t="0" r="0" b="0"/>
            <wp:docPr id="116" name="Immagin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0000" cy="8308569"/>
                    </a:xfrm>
                    <a:prstGeom prst="rect">
                      <a:avLst/>
                    </a:prstGeom>
                    <a:noFill/>
                    <a:ln w="19050">
                      <a:noFill/>
                    </a:ln>
                  </pic:spPr>
                </pic:pic>
              </a:graphicData>
            </a:graphic>
          </wp:inline>
        </w:drawing>
      </w:r>
    </w:p>
    <w:p>
      <w:pPr>
        <w:pStyle w:val="CorpoAltF0"/>
      </w:pPr>
      <w:r>
        <w:br w:type="page"/>
      </w:r>
    </w:p>
    <w:p>
      <w:pPr>
        <w:pStyle w:val="Ignora"/>
      </w:pPr>
    </w:p>
    <w:p>
      <w:pPr>
        <w:pStyle w:val="CorpoAltF0"/>
        <w:rPr>
          <w:b/>
        </w:rPr>
      </w:pPr>
      <w:r>
        <w:t xml:space="preserve">File </w:t>
      </w:r>
      <w:r>
        <w:rPr>
          <w:b/>
        </w:rPr>
        <w:t>10SMLETE.rft</w:t>
      </w:r>
    </w:p>
    <w:p>
      <w:pPr>
        <w:pStyle w:val="CorpoAltF0"/>
      </w:pPr>
    </w:p>
    <w:p>
      <w:pPr>
        <w:pStyle w:val="CorpoAltF0"/>
        <w:jc w:val="center"/>
      </w:pPr>
      <w:r>
        <w:rPr>
          <w:noProof/>
        </w:rPr>
        <w:drawing>
          <wp:inline distT="0" distB="0" distL="0" distR="0">
            <wp:extent cx="6117590" cy="8293735"/>
            <wp:effectExtent l="0" t="0" r="0" b="0"/>
            <wp:docPr id="117" name="Immagin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117590" cy="8293735"/>
                    </a:xfrm>
                    <a:prstGeom prst="rect">
                      <a:avLst/>
                    </a:prstGeom>
                    <a:noFill/>
                    <a:ln w="28575">
                      <a:noFill/>
                    </a:ln>
                  </pic:spPr>
                </pic:pic>
              </a:graphicData>
            </a:graphic>
          </wp:inline>
        </w:drawing>
      </w:r>
    </w:p>
    <w:p>
      <w:pPr>
        <w:pStyle w:val="CorpoAltF0"/>
      </w:pPr>
      <w:r>
        <w:br w:type="page"/>
      </w:r>
    </w:p>
    <w:p>
      <w:pPr>
        <w:pStyle w:val="CorpoAltF0"/>
        <w:rPr>
          <w:highlight w:val="yellow"/>
        </w:rPr>
      </w:pPr>
    </w:p>
    <w:p>
      <w:pPr>
        <w:pStyle w:val="TS-titolo-04"/>
      </w:pPr>
      <w:bookmarkStart w:id="90" w:name="_Toc471235872"/>
      <w:bookmarkStart w:id="91" w:name="_Toc6329837"/>
      <w:r>
        <w:t>Invio telematico della denuncia salari</w:t>
      </w:r>
      <w:bookmarkStart w:id="92" w:name="GenerazioneTelematico"/>
      <w:bookmarkEnd w:id="90"/>
      <w:bookmarkEnd w:id="91"/>
      <w:bookmarkEnd w:id="92"/>
    </w:p>
    <w:p>
      <w:pPr>
        <w:pStyle w:val="CorpoAltF0"/>
        <w:spacing w:before="120"/>
      </w:pPr>
      <w:r>
        <w:t>Con la scelta “</w:t>
      </w:r>
      <w:r>
        <w:rPr>
          <w:i/>
        </w:rPr>
        <w:t>Generazione telematico</w:t>
      </w:r>
      <w:r>
        <w:t>”</w:t>
      </w:r>
      <w:r>
        <w:rPr>
          <w:i/>
        </w:rPr>
        <w:t xml:space="preserve"> </w:t>
      </w:r>
      <w:r>
        <w:t xml:space="preserve">del comando </w:t>
      </w:r>
      <w:r>
        <w:rPr>
          <w:b/>
        </w:rPr>
        <w:t>10SM</w:t>
      </w:r>
      <w:r>
        <w:t xml:space="preserve"> è possibile procedere alla generazione del file telematico per l’autoliquidazione INAIL 2018/2019.</w:t>
      </w:r>
    </w:p>
    <w:p>
      <w:pPr>
        <w:pStyle w:val="CorpoAltF0"/>
        <w:spacing w:before="60"/>
      </w:pPr>
      <w:r>
        <w:t>Dopo aver completato l’autoliquidazione ed aver chiuso la denuncia salari con la scelta 4- “</w:t>
      </w:r>
      <w:r>
        <w:rPr>
          <w:i/>
        </w:rPr>
        <w:t>Chiusura della dichiarazione</w:t>
      </w:r>
      <w:r>
        <w:t>” del menu “</w:t>
      </w:r>
      <w:r>
        <w:rPr>
          <w:i/>
        </w:rPr>
        <w:t>Gestione liquidazioni</w:t>
      </w:r>
      <w:r>
        <w:t>” sarà necessario eseguire la scelta “</w:t>
      </w:r>
      <w:r>
        <w:rPr>
          <w:i/>
        </w:rPr>
        <w:t>Generazione telematico</w:t>
      </w:r>
      <w:r>
        <w:t>” al fine di generare un file contente le aziende selezionate.</w:t>
      </w:r>
    </w:p>
    <w:p>
      <w:pPr>
        <w:pStyle w:val="CorpoAltF0"/>
      </w:pPr>
    </w:p>
    <w:p>
      <w:pPr>
        <w:pStyle w:val="CorpoAltF0"/>
      </w:pPr>
      <w:r>
        <w:t>Nel controllo non verranno considerati validi i dati con:</w:t>
      </w:r>
    </w:p>
    <w:p>
      <w:pPr>
        <w:pStyle w:val="CorpoAltF0"/>
        <w:numPr>
          <w:ilvl w:val="0"/>
          <w:numId w:val="21"/>
        </w:numPr>
        <w:spacing w:before="60"/>
        <w:ind w:left="425" w:hanging="357"/>
      </w:pPr>
      <w:r>
        <w:t xml:space="preserve">PAT con valore </w:t>
      </w:r>
      <w:proofErr w:type="spellStart"/>
      <w:r>
        <w:t>blank</w:t>
      </w:r>
      <w:proofErr w:type="spellEnd"/>
      <w:r>
        <w:t xml:space="preserve"> o zero;</w:t>
      </w:r>
    </w:p>
    <w:p>
      <w:pPr>
        <w:pStyle w:val="CorpoAltF0"/>
        <w:numPr>
          <w:ilvl w:val="0"/>
          <w:numId w:val="21"/>
        </w:numPr>
        <w:spacing w:before="60"/>
        <w:ind w:left="425" w:hanging="357"/>
      </w:pPr>
      <w:r>
        <w:t xml:space="preserve">VOCI con valore </w:t>
      </w:r>
      <w:proofErr w:type="spellStart"/>
      <w:r>
        <w:t>blank</w:t>
      </w:r>
      <w:proofErr w:type="spellEnd"/>
      <w:r>
        <w:t xml:space="preserve"> o zero;</w:t>
      </w:r>
    </w:p>
    <w:p>
      <w:pPr>
        <w:pStyle w:val="CorpoAltF0"/>
        <w:spacing w:before="60"/>
      </w:pPr>
      <w:r>
        <w:t>Le voci di tariffa devono essere presenti e valide</w:t>
      </w:r>
      <w:r>
        <w:rPr>
          <w:b/>
          <w:bCs/>
        </w:rPr>
        <w:t xml:space="preserve"> </w:t>
      </w:r>
      <w:r>
        <w:t>(non viene accettato 999999 o qualsiasi codice di comodo).</w:t>
      </w:r>
    </w:p>
    <w:p>
      <w:pPr>
        <w:pStyle w:val="CorpoAltF0"/>
      </w:pPr>
      <w:r>
        <w:t>Non vengono accettate duplicazioni di PAT o VOCI per lo stesso periodo.</w:t>
      </w:r>
    </w:p>
    <w:p>
      <w:pPr>
        <w:pStyle w:val="CorpoAltF0"/>
      </w:pPr>
    </w:p>
    <w:p>
      <w:pPr>
        <w:pStyle w:val="CorpoAltF0"/>
      </w:pPr>
      <w:r>
        <w:t>Il tracciato telematico viene accettato con un massimo di tre sconti per voce, nel caso in cui ce ne siano più di tre, deve essere predisposta l’intera dichiarazione su modello cartaceo.</w:t>
      </w:r>
    </w:p>
    <w:p>
      <w:pPr>
        <w:pStyle w:val="CorpoAltF0"/>
      </w:pPr>
    </w:p>
    <w:p>
      <w:pPr>
        <w:pStyle w:val="CorpoAltF0"/>
        <w:rPr>
          <w:b/>
        </w:rPr>
      </w:pPr>
      <w:r>
        <w:rPr>
          <w:b/>
        </w:rPr>
        <w:t>Il file per la denuncia salari INAIL da inviare telematicamente è richiesto in formato compresso.</w:t>
      </w:r>
    </w:p>
    <w:p>
      <w:pPr>
        <w:pStyle w:val="CorpoAltF0"/>
        <w:spacing w:before="60"/>
      </w:pPr>
      <w:r>
        <w:t xml:space="preserve">Per comprimere i file occorrono dei programmi di compressione tipo </w:t>
      </w:r>
      <w:proofErr w:type="spellStart"/>
      <w:r>
        <w:t>WinZip</w:t>
      </w:r>
      <w:proofErr w:type="spellEnd"/>
      <w:r>
        <w:t xml:space="preserve">, </w:t>
      </w:r>
      <w:proofErr w:type="spellStart"/>
      <w:r>
        <w:t>WinRar</w:t>
      </w:r>
      <w:proofErr w:type="spellEnd"/>
      <w:r>
        <w:t xml:space="preserve">, </w:t>
      </w:r>
      <w:proofErr w:type="spellStart"/>
      <w:r>
        <w:t>PkZip</w:t>
      </w:r>
      <w:proofErr w:type="spellEnd"/>
      <w:r>
        <w:t>, Zip ecc.</w:t>
      </w:r>
    </w:p>
    <w:p>
      <w:pPr>
        <w:pStyle w:val="CorpoAltF0"/>
      </w:pPr>
      <w:r>
        <w:t>TeamSystem non produce e non commercializza tali programmi.</w:t>
      </w:r>
    </w:p>
    <w:p>
      <w:pPr>
        <w:pStyle w:val="CorpoAltF0"/>
        <w:spacing w:before="60"/>
      </w:pPr>
      <w:r>
        <w:t>Per gli utenti che dispongono dei suddetti programmi di compressione la predisposizione del file viene automaticamente effettuata con la scelta “</w:t>
      </w:r>
      <w:r>
        <w:rPr>
          <w:i/>
        </w:rPr>
        <w:t>Generazione telematico</w:t>
      </w:r>
      <w:r>
        <w:t>” che provvede a comprimere e memorizzare il file SALARI.DAT all’interno della directory indicata al campo “</w:t>
      </w:r>
      <w:r>
        <w:rPr>
          <w:i/>
        </w:rPr>
        <w:t>Telematici vari</w:t>
      </w:r>
      <w:r>
        <w:t>” della tabella “</w:t>
      </w:r>
      <w:r>
        <w:rPr>
          <w:i/>
        </w:rPr>
        <w:t>Direttori procedure/archivi</w:t>
      </w:r>
      <w:r>
        <w:t>” (</w:t>
      </w:r>
      <w:r>
        <w:rPr>
          <w:b/>
        </w:rPr>
        <w:t>TB1210</w:t>
      </w:r>
      <w:r>
        <w:t>) o, in assenza, nella cartella \CED\sta.</w:t>
      </w:r>
    </w:p>
    <w:p>
      <w:pPr>
        <w:pStyle w:val="CorpoAltF0"/>
        <w:spacing w:before="60"/>
      </w:pPr>
      <w:r>
        <w:t xml:space="preserve">Contestualmente, viene proposta una maschera per la selezione di un ulteriore percorso in cui memorizzare il file in oggetto. </w:t>
      </w:r>
    </w:p>
    <w:p>
      <w:pPr>
        <w:pStyle w:val="CorpoAltF0"/>
        <w:spacing w:before="60"/>
      </w:pPr>
      <w:r>
        <w:t xml:space="preserve">Il file compresso va inviato seguendo le istruzioni fornite </w:t>
      </w:r>
      <w:proofErr w:type="spellStart"/>
      <w:r>
        <w:t>dall’inail</w:t>
      </w:r>
      <w:proofErr w:type="spellEnd"/>
      <w:r>
        <w:t xml:space="preserve"> nel relativo sito internet.</w:t>
      </w:r>
    </w:p>
    <w:p>
      <w:pPr>
        <w:pStyle w:val="CorpoAltF0"/>
        <w:spacing w:before="60"/>
      </w:pPr>
      <w:r>
        <w:t xml:space="preserve">Gli utenti che effettuano l’invio telematico della denuncia non dovranno effettuare altri adempimenti, ma si impegnano comunque a presentare la documentazione cartacea di supporto a richiesta dell’Istituto. </w:t>
      </w:r>
    </w:p>
    <w:p>
      <w:pPr>
        <w:pStyle w:val="CorpoAltF0"/>
        <w:spacing w:before="60"/>
      </w:pPr>
      <w:r>
        <w:t>L’accesso a questa funzionalità avviene attraverso l’Area Aziende del sito Inail ‘Punto Cliente’ con opportuni codici utenza e password (per gli intermediari) e tramite Codice Cliente e Codice PIN (per le singole ditte).</w:t>
      </w:r>
    </w:p>
    <w:p>
      <w:pPr>
        <w:pStyle w:val="CorpoAltF0"/>
      </w:pPr>
    </w:p>
    <w:p>
      <w:pPr>
        <w:pStyle w:val="CorpoAltF0"/>
      </w:pPr>
    </w:p>
    <w:p>
      <w:pPr>
        <w:pStyle w:val="CorpoAltF0"/>
        <w:rPr>
          <w:u w:val="single"/>
        </w:rPr>
      </w:pPr>
      <w:r>
        <w:rPr>
          <w:u w:val="single"/>
        </w:rPr>
        <w:t>Precisazione aziende artigiane</w:t>
      </w:r>
    </w:p>
    <w:p>
      <w:pPr>
        <w:pStyle w:val="CorpoAltF0"/>
        <w:spacing w:before="120"/>
      </w:pPr>
      <w:r>
        <w:t>Con riferimento alle aziende artigiane che non hanno occupato dipendenti nell’anno precedente ovvero abbiano occupato solo lavoratori con qualifica di apprendista (aziende generalmente non tenute alla presentazione della denuncia telematica), il programma procede alla generazione del file telematico solo in presenza di una delle seguenti condizioni:</w:t>
      </w:r>
    </w:p>
    <w:p>
      <w:pPr>
        <w:pStyle w:val="CorpoAltF0"/>
        <w:numPr>
          <w:ilvl w:val="0"/>
          <w:numId w:val="27"/>
        </w:numPr>
        <w:spacing w:before="120"/>
        <w:ind w:left="426" w:hanging="284"/>
      </w:pPr>
      <w:r>
        <w:t>opzione di rateizzazione dei premi (indipendentemente dalla modalità adottata nell’anno precedente);</w:t>
      </w:r>
    </w:p>
    <w:p>
      <w:pPr>
        <w:pStyle w:val="CorpoAltF0"/>
        <w:numPr>
          <w:ilvl w:val="0"/>
          <w:numId w:val="27"/>
        </w:numPr>
        <w:spacing w:before="120"/>
        <w:ind w:left="426" w:hanging="284"/>
      </w:pPr>
      <w:r>
        <w:t>opzione di pagamento in unica soluzione, se nell’anno precedente si era optato per il pagamento rateale;</w:t>
      </w:r>
    </w:p>
    <w:p>
      <w:pPr>
        <w:pStyle w:val="CorpoAltF0"/>
        <w:numPr>
          <w:ilvl w:val="0"/>
          <w:numId w:val="27"/>
        </w:numPr>
        <w:spacing w:before="120"/>
        <w:ind w:left="426" w:hanging="284"/>
      </w:pPr>
      <w:r>
        <w:t>presenza di una rata anticipata per i dipendenti nell’autoliquidazione dell’anno precedente;</w:t>
      </w:r>
    </w:p>
    <w:p>
      <w:pPr>
        <w:pStyle w:val="CorpoAltF0"/>
        <w:numPr>
          <w:ilvl w:val="0"/>
          <w:numId w:val="27"/>
        </w:numPr>
        <w:spacing w:before="120"/>
        <w:ind w:left="426" w:hanging="284"/>
      </w:pPr>
      <w:r>
        <w:t>richiesta di ammissione alla riduzione artigiani ex art. 1, commi 780 e 781, L. 296/06</w:t>
      </w:r>
    </w:p>
    <w:p>
      <w:pPr>
        <w:pStyle w:val="CorpoAltF0"/>
      </w:pPr>
    </w:p>
    <w:p>
      <w:pPr>
        <w:pStyle w:val="CorpoAltF0"/>
      </w:pPr>
      <w:r>
        <w:t>In ogni caso, indicando “S” al campo “</w:t>
      </w:r>
      <w:r>
        <w:rPr>
          <w:i/>
        </w:rPr>
        <w:t>Generazione telematico ditte artigiane senza dipendenti</w:t>
      </w:r>
      <w:r>
        <w:t>” (campo 107 della scheda “</w:t>
      </w:r>
      <w:r>
        <w:rPr>
          <w:i/>
        </w:rPr>
        <w:t>10SM</w:t>
      </w:r>
      <w:r>
        <w:t xml:space="preserve">” di </w:t>
      </w:r>
      <w:r>
        <w:rPr>
          <w:b/>
        </w:rPr>
        <w:t>TB1203</w:t>
      </w:r>
      <w:r>
        <w:t>) è possibile comunque generare il telematico anche per tali aziende.</w:t>
      </w:r>
    </w:p>
    <w:p>
      <w:pPr>
        <w:pStyle w:val="CorpoAltF0"/>
        <w:rPr>
          <w:highlight w:val="yellow"/>
        </w:rPr>
      </w:pPr>
      <w:r>
        <w:rPr>
          <w:highlight w:val="yellow"/>
        </w:rPr>
        <w:br w:type="page"/>
      </w:r>
    </w:p>
    <w:p>
      <w:pPr>
        <w:pStyle w:val="CorpoAltF0"/>
        <w:rPr>
          <w:highlight w:val="yellow"/>
        </w:rPr>
      </w:pPr>
    </w:p>
    <w:p>
      <w:pPr>
        <w:pStyle w:val="TS-titolo-04"/>
      </w:pPr>
      <w:bookmarkStart w:id="93" w:name="_Toc471235873"/>
      <w:bookmarkStart w:id="94" w:name="_Toc6329838"/>
      <w:r>
        <w:t>Stampa modello 10SM</w:t>
      </w:r>
      <w:bookmarkEnd w:id="93"/>
      <w:bookmarkEnd w:id="94"/>
    </w:p>
    <w:p>
      <w:pPr>
        <w:pStyle w:val="CorpoAltF0"/>
        <w:spacing w:before="120"/>
      </w:pPr>
      <w:r>
        <w:t xml:space="preserve">Nella scelta 3 del comando </w:t>
      </w:r>
      <w:r>
        <w:rPr>
          <w:b/>
        </w:rPr>
        <w:t>10SM</w:t>
      </w:r>
      <w:r>
        <w:t xml:space="preserve"> sono disponibili 2 opzioni per la stampa del modello.</w:t>
      </w:r>
    </w:p>
    <w:p>
      <w:pPr>
        <w:pStyle w:val="CorpoAltF0"/>
      </w:pPr>
      <w:r>
        <w:t>Per la stampa del modello 10SM su laser il programma controlla che l’utente sia in possesso della licenza per la stampa del cedolino laser.</w:t>
      </w:r>
    </w:p>
    <w:p>
      <w:pPr>
        <w:pStyle w:val="CorpoAltF0"/>
      </w:pPr>
    </w:p>
    <w:p>
      <w:pPr>
        <w:pStyle w:val="CorpoAltF0"/>
      </w:pPr>
      <w:r>
        <w:t>Sono presenti le seguenti scelte:</w:t>
      </w:r>
    </w:p>
    <w:p>
      <w:pPr>
        <w:pStyle w:val="CorpoAltF0"/>
        <w:numPr>
          <w:ilvl w:val="0"/>
          <w:numId w:val="22"/>
        </w:numPr>
        <w:spacing w:before="80"/>
        <w:ind w:left="426" w:hanging="284"/>
      </w:pPr>
      <w:r>
        <w:t>Stampa 10SM (Base)</w:t>
      </w:r>
    </w:p>
    <w:p>
      <w:pPr>
        <w:pStyle w:val="CorpoAltF0"/>
        <w:numPr>
          <w:ilvl w:val="0"/>
          <w:numId w:val="22"/>
        </w:numPr>
        <w:spacing w:before="80"/>
        <w:ind w:left="426" w:hanging="284"/>
      </w:pPr>
      <w:r>
        <w:t>Stampa 10SM (Aggiuntivo)</w:t>
      </w:r>
    </w:p>
    <w:p>
      <w:pPr>
        <w:pStyle w:val="CorpoAltF0"/>
        <w:rPr>
          <w:highlight w:val="yellow"/>
        </w:rPr>
      </w:pPr>
    </w:p>
    <w:p>
      <w:pPr>
        <w:pStyle w:val="CorpoAltF0"/>
        <w:rPr>
          <w:highlight w:val="yellow"/>
        </w:rPr>
      </w:pPr>
    </w:p>
    <w:p>
      <w:pPr>
        <w:pStyle w:val="CorpoAltF0"/>
        <w:jc w:val="center"/>
        <w:rPr>
          <w:noProof/>
        </w:rPr>
      </w:pPr>
      <w:r>
        <w:rPr>
          <w:noProof/>
        </w:rPr>
        <w:drawing>
          <wp:inline distT="0" distB="0" distL="0" distR="0">
            <wp:extent cx="5760000" cy="2567768"/>
            <wp:effectExtent l="0" t="0" r="0" b="4445"/>
            <wp:docPr id="172" name="Immagin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60000" cy="2567768"/>
                    </a:xfrm>
                    <a:prstGeom prst="rect">
                      <a:avLst/>
                    </a:prstGeom>
                  </pic:spPr>
                </pic:pic>
              </a:graphicData>
            </a:graphic>
          </wp:inline>
        </w:drawing>
      </w:r>
    </w:p>
    <w:p>
      <w:pPr>
        <w:pStyle w:val="CorpoAltF0"/>
      </w:pPr>
    </w:p>
    <w:p>
      <w:pPr>
        <w:pStyle w:val="CorpoAltF0"/>
      </w:pPr>
    </w:p>
    <w:sectPr>
      <w:footerReference w:type="default" r:id="rId69"/>
      <w:pgSz w:w="11907" w:h="16840" w:code="9"/>
      <w:pgMar w:top="567" w:right="1134" w:bottom="1134" w:left="1134" w:header="397" w:footer="397" w:gutter="0"/>
      <w:pgNumType w:chapSep="period"/>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Berlin Sans FB">
    <w:panose1 w:val="020E0602020502020306"/>
    <w:charset w:val="00"/>
    <w:family w:val="swiss"/>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pPr>
      <w:pStyle w:val="CorpoAltF0"/>
      <w:jc w:val="center"/>
      <w:rPr>
        <w:sz w:val="10"/>
        <w:szCs w:val="10"/>
      </w:rPr>
    </w:pPr>
    <w:r>
      <w:rPr>
        <w:noProof/>
        <w:sz w:val="10"/>
        <w:szCs w:val="10"/>
      </w:rPr>
      <w:drawing>
        <wp:inline distT="0" distB="0" distL="0" distR="0">
          <wp:extent cx="6120000" cy="36000"/>
          <wp:effectExtent l="0" t="0" r="0" b="0"/>
          <wp:docPr id="86" name="Immagin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36000"/>
                  </a:xfrm>
                  <a:prstGeom prst="rect">
                    <a:avLst/>
                  </a:prstGeom>
                  <a:noFill/>
                  <a:ln>
                    <a:noFill/>
                  </a:ln>
                </pic:spPr>
              </pic:pic>
            </a:graphicData>
          </a:graphic>
        </wp:inline>
      </w:drawing>
    </w:r>
  </w:p>
  <w:tbl>
    <w:tblPr>
      <w:tblW w:w="9639" w:type="dxa"/>
      <w:jc w:val="center"/>
      <w:tblLayout w:type="fixed"/>
      <w:tblCellMar>
        <w:left w:w="70" w:type="dxa"/>
        <w:right w:w="70" w:type="dxa"/>
      </w:tblCellMar>
      <w:tblLook w:val="0000" w:firstRow="0" w:lastRow="0" w:firstColumn="0" w:lastColumn="0" w:noHBand="0" w:noVBand="0"/>
    </w:tblPr>
    <w:tblGrid>
      <w:gridCol w:w="2977"/>
      <w:gridCol w:w="4961"/>
      <w:gridCol w:w="1701"/>
    </w:tblGrid>
    <w:tr>
      <w:trPr>
        <w:trHeight w:hRule="exact" w:val="567"/>
        <w:jc w:val="center"/>
      </w:trPr>
      <w:tc>
        <w:tcPr>
          <w:tcW w:w="2977" w:type="dxa"/>
          <w:tcMar>
            <w:left w:w="0" w:type="dxa"/>
          </w:tcMar>
          <w:vAlign w:val="center"/>
        </w:tcPr>
        <w:p>
          <w:pPr>
            <w:spacing w:line="240" w:lineRule="atLeast"/>
            <w:ind w:right="360"/>
            <w:rPr>
              <w:rStyle w:val="Numeropagina"/>
              <w:rFonts w:ascii="Courier" w:hAnsi="Courier"/>
              <w:b/>
            </w:rPr>
          </w:pPr>
        </w:p>
      </w:tc>
      <w:tc>
        <w:tcPr>
          <w:tcW w:w="4961" w:type="dxa"/>
        </w:tcPr>
        <w:p>
          <w:pPr>
            <w:jc w:val="center"/>
            <w:rPr>
              <w:rFonts w:ascii="Arial" w:hAnsi="Arial" w:cs="Arial"/>
              <w:i/>
              <w:sz w:val="20"/>
              <w:szCs w:val="20"/>
            </w:rPr>
          </w:pPr>
        </w:p>
      </w:tc>
      <w:tc>
        <w:tcPr>
          <w:tcW w:w="1701" w:type="dxa"/>
        </w:tcPr>
        <w:p>
          <w:pPr>
            <w:spacing w:line="240" w:lineRule="atLeast"/>
            <w:ind w:right="141"/>
            <w:jc w:val="right"/>
            <w:rPr>
              <w:rStyle w:val="Numeropagina"/>
              <w:rFonts w:ascii="Arial" w:hAnsi="Arial" w:cs="Arial"/>
              <w:sz w:val="20"/>
            </w:rPr>
          </w:pPr>
        </w:p>
      </w:tc>
    </w:tr>
  </w:tbl>
  <w:p>
    <w:pPr>
      <w:pStyle w:val="corpoAltF"/>
      <w:rPr>
        <w:sz w:val="10"/>
        <w:szCs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pPr>
      <w:pStyle w:val="CorpoAltF0"/>
      <w:jc w:val="center"/>
      <w:rPr>
        <w:sz w:val="10"/>
        <w:szCs w:val="10"/>
      </w:rPr>
    </w:pPr>
    <w:r>
      <w:rPr>
        <w:noProof/>
        <w:sz w:val="10"/>
        <w:szCs w:val="10"/>
      </w:rPr>
      <w:drawing>
        <wp:inline distT="0" distB="0" distL="0" distR="0">
          <wp:extent cx="6120000" cy="36000"/>
          <wp:effectExtent l="0" t="0" r="0" b="0"/>
          <wp:docPr id="95" name="Immagin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36000"/>
                  </a:xfrm>
                  <a:prstGeom prst="rect">
                    <a:avLst/>
                  </a:prstGeom>
                  <a:noFill/>
                  <a:ln>
                    <a:noFill/>
                  </a:ln>
                </pic:spPr>
              </pic:pic>
            </a:graphicData>
          </a:graphic>
        </wp:inline>
      </w:drawing>
    </w:r>
  </w:p>
  <w:tbl>
    <w:tblPr>
      <w:tblW w:w="9639" w:type="dxa"/>
      <w:jc w:val="center"/>
      <w:tblLayout w:type="fixed"/>
      <w:tblCellMar>
        <w:left w:w="70" w:type="dxa"/>
        <w:right w:w="70" w:type="dxa"/>
      </w:tblCellMar>
      <w:tblLook w:val="0000" w:firstRow="0" w:lastRow="0" w:firstColumn="0" w:lastColumn="0" w:noHBand="0" w:noVBand="0"/>
    </w:tblPr>
    <w:tblGrid>
      <w:gridCol w:w="2977"/>
      <w:gridCol w:w="4961"/>
      <w:gridCol w:w="1701"/>
    </w:tblGrid>
    <w:tr>
      <w:trPr>
        <w:trHeight w:hRule="exact" w:val="567"/>
        <w:jc w:val="center"/>
      </w:trPr>
      <w:tc>
        <w:tcPr>
          <w:tcW w:w="2977" w:type="dxa"/>
          <w:tcMar>
            <w:left w:w="0" w:type="dxa"/>
          </w:tcMar>
          <w:vAlign w:val="center"/>
        </w:tcPr>
        <w:p>
          <w:pPr>
            <w:spacing w:line="240" w:lineRule="atLeast"/>
            <w:ind w:right="360"/>
            <w:rPr>
              <w:rStyle w:val="Numeropagina"/>
              <w:rFonts w:ascii="Courier" w:hAnsi="Courier"/>
              <w:b/>
            </w:rPr>
          </w:pPr>
        </w:p>
      </w:tc>
      <w:tc>
        <w:tcPr>
          <w:tcW w:w="4961" w:type="dxa"/>
        </w:tcPr>
        <w:p>
          <w:pPr>
            <w:jc w:val="center"/>
            <w:rPr>
              <w:rFonts w:ascii="Arial" w:hAnsi="Arial" w:cs="Arial"/>
              <w:i/>
              <w:sz w:val="20"/>
              <w:szCs w:val="20"/>
            </w:rPr>
          </w:pPr>
        </w:p>
      </w:tc>
      <w:tc>
        <w:tcPr>
          <w:tcW w:w="1701" w:type="dxa"/>
        </w:tcPr>
        <w:p>
          <w:pPr>
            <w:pStyle w:val="CorpoAltF0"/>
            <w:ind w:right="75"/>
            <w:rPr>
              <w:rStyle w:val="Numeropagina"/>
              <w:sz w:val="10"/>
              <w:szCs w:val="10"/>
            </w:rPr>
          </w:pPr>
        </w:p>
        <w:p>
          <w:pPr>
            <w:spacing w:line="240" w:lineRule="atLeast"/>
            <w:ind w:right="75"/>
            <w:jc w:val="right"/>
            <w:rPr>
              <w:rStyle w:val="Numeropagina"/>
              <w:rFonts w:ascii="Arial" w:hAnsi="Arial" w:cs="Arial"/>
              <w:sz w:val="20"/>
            </w:rPr>
          </w:pPr>
          <w:r>
            <w:rPr>
              <w:rStyle w:val="Numeropagina"/>
              <w:rFonts w:ascii="Arial" w:hAnsi="Arial" w:cs="Arial"/>
              <w:noProof/>
              <w:sz w:val="20"/>
            </w:rPr>
            <mc:AlternateContent>
              <mc:Choice Requires="wps">
                <w:drawing>
                  <wp:inline distT="0" distB="0" distL="0" distR="0">
                    <wp:extent cx="871220" cy="158115"/>
                    <wp:effectExtent l="9525" t="9525" r="5080" b="13335"/>
                    <wp:docPr id="99" name="Rettangolo con angoli arrotondati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1220" cy="158115"/>
                            </a:xfrm>
                            <a:prstGeom prst="roundRect">
                              <a:avLst>
                                <a:gd name="adj" fmla="val 16667"/>
                              </a:avLst>
                            </a:prstGeom>
                            <a:noFill/>
                            <a:ln w="9525">
                              <a:solidFill>
                                <a:schemeClr val="accent1">
                                  <a:lumMod val="75000"/>
                                  <a:lumOff val="0"/>
                                </a:schemeClr>
                              </a:solidFill>
                              <a:round/>
                              <a:headEnd/>
                              <a:tailEnd/>
                            </a:ln>
                            <a:extLst>
                              <a:ext uri="{909E8E84-426E-40DD-AFC4-6F175D3DCCD1}">
                                <a14:hiddenFill xmlns:a14="http://schemas.microsoft.com/office/drawing/2010/main">
                                  <a:solidFill>
                                    <a:srgbClr val="365F91"/>
                                  </a:solidFill>
                                </a14:hiddenFill>
                              </a:ext>
                            </a:extLst>
                          </wps:spPr>
                          <wps:txbx>
                            <w:txbxContent>
                              <w:p>
                                <w:pPr>
                                  <w:jc w:val="center"/>
                                  <w:rPr>
                                    <w:rFonts w:ascii="Verdana" w:hAnsi="Verdana"/>
                                    <w:b/>
                                    <w:color w:val="365F91"/>
                                    <w:sz w:val="12"/>
                                    <w:szCs w:val="12"/>
                                  </w:rPr>
                                </w:pPr>
                                <w:hyperlink w:anchor="INDICE" w:history="1">
                                  <w:r>
                                    <w:rPr>
                                      <w:rStyle w:val="Collegamentoipertestuale"/>
                                      <w:rFonts w:ascii="Verdana" w:hAnsi="Verdana"/>
                                      <w:b/>
                                      <w:color w:val="365F91"/>
                                      <w:sz w:val="12"/>
                                      <w:szCs w:val="12"/>
                                    </w:rPr>
                                    <w:t>Torna all’indice</w:t>
                                  </w:r>
                                </w:hyperlink>
                              </w:p>
                            </w:txbxContent>
                          </wps:txbx>
                          <wps:bodyPr rot="0" vert="horz" wrap="square" lIns="91440" tIns="10800" rIns="91440" bIns="10800" anchor="t" anchorCtr="0" upright="1">
                            <a:noAutofit/>
                          </wps:bodyPr>
                        </wps:wsp>
                      </a:graphicData>
                    </a:graphic>
                  </wp:inline>
                </w:drawing>
              </mc:Choice>
              <mc:Fallback>
                <w:pict>
                  <v:roundrect id="Rettangolo con angoli arrotondati 99" o:spid="_x0000_s1094" style="width:68.6pt;height:12.4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" filled="f" fillcolor="#365f91" strokecolor="#365f91 [2404]">
                    <v:textbox inset=",.3mm,,.3mm">
                      <w:txbxContent>
                        <w:p>
                          <w:pPr>
                            <w:jc w:val="center"/>
                            <w:rPr>
                              <w:rFonts w:ascii="Verdana" w:hAnsi="Verdana"/>
                              <w:b/>
                              <w:color w:val="365F91"/>
                              <w:sz w:val="12"/>
                              <w:szCs w:val="12"/>
                            </w:rPr>
                          </w:pPr>
                          <w:hyperlink w:anchor="INDICE" w:history="1">
                            <w:r>
                              <w:rPr>
                                <w:rStyle w:val="Collegamentoipertestuale"/>
                                <w:rFonts w:ascii="Verdana" w:hAnsi="Verdana"/>
                                <w:b/>
                                <w:color w:val="365F91"/>
                                <w:sz w:val="12"/>
                                <w:szCs w:val="12"/>
                              </w:rPr>
                              <w:t>Torna all’indice</w:t>
                            </w:r>
                          </w:hyperlink>
                        </w:p>
                      </w:txbxContent>
                    </v:textbox>
                    <w10:anchorlock/>
                  </v:roundrect>
                </w:pict>
              </mc:Fallback>
            </mc:AlternateContent>
          </w:r>
        </w:p>
      </w:tc>
    </w:tr>
  </w:tbl>
  <w:p>
    <w:pPr>
      <w:pStyle w:val="corpoAltF"/>
      <w:rPr>
        <w:sz w:val="10"/>
        <w:szCs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40" w:type="dxa"/>
      <w:tblInd w:w="7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3262"/>
      <w:gridCol w:w="3402"/>
      <w:gridCol w:w="2976"/>
    </w:tblGrid>
    <w:tr>
      <w:trPr>
        <w:trHeight w:hRule="exact" w:val="624"/>
      </w:trPr>
      <w:tc>
        <w:tcPr>
          <w:tcW w:w="3262" w:type="dxa"/>
          <w:vAlign w:val="center"/>
        </w:tcPr>
        <w:p>
          <w:pPr>
            <w:pStyle w:val="CorpoAltF0"/>
            <w:jc w:val="center"/>
          </w:pPr>
          <w:r>
            <w:rPr>
              <w:noProof/>
            </w:rPr>
            <w:drawing>
              <wp:inline distT="0" distB="0" distL="0" distR="0">
                <wp:extent cx="1690687" cy="330708"/>
                <wp:effectExtent l="0" t="0" r="5080" b="0"/>
                <wp:docPr id="16" name="Immagine 16" descr="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1"/>
                        <pic:cNvPicPr>
                          <a:picLocks noChangeAspect="1" noChangeArrowheads="1"/>
                        </pic:cNvPicPr>
                      </pic:nvPicPr>
                      <pic:blipFill rotWithShape="1">
                        <a:blip r:embed="rId1">
                          <a:extLst>
                            <a:ext uri="{28A0092B-C50C-407E-A947-70E740481C1C}">
                              <a14:useLocalDpi xmlns:a14="http://schemas.microsoft.com/office/drawing/2010/main" val="0"/>
                            </a:ext>
                          </a:extLst>
                        </a:blip>
                        <a:srcRect t="4549" b="5194"/>
                        <a:stretch/>
                      </pic:blipFill>
                      <pic:spPr bwMode="auto">
                        <a:xfrm>
                          <a:off x="0" y="0"/>
                          <a:ext cx="1693545" cy="3312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02" w:type="dxa"/>
          <w:vAlign w:val="center"/>
        </w:tcPr>
        <w:p>
          <w:pPr>
            <w:pStyle w:val="CorpoAltF0"/>
            <w:jc w:val="center"/>
            <w:rPr>
              <w:b/>
              <w:sz w:val="24"/>
              <w:szCs w:val="24"/>
            </w:rPr>
          </w:pPr>
          <w:r>
            <w:rPr>
              <w:b/>
              <w:sz w:val="24"/>
              <w:szCs w:val="24"/>
            </w:rPr>
            <w:t>Autoliquidazione INAIL 2019</w:t>
          </w:r>
        </w:p>
      </w:tc>
      <w:tc>
        <w:tcPr>
          <w:tcW w:w="2976" w:type="dxa"/>
          <w:vAlign w:val="center"/>
        </w:tcPr>
        <w:p>
          <w:pPr>
            <w:pStyle w:val="CorpoAltF0"/>
            <w:jc w:val="center"/>
            <w:rPr>
              <w:b/>
              <w:sz w:val="24"/>
              <w:szCs w:val="24"/>
            </w:rPr>
          </w:pPr>
          <w:r>
            <w:rPr>
              <w:b/>
              <w:sz w:val="24"/>
              <w:szCs w:val="24"/>
            </w:rPr>
            <w:fldChar w:fldCharType="begin"/>
          </w:r>
          <w:r>
            <w:rPr>
              <w:b/>
              <w:sz w:val="24"/>
              <w:szCs w:val="24"/>
            </w:rPr>
            <w:instrText xml:space="preserve"> PAGE  \* MERGEFORMAT </w:instrText>
          </w:r>
          <w:r>
            <w:rPr>
              <w:b/>
              <w:sz w:val="24"/>
              <w:szCs w:val="24"/>
            </w:rPr>
            <w:fldChar w:fldCharType="separate"/>
          </w:r>
          <w:r>
            <w:rPr>
              <w:b/>
              <w:noProof/>
              <w:sz w:val="24"/>
              <w:szCs w:val="24"/>
            </w:rPr>
            <w:t>3</w:t>
          </w:r>
          <w:r>
            <w:rPr>
              <w:b/>
              <w:sz w:val="24"/>
              <w:szCs w:val="24"/>
            </w:rPr>
            <w:fldChar w:fldCharType="end"/>
          </w:r>
          <w:r>
            <w:rPr>
              <w:b/>
              <w:sz w:val="24"/>
              <w:szCs w:val="24"/>
            </w:rPr>
            <w:t xml:space="preserve"> / </w:t>
          </w:r>
          <w:r>
            <w:rPr>
              <w:b/>
              <w:sz w:val="24"/>
              <w:szCs w:val="24"/>
            </w:rPr>
            <w:fldChar w:fldCharType="begin"/>
          </w:r>
          <w:r>
            <w:rPr>
              <w:b/>
              <w:sz w:val="24"/>
              <w:szCs w:val="24"/>
            </w:rPr>
            <w:instrText xml:space="preserve"> NUMPAGES  \* MERGEFORMAT </w:instrText>
          </w:r>
          <w:r>
            <w:rPr>
              <w:b/>
              <w:sz w:val="24"/>
              <w:szCs w:val="24"/>
            </w:rPr>
            <w:fldChar w:fldCharType="separate"/>
          </w:r>
          <w:r>
            <w:rPr>
              <w:b/>
              <w:noProof/>
              <w:sz w:val="24"/>
              <w:szCs w:val="24"/>
            </w:rPr>
            <w:t>60</w:t>
          </w:r>
          <w:r>
            <w:rPr>
              <w:b/>
              <w:sz w:val="24"/>
              <w:szCs w:val="24"/>
            </w:rPr>
            <w:fldChar w:fldCharType="end"/>
          </w:r>
          <w:bookmarkStart w:id="2" w:name="_Toc33011301"/>
        </w:p>
      </w:tc>
    </w:tr>
    <w:bookmarkEnd w:id="2"/>
  </w:tbl>
  <w:p>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A51E2"/>
    <w:multiLevelType w:val="hybridMultilevel"/>
    <w:tmpl w:val="0868CE5A"/>
    <w:lvl w:ilvl="0" w:tplc="105AB2E8">
      <w:numFmt w:val="bullet"/>
      <w:lvlText w:val="-"/>
      <w:lvlJc w:val="left"/>
      <w:pPr>
        <w:ind w:left="720" w:hanging="360"/>
      </w:pPr>
      <w:rPr>
        <w:rFonts w:ascii="Arial" w:eastAsia="Berlin Sans FB"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2F238C6"/>
    <w:multiLevelType w:val="hybridMultilevel"/>
    <w:tmpl w:val="8FD46086"/>
    <w:lvl w:ilvl="0" w:tplc="D79892CE">
      <w:numFmt w:val="bullet"/>
      <w:lvlText w:val="-"/>
      <w:lvlJc w:val="left"/>
      <w:pPr>
        <w:ind w:left="720" w:hanging="360"/>
      </w:pPr>
      <w:rPr>
        <w:rFonts w:ascii="Arial" w:eastAsia="Berlin Sans FB" w:hAnsi="Arial" w:cs="Arial"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2F93046"/>
    <w:multiLevelType w:val="hybridMultilevel"/>
    <w:tmpl w:val="793429C2"/>
    <w:lvl w:ilvl="0" w:tplc="0410000B">
      <w:start w:val="1"/>
      <w:numFmt w:val="bullet"/>
      <w:lvlText w:val=""/>
      <w:lvlJc w:val="left"/>
      <w:pPr>
        <w:ind w:left="1174" w:hanging="360"/>
      </w:pPr>
      <w:rPr>
        <w:rFonts w:ascii="Wingdings" w:hAnsi="Wingdings" w:hint="default"/>
      </w:rPr>
    </w:lvl>
    <w:lvl w:ilvl="1" w:tplc="04100003" w:tentative="1">
      <w:start w:val="1"/>
      <w:numFmt w:val="bullet"/>
      <w:lvlText w:val="o"/>
      <w:lvlJc w:val="left"/>
      <w:pPr>
        <w:ind w:left="1894" w:hanging="360"/>
      </w:pPr>
      <w:rPr>
        <w:rFonts w:ascii="Courier New" w:hAnsi="Courier New" w:cs="Courier New" w:hint="default"/>
      </w:rPr>
    </w:lvl>
    <w:lvl w:ilvl="2" w:tplc="04100005" w:tentative="1">
      <w:start w:val="1"/>
      <w:numFmt w:val="bullet"/>
      <w:lvlText w:val=""/>
      <w:lvlJc w:val="left"/>
      <w:pPr>
        <w:ind w:left="2614" w:hanging="360"/>
      </w:pPr>
      <w:rPr>
        <w:rFonts w:ascii="Wingdings" w:hAnsi="Wingdings" w:hint="default"/>
      </w:rPr>
    </w:lvl>
    <w:lvl w:ilvl="3" w:tplc="04100001" w:tentative="1">
      <w:start w:val="1"/>
      <w:numFmt w:val="bullet"/>
      <w:lvlText w:val=""/>
      <w:lvlJc w:val="left"/>
      <w:pPr>
        <w:ind w:left="3334" w:hanging="360"/>
      </w:pPr>
      <w:rPr>
        <w:rFonts w:ascii="Symbol" w:hAnsi="Symbol" w:hint="default"/>
      </w:rPr>
    </w:lvl>
    <w:lvl w:ilvl="4" w:tplc="04100003" w:tentative="1">
      <w:start w:val="1"/>
      <w:numFmt w:val="bullet"/>
      <w:lvlText w:val="o"/>
      <w:lvlJc w:val="left"/>
      <w:pPr>
        <w:ind w:left="4054" w:hanging="360"/>
      </w:pPr>
      <w:rPr>
        <w:rFonts w:ascii="Courier New" w:hAnsi="Courier New" w:cs="Courier New" w:hint="default"/>
      </w:rPr>
    </w:lvl>
    <w:lvl w:ilvl="5" w:tplc="04100005" w:tentative="1">
      <w:start w:val="1"/>
      <w:numFmt w:val="bullet"/>
      <w:lvlText w:val=""/>
      <w:lvlJc w:val="left"/>
      <w:pPr>
        <w:ind w:left="4774" w:hanging="360"/>
      </w:pPr>
      <w:rPr>
        <w:rFonts w:ascii="Wingdings" w:hAnsi="Wingdings" w:hint="default"/>
      </w:rPr>
    </w:lvl>
    <w:lvl w:ilvl="6" w:tplc="04100001" w:tentative="1">
      <w:start w:val="1"/>
      <w:numFmt w:val="bullet"/>
      <w:lvlText w:val=""/>
      <w:lvlJc w:val="left"/>
      <w:pPr>
        <w:ind w:left="5494" w:hanging="360"/>
      </w:pPr>
      <w:rPr>
        <w:rFonts w:ascii="Symbol" w:hAnsi="Symbol" w:hint="default"/>
      </w:rPr>
    </w:lvl>
    <w:lvl w:ilvl="7" w:tplc="04100003" w:tentative="1">
      <w:start w:val="1"/>
      <w:numFmt w:val="bullet"/>
      <w:lvlText w:val="o"/>
      <w:lvlJc w:val="left"/>
      <w:pPr>
        <w:ind w:left="6214" w:hanging="360"/>
      </w:pPr>
      <w:rPr>
        <w:rFonts w:ascii="Courier New" w:hAnsi="Courier New" w:cs="Courier New" w:hint="default"/>
      </w:rPr>
    </w:lvl>
    <w:lvl w:ilvl="8" w:tplc="04100005" w:tentative="1">
      <w:start w:val="1"/>
      <w:numFmt w:val="bullet"/>
      <w:lvlText w:val=""/>
      <w:lvlJc w:val="left"/>
      <w:pPr>
        <w:ind w:left="6934" w:hanging="360"/>
      </w:pPr>
      <w:rPr>
        <w:rFonts w:ascii="Wingdings" w:hAnsi="Wingdings" w:hint="default"/>
      </w:rPr>
    </w:lvl>
  </w:abstractNum>
  <w:abstractNum w:abstractNumId="3" w15:restartNumberingAfterBreak="0">
    <w:nsid w:val="178B5F83"/>
    <w:multiLevelType w:val="hybridMultilevel"/>
    <w:tmpl w:val="5156C324"/>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7960ABB"/>
    <w:multiLevelType w:val="hybridMultilevel"/>
    <w:tmpl w:val="AACA8746"/>
    <w:lvl w:ilvl="0" w:tplc="D79892CE">
      <w:numFmt w:val="bullet"/>
      <w:lvlText w:val="-"/>
      <w:lvlJc w:val="left"/>
      <w:pPr>
        <w:ind w:left="720" w:hanging="360"/>
      </w:pPr>
      <w:rPr>
        <w:rFonts w:ascii="Arial" w:eastAsia="Berlin Sans FB" w:hAnsi="Arial" w:cs="Arial"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AFA318D"/>
    <w:multiLevelType w:val="hybridMultilevel"/>
    <w:tmpl w:val="3B5A4A8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E600A10"/>
    <w:multiLevelType w:val="hybridMultilevel"/>
    <w:tmpl w:val="56C096DE"/>
    <w:lvl w:ilvl="0" w:tplc="43A2FFD0">
      <w:start w:val="1"/>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213102E1"/>
    <w:multiLevelType w:val="hybridMultilevel"/>
    <w:tmpl w:val="1CC61EBC"/>
    <w:lvl w:ilvl="0" w:tplc="805024D6">
      <w:start w:val="9"/>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4D35CBC"/>
    <w:multiLevelType w:val="hybridMultilevel"/>
    <w:tmpl w:val="A3A0B2F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5027D2A"/>
    <w:multiLevelType w:val="hybridMultilevel"/>
    <w:tmpl w:val="1B087E6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2CB71622"/>
    <w:multiLevelType w:val="hybridMultilevel"/>
    <w:tmpl w:val="C6BCBB4C"/>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CEA404F"/>
    <w:multiLevelType w:val="hybridMultilevel"/>
    <w:tmpl w:val="D276B2B2"/>
    <w:lvl w:ilvl="0" w:tplc="1D000298">
      <w:numFmt w:val="bullet"/>
      <w:lvlText w:val="-"/>
      <w:lvlJc w:val="left"/>
      <w:pPr>
        <w:ind w:left="720" w:hanging="360"/>
      </w:pPr>
      <w:rPr>
        <w:rFonts w:ascii="Times New Roman" w:hAnsi="Times New Roman" w:hint="default"/>
        <w:sz w:val="1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6FE6F73"/>
    <w:multiLevelType w:val="hybridMultilevel"/>
    <w:tmpl w:val="A94E9F94"/>
    <w:lvl w:ilvl="0" w:tplc="1D000298">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37380D6D"/>
    <w:multiLevelType w:val="hybridMultilevel"/>
    <w:tmpl w:val="5FA2629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3F183C2B"/>
    <w:multiLevelType w:val="hybridMultilevel"/>
    <w:tmpl w:val="DB5A8DA4"/>
    <w:lvl w:ilvl="0" w:tplc="1D000298">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9A335F4"/>
    <w:multiLevelType w:val="hybridMultilevel"/>
    <w:tmpl w:val="247052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A200265"/>
    <w:multiLevelType w:val="hybridMultilevel"/>
    <w:tmpl w:val="C700D2D0"/>
    <w:lvl w:ilvl="0" w:tplc="0CF09BAA">
      <w:start w:val="1"/>
      <w:numFmt w:val="decimal"/>
      <w:lvlText w:val="(%1)"/>
      <w:lvlJc w:val="left"/>
      <w:pPr>
        <w:ind w:left="394" w:hanging="360"/>
      </w:pPr>
      <w:rPr>
        <w:rFonts w:hint="default"/>
        <w:vertAlign w:val="superscript"/>
      </w:rPr>
    </w:lvl>
    <w:lvl w:ilvl="1" w:tplc="04100019" w:tentative="1">
      <w:start w:val="1"/>
      <w:numFmt w:val="lowerLetter"/>
      <w:lvlText w:val="%2."/>
      <w:lvlJc w:val="left"/>
      <w:pPr>
        <w:ind w:left="1114" w:hanging="360"/>
      </w:pPr>
    </w:lvl>
    <w:lvl w:ilvl="2" w:tplc="0410001B" w:tentative="1">
      <w:start w:val="1"/>
      <w:numFmt w:val="lowerRoman"/>
      <w:lvlText w:val="%3."/>
      <w:lvlJc w:val="right"/>
      <w:pPr>
        <w:ind w:left="1834" w:hanging="180"/>
      </w:pPr>
    </w:lvl>
    <w:lvl w:ilvl="3" w:tplc="0410000F" w:tentative="1">
      <w:start w:val="1"/>
      <w:numFmt w:val="decimal"/>
      <w:lvlText w:val="%4."/>
      <w:lvlJc w:val="left"/>
      <w:pPr>
        <w:ind w:left="2554" w:hanging="360"/>
      </w:pPr>
    </w:lvl>
    <w:lvl w:ilvl="4" w:tplc="04100019" w:tentative="1">
      <w:start w:val="1"/>
      <w:numFmt w:val="lowerLetter"/>
      <w:lvlText w:val="%5."/>
      <w:lvlJc w:val="left"/>
      <w:pPr>
        <w:ind w:left="3274" w:hanging="360"/>
      </w:pPr>
    </w:lvl>
    <w:lvl w:ilvl="5" w:tplc="0410001B" w:tentative="1">
      <w:start w:val="1"/>
      <w:numFmt w:val="lowerRoman"/>
      <w:lvlText w:val="%6."/>
      <w:lvlJc w:val="right"/>
      <w:pPr>
        <w:ind w:left="3994" w:hanging="180"/>
      </w:pPr>
    </w:lvl>
    <w:lvl w:ilvl="6" w:tplc="0410000F" w:tentative="1">
      <w:start w:val="1"/>
      <w:numFmt w:val="decimal"/>
      <w:lvlText w:val="%7."/>
      <w:lvlJc w:val="left"/>
      <w:pPr>
        <w:ind w:left="4714" w:hanging="360"/>
      </w:pPr>
    </w:lvl>
    <w:lvl w:ilvl="7" w:tplc="04100019" w:tentative="1">
      <w:start w:val="1"/>
      <w:numFmt w:val="lowerLetter"/>
      <w:lvlText w:val="%8."/>
      <w:lvlJc w:val="left"/>
      <w:pPr>
        <w:ind w:left="5434" w:hanging="360"/>
      </w:pPr>
    </w:lvl>
    <w:lvl w:ilvl="8" w:tplc="0410001B" w:tentative="1">
      <w:start w:val="1"/>
      <w:numFmt w:val="lowerRoman"/>
      <w:lvlText w:val="%9."/>
      <w:lvlJc w:val="right"/>
      <w:pPr>
        <w:ind w:left="6154" w:hanging="180"/>
      </w:pPr>
    </w:lvl>
  </w:abstractNum>
  <w:abstractNum w:abstractNumId="17" w15:restartNumberingAfterBreak="0">
    <w:nsid w:val="4D2F5839"/>
    <w:multiLevelType w:val="hybridMultilevel"/>
    <w:tmpl w:val="A0FA1FEA"/>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8" w15:restartNumberingAfterBreak="0">
    <w:nsid w:val="57E40049"/>
    <w:multiLevelType w:val="hybridMultilevel"/>
    <w:tmpl w:val="4E44E2CE"/>
    <w:lvl w:ilvl="0" w:tplc="1D000298">
      <w:numFmt w:val="bullet"/>
      <w:lvlText w:val="-"/>
      <w:lvlJc w:val="left"/>
      <w:pPr>
        <w:ind w:left="754" w:hanging="360"/>
      </w:pPr>
      <w:rPr>
        <w:rFonts w:ascii="Times New Roman" w:hAnsi="Times New Roman" w:hint="default"/>
      </w:rPr>
    </w:lvl>
    <w:lvl w:ilvl="1" w:tplc="04100003" w:tentative="1">
      <w:start w:val="1"/>
      <w:numFmt w:val="bullet"/>
      <w:lvlText w:val="o"/>
      <w:lvlJc w:val="left"/>
      <w:pPr>
        <w:ind w:left="1474" w:hanging="360"/>
      </w:pPr>
      <w:rPr>
        <w:rFonts w:ascii="Courier New" w:hAnsi="Courier New" w:cs="Courier New" w:hint="default"/>
      </w:rPr>
    </w:lvl>
    <w:lvl w:ilvl="2" w:tplc="04100005" w:tentative="1">
      <w:start w:val="1"/>
      <w:numFmt w:val="bullet"/>
      <w:lvlText w:val=""/>
      <w:lvlJc w:val="left"/>
      <w:pPr>
        <w:ind w:left="2194" w:hanging="360"/>
      </w:pPr>
      <w:rPr>
        <w:rFonts w:ascii="Wingdings" w:hAnsi="Wingdings" w:hint="default"/>
      </w:rPr>
    </w:lvl>
    <w:lvl w:ilvl="3" w:tplc="04100001" w:tentative="1">
      <w:start w:val="1"/>
      <w:numFmt w:val="bullet"/>
      <w:lvlText w:val=""/>
      <w:lvlJc w:val="left"/>
      <w:pPr>
        <w:ind w:left="2914" w:hanging="360"/>
      </w:pPr>
      <w:rPr>
        <w:rFonts w:ascii="Symbol" w:hAnsi="Symbol" w:hint="default"/>
      </w:rPr>
    </w:lvl>
    <w:lvl w:ilvl="4" w:tplc="04100003" w:tentative="1">
      <w:start w:val="1"/>
      <w:numFmt w:val="bullet"/>
      <w:lvlText w:val="o"/>
      <w:lvlJc w:val="left"/>
      <w:pPr>
        <w:ind w:left="3634" w:hanging="360"/>
      </w:pPr>
      <w:rPr>
        <w:rFonts w:ascii="Courier New" w:hAnsi="Courier New" w:cs="Courier New" w:hint="default"/>
      </w:rPr>
    </w:lvl>
    <w:lvl w:ilvl="5" w:tplc="04100005" w:tentative="1">
      <w:start w:val="1"/>
      <w:numFmt w:val="bullet"/>
      <w:lvlText w:val=""/>
      <w:lvlJc w:val="left"/>
      <w:pPr>
        <w:ind w:left="4354" w:hanging="360"/>
      </w:pPr>
      <w:rPr>
        <w:rFonts w:ascii="Wingdings" w:hAnsi="Wingdings" w:hint="default"/>
      </w:rPr>
    </w:lvl>
    <w:lvl w:ilvl="6" w:tplc="04100001" w:tentative="1">
      <w:start w:val="1"/>
      <w:numFmt w:val="bullet"/>
      <w:lvlText w:val=""/>
      <w:lvlJc w:val="left"/>
      <w:pPr>
        <w:ind w:left="5074" w:hanging="360"/>
      </w:pPr>
      <w:rPr>
        <w:rFonts w:ascii="Symbol" w:hAnsi="Symbol" w:hint="default"/>
      </w:rPr>
    </w:lvl>
    <w:lvl w:ilvl="7" w:tplc="04100003" w:tentative="1">
      <w:start w:val="1"/>
      <w:numFmt w:val="bullet"/>
      <w:lvlText w:val="o"/>
      <w:lvlJc w:val="left"/>
      <w:pPr>
        <w:ind w:left="5794" w:hanging="360"/>
      </w:pPr>
      <w:rPr>
        <w:rFonts w:ascii="Courier New" w:hAnsi="Courier New" w:cs="Courier New" w:hint="default"/>
      </w:rPr>
    </w:lvl>
    <w:lvl w:ilvl="8" w:tplc="04100005" w:tentative="1">
      <w:start w:val="1"/>
      <w:numFmt w:val="bullet"/>
      <w:lvlText w:val=""/>
      <w:lvlJc w:val="left"/>
      <w:pPr>
        <w:ind w:left="6514" w:hanging="360"/>
      </w:pPr>
      <w:rPr>
        <w:rFonts w:ascii="Wingdings" w:hAnsi="Wingdings" w:hint="default"/>
      </w:rPr>
    </w:lvl>
  </w:abstractNum>
  <w:abstractNum w:abstractNumId="19" w15:restartNumberingAfterBreak="0">
    <w:nsid w:val="5CBF5634"/>
    <w:multiLevelType w:val="hybridMultilevel"/>
    <w:tmpl w:val="8DBABD9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5CC67005"/>
    <w:multiLevelType w:val="hybridMultilevel"/>
    <w:tmpl w:val="83F00F8A"/>
    <w:lvl w:ilvl="0" w:tplc="105AB2E8">
      <w:numFmt w:val="bullet"/>
      <w:lvlText w:val="-"/>
      <w:lvlJc w:val="left"/>
      <w:pPr>
        <w:ind w:left="720" w:hanging="360"/>
      </w:pPr>
      <w:rPr>
        <w:rFonts w:ascii="Arial" w:eastAsia="Berlin Sans FB"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5DF1435B"/>
    <w:multiLevelType w:val="hybridMultilevel"/>
    <w:tmpl w:val="8FB6D7F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5E2E5B49"/>
    <w:multiLevelType w:val="hybridMultilevel"/>
    <w:tmpl w:val="B2E22392"/>
    <w:lvl w:ilvl="0" w:tplc="1D000298">
      <w:numFmt w:val="bullet"/>
      <w:lvlText w:val="-"/>
      <w:lvlJc w:val="left"/>
      <w:pPr>
        <w:ind w:left="720" w:hanging="360"/>
      </w:pPr>
      <w:rPr>
        <w:rFonts w:ascii="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62622787"/>
    <w:multiLevelType w:val="hybridMultilevel"/>
    <w:tmpl w:val="5156C324"/>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677E1025"/>
    <w:multiLevelType w:val="hybridMultilevel"/>
    <w:tmpl w:val="1C7E95FE"/>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6A074C7C"/>
    <w:multiLevelType w:val="hybridMultilevel"/>
    <w:tmpl w:val="E8D0199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6A72681B"/>
    <w:multiLevelType w:val="hybridMultilevel"/>
    <w:tmpl w:val="916C85B6"/>
    <w:lvl w:ilvl="0" w:tplc="105AB2E8">
      <w:numFmt w:val="bullet"/>
      <w:lvlText w:val="-"/>
      <w:lvlJc w:val="left"/>
      <w:pPr>
        <w:ind w:left="720" w:hanging="360"/>
      </w:pPr>
      <w:rPr>
        <w:rFonts w:ascii="Arial" w:eastAsia="Berlin Sans FB"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6AEF32B4"/>
    <w:multiLevelType w:val="hybridMultilevel"/>
    <w:tmpl w:val="BEB24284"/>
    <w:lvl w:ilvl="0" w:tplc="105AB2E8">
      <w:numFmt w:val="bullet"/>
      <w:lvlText w:val="-"/>
      <w:lvlJc w:val="left"/>
      <w:pPr>
        <w:ind w:left="1004" w:hanging="360"/>
      </w:pPr>
      <w:rPr>
        <w:rFonts w:ascii="Arial" w:eastAsia="Berlin Sans FB" w:hAnsi="Arial" w:cs="Aria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28" w15:restartNumberingAfterBreak="0">
    <w:nsid w:val="6C321AE1"/>
    <w:multiLevelType w:val="hybridMultilevel"/>
    <w:tmpl w:val="D0ACCED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D19269A"/>
    <w:multiLevelType w:val="hybridMultilevel"/>
    <w:tmpl w:val="0FE88554"/>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71CA2E84"/>
    <w:multiLevelType w:val="hybridMultilevel"/>
    <w:tmpl w:val="86A023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741C2130"/>
    <w:multiLevelType w:val="hybridMultilevel"/>
    <w:tmpl w:val="ED509F5A"/>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74E66C27"/>
    <w:multiLevelType w:val="hybridMultilevel"/>
    <w:tmpl w:val="CDD6407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791149CE"/>
    <w:multiLevelType w:val="hybridMultilevel"/>
    <w:tmpl w:val="3964F95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7B9B35F2"/>
    <w:multiLevelType w:val="hybridMultilevel"/>
    <w:tmpl w:val="89F03862"/>
    <w:lvl w:ilvl="0" w:tplc="D79892CE">
      <w:numFmt w:val="bullet"/>
      <w:lvlText w:val="-"/>
      <w:lvlJc w:val="left"/>
      <w:pPr>
        <w:ind w:left="720" w:hanging="360"/>
      </w:pPr>
      <w:rPr>
        <w:rFonts w:ascii="Arial" w:eastAsia="Berlin Sans FB" w:hAnsi="Arial" w:cs="Arial"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31"/>
  </w:num>
  <w:num w:numId="2">
    <w:abstractNumId w:val="32"/>
  </w:num>
  <w:num w:numId="3">
    <w:abstractNumId w:val="13"/>
  </w:num>
  <w:num w:numId="4">
    <w:abstractNumId w:val="24"/>
  </w:num>
  <w:num w:numId="5">
    <w:abstractNumId w:val="7"/>
  </w:num>
  <w:num w:numId="6">
    <w:abstractNumId w:val="25"/>
  </w:num>
  <w:num w:numId="7">
    <w:abstractNumId w:val="22"/>
  </w:num>
  <w:num w:numId="8">
    <w:abstractNumId w:val="18"/>
  </w:num>
  <w:num w:numId="9">
    <w:abstractNumId w:val="16"/>
  </w:num>
  <w:num w:numId="10">
    <w:abstractNumId w:val="14"/>
  </w:num>
  <w:num w:numId="11">
    <w:abstractNumId w:val="11"/>
  </w:num>
  <w:num w:numId="12">
    <w:abstractNumId w:val="30"/>
  </w:num>
  <w:num w:numId="13">
    <w:abstractNumId w:val="12"/>
  </w:num>
  <w:num w:numId="14">
    <w:abstractNumId w:val="20"/>
  </w:num>
  <w:num w:numId="15">
    <w:abstractNumId w:val="23"/>
  </w:num>
  <w:num w:numId="16">
    <w:abstractNumId w:val="26"/>
  </w:num>
  <w:num w:numId="17">
    <w:abstractNumId w:val="3"/>
  </w:num>
  <w:num w:numId="18">
    <w:abstractNumId w:val="8"/>
  </w:num>
  <w:num w:numId="19">
    <w:abstractNumId w:val="0"/>
  </w:num>
  <w:num w:numId="20">
    <w:abstractNumId w:val="9"/>
  </w:num>
  <w:num w:numId="21">
    <w:abstractNumId w:val="1"/>
  </w:num>
  <w:num w:numId="22">
    <w:abstractNumId w:val="4"/>
  </w:num>
  <w:num w:numId="23">
    <w:abstractNumId w:val="17"/>
  </w:num>
  <w:num w:numId="24">
    <w:abstractNumId w:val="29"/>
  </w:num>
  <w:num w:numId="25">
    <w:abstractNumId w:val="27"/>
  </w:num>
  <w:num w:numId="26">
    <w:abstractNumId w:val="6"/>
  </w:num>
  <w:num w:numId="27">
    <w:abstractNumId w:val="28"/>
  </w:num>
  <w:num w:numId="28">
    <w:abstractNumId w:val="34"/>
  </w:num>
  <w:num w:numId="29">
    <w:abstractNumId w:val="2"/>
  </w:num>
  <w:num w:numId="30">
    <w:abstractNumId w:val="21"/>
  </w:num>
  <w:num w:numId="31">
    <w:abstractNumId w:val="2"/>
  </w:num>
  <w:num w:numId="32">
    <w:abstractNumId w:val="10"/>
  </w:num>
  <w:num w:numId="33">
    <w:abstractNumId w:val="5"/>
  </w:num>
  <w:num w:numId="34">
    <w:abstractNumId w:val="15"/>
  </w:num>
  <w:num w:numId="35">
    <w:abstractNumId w:val="19"/>
  </w:num>
  <w:num w:numId="36">
    <w:abstractNumId w:val="33"/>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drawingGridHorizontalSpacing w:val="181"/>
  <w:drawingGridVerticalSpacing w:val="181"/>
  <w:noPunctuationKerning/>
  <w:characterSpacingControl w:val="doNotCompress"/>
  <w:hdrShapeDefaults>
    <o:shapedefaults v:ext="edit" spidmax="2049" fill="f" fillcolor="white" strokecolor="red">
      <v:fill color="white" on="f"/>
      <v:stroke color="red" weight="1.25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color="red">
      <v:fill color="white" on="f"/>
      <v:stroke color="red" weight="1.25pt"/>
    </o:shapedefaults>
    <o:shapelayout v:ext="edit">
      <o:idmap v:ext="edit" data="1"/>
    </o:shapelayout>
  </w:shapeDefaults>
  <w:decimalSymbol w:val=","/>
  <w:listSeparator w:val=";"/>
  <w15:docId w15:val="{231C4E59-1197-44BA-A9C5-B914F854E9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Pr>
      <w:sz w:val="24"/>
      <w:szCs w:val="24"/>
    </w:rPr>
  </w:style>
  <w:style w:type="paragraph" w:styleId="Titolo1">
    <w:name w:val="heading 1"/>
    <w:basedOn w:val="Normale"/>
    <w:next w:val="Normale"/>
    <w:link w:val="Titolo1Carattere"/>
    <w:pPr>
      <w:keepNext/>
      <w:spacing w:before="240" w:after="60"/>
      <w:outlineLvl w:val="0"/>
    </w:pPr>
    <w:rPr>
      <w:rFonts w:ascii="Cambria" w:hAnsi="Cambria"/>
      <w:b/>
      <w:bCs/>
      <w:kern w:val="32"/>
      <w:sz w:val="32"/>
      <w:szCs w:val="32"/>
    </w:rPr>
  </w:style>
  <w:style w:type="paragraph" w:styleId="Titolo2">
    <w:name w:val="heading 2"/>
    <w:basedOn w:val="Normale"/>
    <w:next w:val="Normale"/>
    <w:link w:val="Titolo2Carattere"/>
    <w:unhideWhenUsed/>
    <w:pPr>
      <w:keepNext/>
      <w:spacing w:before="240" w:after="60"/>
      <w:outlineLvl w:val="1"/>
    </w:pPr>
    <w:rPr>
      <w:rFonts w:ascii="Cambria" w:hAnsi="Cambria"/>
      <w:b/>
      <w:bCs/>
      <w:i/>
      <w:iCs/>
      <w:sz w:val="28"/>
      <w:szCs w:val="28"/>
    </w:rPr>
  </w:style>
  <w:style w:type="paragraph" w:styleId="Titolo3">
    <w:name w:val="heading 3"/>
    <w:basedOn w:val="Normale"/>
    <w:next w:val="Normale"/>
    <w:link w:val="Titolo3Carattere"/>
    <w:unhideWhenUsed/>
    <w:pPr>
      <w:keepNext/>
      <w:spacing w:before="240" w:after="60"/>
      <w:outlineLvl w:val="2"/>
    </w:pPr>
    <w:rPr>
      <w:rFonts w:ascii="Cambria" w:hAnsi="Cambria" w:cs="Arial"/>
      <w:b/>
      <w:bCs/>
      <w:sz w:val="26"/>
      <w:szCs w:val="26"/>
    </w:rPr>
  </w:style>
  <w:style w:type="paragraph" w:styleId="Titolo4">
    <w:name w:val="heading 4"/>
    <w:basedOn w:val="Normale"/>
    <w:next w:val="Normale"/>
    <w:link w:val="Titolo4Carattere"/>
    <w:unhideWhenUsed/>
    <w:pPr>
      <w:keepNext/>
      <w:spacing w:before="240" w:after="60"/>
      <w:outlineLvl w:val="3"/>
    </w:pPr>
    <w:rPr>
      <w:rFonts w:cs="Arial"/>
      <w:b/>
      <w:bCs/>
      <w:sz w:val="28"/>
      <w:szCs w:val="28"/>
    </w:rPr>
  </w:style>
  <w:style w:type="paragraph" w:styleId="Titolo5">
    <w:name w:val="heading 5"/>
    <w:basedOn w:val="Normale"/>
    <w:next w:val="Normale"/>
    <w:link w:val="Titolo5Carattere"/>
    <w:unhideWhenUsed/>
    <w:pPr>
      <w:spacing w:before="240" w:after="60"/>
      <w:outlineLvl w:val="4"/>
    </w:pPr>
    <w:rPr>
      <w:b/>
      <w:bCs/>
      <w:i/>
      <w:iCs/>
      <w:sz w:val="26"/>
      <w:szCs w:val="26"/>
    </w:rPr>
  </w:style>
  <w:style w:type="paragraph" w:styleId="Titolo6">
    <w:name w:val="heading 6"/>
    <w:basedOn w:val="Normale"/>
    <w:next w:val="Normale"/>
    <w:link w:val="Titolo6Carattere"/>
    <w:unhideWhenUsed/>
    <w:pPr>
      <w:spacing w:before="240" w:after="60"/>
      <w:outlineLvl w:val="5"/>
    </w:pPr>
    <w:rPr>
      <w:b/>
      <w:bCs/>
      <w:sz w:val="22"/>
      <w:szCs w:val="22"/>
    </w:rPr>
  </w:style>
  <w:style w:type="paragraph" w:styleId="Titolo7">
    <w:name w:val="heading 7"/>
    <w:basedOn w:val="Normale"/>
    <w:next w:val="Normale"/>
    <w:link w:val="Titolo7Carattere"/>
    <w:unhideWhenUsed/>
    <w:pPr>
      <w:spacing w:before="240" w:after="60"/>
      <w:outlineLvl w:val="6"/>
    </w:pPr>
  </w:style>
  <w:style w:type="paragraph" w:styleId="Titolo8">
    <w:name w:val="heading 8"/>
    <w:basedOn w:val="Normale"/>
    <w:next w:val="Normale"/>
    <w:link w:val="Titolo8Carattere"/>
    <w:unhideWhenUsed/>
    <w:pPr>
      <w:spacing w:before="240" w:after="60"/>
      <w:outlineLvl w:val="7"/>
    </w:pPr>
    <w:rPr>
      <w:i/>
      <w:iCs/>
    </w:rPr>
  </w:style>
  <w:style w:type="paragraph" w:styleId="Titolo9">
    <w:name w:val="heading 9"/>
    <w:basedOn w:val="Normale"/>
    <w:next w:val="Normale"/>
    <w:link w:val="Titolo9Carattere"/>
    <w:unhideWhenUsed/>
    <w:pPr>
      <w:spacing w:before="240" w:after="60"/>
      <w:outlineLvl w:val="8"/>
    </w:pPr>
    <w:rPr>
      <w:rFonts w:ascii="Cambria" w:hAnsi="Cambria"/>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uiPriority w:val="9"/>
    <w:rPr>
      <w:rFonts w:ascii="Cambria" w:eastAsia="Times New Roman" w:hAnsi="Cambria"/>
      <w:b/>
      <w:bCs/>
      <w:kern w:val="32"/>
      <w:sz w:val="32"/>
      <w:szCs w:val="32"/>
    </w:rPr>
  </w:style>
  <w:style w:type="character" w:customStyle="1" w:styleId="Titolo2Carattere">
    <w:name w:val="Titolo 2 Carattere"/>
    <w:link w:val="Titolo2"/>
    <w:rPr>
      <w:rFonts w:ascii="Cambria" w:eastAsia="Times New Roman" w:hAnsi="Cambria"/>
      <w:b/>
      <w:bCs/>
      <w:i/>
      <w:iCs/>
      <w:sz w:val="28"/>
      <w:szCs w:val="28"/>
    </w:rPr>
  </w:style>
  <w:style w:type="character" w:customStyle="1" w:styleId="Titolo3Carattere">
    <w:name w:val="Titolo 3 Carattere"/>
    <w:link w:val="Titolo3"/>
    <w:uiPriority w:val="9"/>
    <w:rPr>
      <w:rFonts w:ascii="Cambria" w:eastAsia="Times New Roman" w:hAnsi="Cambria" w:cs="Arial"/>
      <w:b/>
      <w:bCs/>
      <w:sz w:val="26"/>
      <w:szCs w:val="26"/>
    </w:rPr>
  </w:style>
  <w:style w:type="character" w:customStyle="1" w:styleId="Titolo4Carattere">
    <w:name w:val="Titolo 4 Carattere"/>
    <w:link w:val="Titolo4"/>
    <w:uiPriority w:val="9"/>
    <w:rPr>
      <w:rFonts w:cs="Arial"/>
      <w:b/>
      <w:bCs/>
      <w:sz w:val="28"/>
      <w:szCs w:val="28"/>
    </w:rPr>
  </w:style>
  <w:style w:type="character" w:customStyle="1" w:styleId="Titolo5Carattere">
    <w:name w:val="Titolo 5 Carattere"/>
    <w:link w:val="Titolo5"/>
    <w:uiPriority w:val="9"/>
    <w:semiHidden/>
    <w:rPr>
      <w:b/>
      <w:bCs/>
      <w:i/>
      <w:iCs/>
      <w:sz w:val="26"/>
      <w:szCs w:val="26"/>
    </w:rPr>
  </w:style>
  <w:style w:type="character" w:customStyle="1" w:styleId="Titolo6Carattere">
    <w:name w:val="Titolo 6 Carattere"/>
    <w:link w:val="Titolo6"/>
    <w:uiPriority w:val="9"/>
    <w:rPr>
      <w:b/>
      <w:bCs/>
    </w:rPr>
  </w:style>
  <w:style w:type="character" w:customStyle="1" w:styleId="Titolo7Carattere">
    <w:name w:val="Titolo 7 Carattere"/>
    <w:link w:val="Titolo7"/>
    <w:uiPriority w:val="9"/>
    <w:rPr>
      <w:sz w:val="24"/>
      <w:szCs w:val="24"/>
    </w:rPr>
  </w:style>
  <w:style w:type="character" w:customStyle="1" w:styleId="Titolo8Carattere">
    <w:name w:val="Titolo 8 Carattere"/>
    <w:link w:val="Titolo8"/>
    <w:uiPriority w:val="9"/>
    <w:rPr>
      <w:i/>
      <w:iCs/>
      <w:sz w:val="24"/>
      <w:szCs w:val="24"/>
    </w:rPr>
  </w:style>
  <w:style w:type="character" w:customStyle="1" w:styleId="Titolo9Carattere">
    <w:name w:val="Titolo 9 Carattere"/>
    <w:link w:val="Titolo9"/>
    <w:uiPriority w:val="9"/>
    <w:rPr>
      <w:rFonts w:ascii="Cambria" w:eastAsia="Times New Roman" w:hAnsi="Cambria"/>
    </w:rPr>
  </w:style>
  <w:style w:type="paragraph" w:customStyle="1" w:styleId="ComandoaltC">
    <w:name w:val="Comando(alt+C)"/>
    <w:basedOn w:val="Titolo1"/>
    <w:pPr>
      <w:spacing w:after="0"/>
    </w:pPr>
    <w:rPr>
      <w:rFonts w:ascii="Arial" w:hAnsi="Arial"/>
    </w:rPr>
  </w:style>
  <w:style w:type="paragraph" w:customStyle="1" w:styleId="Vocedelmenaltu">
    <w:name w:val="Voce del menù(alt+u)"/>
    <w:basedOn w:val="Normale"/>
    <w:pPr>
      <w:tabs>
        <w:tab w:val="num" w:pos="360"/>
      </w:tabs>
      <w:spacing w:before="120" w:after="240" w:line="240" w:lineRule="atLeast"/>
      <w:ind w:left="357" w:hanging="357"/>
      <w:outlineLvl w:val="4"/>
    </w:pPr>
    <w:rPr>
      <w:b/>
      <w:sz w:val="28"/>
      <w:szCs w:val="20"/>
      <w:u w:val="thick"/>
    </w:rPr>
  </w:style>
  <w:style w:type="paragraph" w:customStyle="1" w:styleId="Stile1">
    <w:name w:val="Stile1"/>
    <w:basedOn w:val="Puntoelenco"/>
    <w:pPr>
      <w:tabs>
        <w:tab w:val="num" w:pos="720"/>
      </w:tabs>
      <w:ind w:left="720" w:hanging="360"/>
    </w:pPr>
    <w:rPr>
      <w:rFonts w:cs="Arial"/>
    </w:rPr>
  </w:style>
  <w:style w:type="paragraph" w:styleId="Puntoelenco">
    <w:name w:val="List Bullet"/>
    <w:basedOn w:val="Normale"/>
    <w:autoRedefine/>
    <w:pPr>
      <w:ind w:left="709"/>
      <w:jc w:val="both"/>
    </w:pPr>
    <w:rPr>
      <w:rFonts w:ascii="Arial" w:hAnsi="Arial"/>
      <w:sz w:val="20"/>
      <w:szCs w:val="20"/>
    </w:rPr>
  </w:style>
  <w:style w:type="paragraph" w:customStyle="1" w:styleId="Puntoelenco1">
    <w:name w:val="Punto elenco 1"/>
    <w:basedOn w:val="corpoAltF"/>
    <w:pPr>
      <w:tabs>
        <w:tab w:val="num" w:pos="720"/>
      </w:tabs>
      <w:ind w:left="720" w:hanging="360"/>
    </w:pPr>
  </w:style>
  <w:style w:type="paragraph" w:customStyle="1" w:styleId="corpoAltF">
    <w:name w:val="corpo (Alt+F)"/>
    <w:basedOn w:val="Normale"/>
    <w:link w:val="corpoAltFCarattere1"/>
    <w:qFormat/>
    <w:pPr>
      <w:jc w:val="both"/>
    </w:pPr>
    <w:rPr>
      <w:rFonts w:ascii="Arial" w:hAnsi="Arial" w:cs="Arial"/>
      <w:sz w:val="20"/>
      <w:szCs w:val="20"/>
    </w:rPr>
  </w:style>
  <w:style w:type="character" w:customStyle="1" w:styleId="corpoAltFCarattere1">
    <w:name w:val="corpo (Alt+F) Carattere1"/>
    <w:link w:val="corpoAltF"/>
    <w:rPr>
      <w:rFonts w:ascii="Arial" w:hAnsi="Arial" w:cs="Arial"/>
      <w:lang w:val="it-IT" w:eastAsia="it-IT" w:bidi="ar-SA"/>
    </w:rPr>
  </w:style>
  <w:style w:type="paragraph" w:styleId="Intestazione">
    <w:name w:val="header"/>
    <w:basedOn w:val="Normale"/>
    <w:link w:val="IntestazioneCarattere"/>
    <w:pPr>
      <w:tabs>
        <w:tab w:val="center" w:pos="4819"/>
        <w:tab w:val="right" w:pos="9638"/>
      </w:tabs>
    </w:pPr>
    <w:rPr>
      <w:sz w:val="20"/>
      <w:szCs w:val="20"/>
    </w:rPr>
  </w:style>
  <w:style w:type="character" w:customStyle="1" w:styleId="IntestazioneCarattere">
    <w:name w:val="Intestazione Carattere"/>
    <w:link w:val="Intestazione"/>
  </w:style>
  <w:style w:type="paragraph" w:customStyle="1" w:styleId="comando">
    <w:name w:val="comando"/>
    <w:basedOn w:val="Normale"/>
    <w:pPr>
      <w:tabs>
        <w:tab w:val="right" w:leader="dot" w:pos="9639"/>
      </w:tabs>
    </w:pPr>
    <w:rPr>
      <w:rFonts w:ascii="Arial" w:hAnsi="Arial"/>
      <w:b/>
      <w:caps/>
    </w:rPr>
  </w:style>
  <w:style w:type="character" w:styleId="Collegamentoipertestuale">
    <w:name w:val="Hyperlink"/>
    <w:uiPriority w:val="99"/>
    <w:rPr>
      <w:color w:val="0000FF"/>
      <w:u w:val="single"/>
    </w:rPr>
  </w:style>
  <w:style w:type="paragraph" w:styleId="Sommario1">
    <w:name w:val="toc 1"/>
    <w:basedOn w:val="Normale"/>
    <w:next w:val="Normale"/>
    <w:autoRedefine/>
    <w:uiPriority w:val="39"/>
    <w:pPr>
      <w:pBdr>
        <w:top w:val="single" w:sz="4" w:space="1" w:color="auto"/>
        <w:bottom w:val="single" w:sz="4" w:space="0" w:color="auto"/>
      </w:pBdr>
      <w:shd w:val="clear" w:color="auto" w:fill="E0E0E0"/>
      <w:tabs>
        <w:tab w:val="right" w:leader="dot" w:pos="9629"/>
      </w:tabs>
      <w:spacing w:before="180" w:after="60"/>
    </w:pPr>
    <w:rPr>
      <w:rFonts w:ascii="Arial" w:hAnsi="Arial" w:cs="Arial"/>
      <w:b/>
      <w:noProof/>
      <w:color w:val="000000"/>
      <w:sz w:val="20"/>
      <w:szCs w:val="40"/>
    </w:rPr>
  </w:style>
  <w:style w:type="paragraph" w:styleId="Sommario4">
    <w:name w:val="toc 4"/>
    <w:basedOn w:val="Normale"/>
    <w:next w:val="Normale"/>
    <w:autoRedefine/>
    <w:uiPriority w:val="39"/>
    <w:pPr>
      <w:tabs>
        <w:tab w:val="right" w:leader="dot" w:pos="9629"/>
      </w:tabs>
      <w:ind w:left="567"/>
    </w:pPr>
    <w:rPr>
      <w:rFonts w:ascii="Arial" w:hAnsi="Arial" w:cs="Arial"/>
      <w:i/>
      <w:noProof/>
      <w:sz w:val="20"/>
      <w:szCs w:val="20"/>
    </w:rPr>
  </w:style>
  <w:style w:type="paragraph" w:customStyle="1" w:styleId="TS-titolo-01">
    <w:name w:val="TS-titolo-01"/>
    <w:basedOn w:val="Intestazione"/>
    <w:link w:val="TS-titolo-01Carattere"/>
    <w:autoRedefine/>
    <w:qFormat/>
    <w:pPr>
      <w:tabs>
        <w:tab w:val="clear" w:pos="4819"/>
        <w:tab w:val="clear" w:pos="9638"/>
      </w:tabs>
    </w:pPr>
    <w:rPr>
      <w:rFonts w:ascii="Arial" w:hAnsi="Arial" w:cs="Arial"/>
      <w:b/>
      <w:i/>
      <w:sz w:val="28"/>
    </w:rPr>
  </w:style>
  <w:style w:type="paragraph" w:customStyle="1" w:styleId="TS-titolo-02">
    <w:name w:val="TS-titolo-02"/>
    <w:basedOn w:val="Intestazione"/>
    <w:autoRedefine/>
    <w:qFormat/>
    <w:pPr>
      <w:ind w:left="69"/>
      <w:jc w:val="center"/>
    </w:pPr>
    <w:rPr>
      <w:rFonts w:ascii="Arial" w:hAnsi="Arial" w:cs="Arial"/>
      <w:b/>
      <w:color w:val="FFFFFF"/>
      <w:sz w:val="32"/>
    </w:rPr>
  </w:style>
  <w:style w:type="paragraph" w:customStyle="1" w:styleId="TS-titolo-04">
    <w:name w:val="TS-titolo-04"/>
    <w:basedOn w:val="Titolo"/>
    <w:link w:val="TS-titolo-04Carattere"/>
    <w:autoRedefine/>
    <w:qFormat/>
    <w:pPr>
      <w:pBdr>
        <w:top w:val="single" w:sz="4" w:space="0" w:color="auto"/>
        <w:bottom w:val="single" w:sz="4" w:space="1" w:color="auto"/>
      </w:pBdr>
      <w:jc w:val="both"/>
    </w:pPr>
    <w:rPr>
      <w:rFonts w:ascii="Arial" w:hAnsi="Arial"/>
      <w:bCs w:val="0"/>
      <w:sz w:val="24"/>
      <w:szCs w:val="24"/>
    </w:rPr>
  </w:style>
  <w:style w:type="paragraph" w:styleId="Titolo">
    <w:name w:val="Title"/>
    <w:basedOn w:val="Normale"/>
    <w:next w:val="Normale"/>
    <w:link w:val="TitoloCarattere"/>
    <w:pPr>
      <w:spacing w:before="240" w:after="60"/>
      <w:jc w:val="center"/>
      <w:outlineLvl w:val="0"/>
    </w:pPr>
    <w:rPr>
      <w:rFonts w:ascii="Cambria" w:hAnsi="Cambria"/>
      <w:b/>
      <w:bCs/>
      <w:kern w:val="28"/>
      <w:sz w:val="32"/>
      <w:szCs w:val="32"/>
    </w:rPr>
  </w:style>
  <w:style w:type="character" w:customStyle="1" w:styleId="TitoloCarattere">
    <w:name w:val="Titolo Carattere"/>
    <w:link w:val="Titolo"/>
    <w:uiPriority w:val="10"/>
    <w:rPr>
      <w:rFonts w:ascii="Cambria" w:eastAsia="Times New Roman" w:hAnsi="Cambria"/>
      <w:b/>
      <w:bCs/>
      <w:kern w:val="28"/>
      <w:sz w:val="32"/>
      <w:szCs w:val="32"/>
    </w:rPr>
  </w:style>
  <w:style w:type="character" w:customStyle="1" w:styleId="TS-titolo-04Carattere">
    <w:name w:val="TS-titolo-04 Carattere"/>
    <w:link w:val="TS-titolo-04"/>
    <w:rPr>
      <w:rFonts w:ascii="Arial" w:hAnsi="Arial"/>
      <w:b/>
      <w:kern w:val="28"/>
      <w:sz w:val="24"/>
      <w:szCs w:val="24"/>
    </w:rPr>
  </w:style>
  <w:style w:type="paragraph" w:styleId="Titoloindice">
    <w:name w:val="index heading"/>
    <w:basedOn w:val="Normale"/>
    <w:next w:val="Indice1"/>
    <w:semiHidden/>
    <w:rPr>
      <w:sz w:val="20"/>
      <w:szCs w:val="20"/>
    </w:rPr>
  </w:style>
  <w:style w:type="paragraph" w:styleId="Indice1">
    <w:name w:val="index 1"/>
    <w:basedOn w:val="Normale"/>
    <w:next w:val="Normale"/>
    <w:autoRedefine/>
    <w:semiHidden/>
    <w:pPr>
      <w:ind w:left="200" w:hanging="200"/>
    </w:pPr>
    <w:rPr>
      <w:sz w:val="20"/>
      <w:szCs w:val="20"/>
    </w:rPr>
  </w:style>
  <w:style w:type="paragraph" w:customStyle="1" w:styleId="TS-titolo-03">
    <w:name w:val="TS-titolo-03"/>
    <w:basedOn w:val="Intestazione"/>
    <w:autoRedefine/>
    <w:pPr>
      <w:jc w:val="center"/>
    </w:pPr>
    <w:rPr>
      <w:rFonts w:ascii="Arial" w:hAnsi="Arial" w:cs="Arial"/>
      <w:b/>
      <w:color w:val="000000"/>
      <w:sz w:val="32"/>
    </w:rPr>
  </w:style>
  <w:style w:type="paragraph" w:styleId="Corpodeltesto3">
    <w:name w:val="Body Text 3"/>
    <w:basedOn w:val="Normale"/>
    <w:pPr>
      <w:jc w:val="both"/>
    </w:pPr>
    <w:rPr>
      <w:rFonts w:ascii="Arial" w:hAnsi="Arial"/>
      <w:b/>
      <w:sz w:val="20"/>
      <w:szCs w:val="20"/>
    </w:rPr>
  </w:style>
  <w:style w:type="paragraph" w:customStyle="1" w:styleId="Esempi">
    <w:name w:val="Esempi"/>
    <w:basedOn w:val="Normale"/>
    <w:pPr>
      <w:jc w:val="both"/>
    </w:pPr>
    <w:rPr>
      <w:rFonts w:ascii="Arial" w:hAnsi="Arial"/>
      <w:i/>
      <w:sz w:val="20"/>
      <w:szCs w:val="20"/>
    </w:rPr>
  </w:style>
  <w:style w:type="paragraph" w:customStyle="1" w:styleId="Funzionealth">
    <w:name w:val="Funzione(alt+h)"/>
    <w:basedOn w:val="Normale"/>
    <w:link w:val="FunzionealthCarattere1"/>
    <w:pPr>
      <w:tabs>
        <w:tab w:val="right" w:pos="3260"/>
        <w:tab w:val="left" w:pos="3402"/>
      </w:tabs>
      <w:spacing w:before="60"/>
      <w:ind w:left="3402" w:hanging="3402"/>
      <w:jc w:val="both"/>
    </w:pPr>
    <w:rPr>
      <w:rFonts w:ascii="Arial" w:hAnsi="Arial"/>
      <w:i/>
      <w:sz w:val="20"/>
      <w:szCs w:val="20"/>
    </w:rPr>
  </w:style>
  <w:style w:type="character" w:customStyle="1" w:styleId="FunzionealthCarattere1">
    <w:name w:val="Funzione(alt+h) Carattere1"/>
    <w:link w:val="Funzionealth"/>
    <w:rPr>
      <w:rFonts w:ascii="Arial" w:hAnsi="Arial"/>
      <w:i/>
    </w:rPr>
  </w:style>
  <w:style w:type="paragraph" w:styleId="Testonormale">
    <w:name w:val="Plain Text"/>
    <w:basedOn w:val="Normale"/>
    <w:rPr>
      <w:rFonts w:ascii="Courier New" w:hAnsi="Courier New"/>
      <w:sz w:val="20"/>
      <w:szCs w:val="20"/>
    </w:rPr>
  </w:style>
  <w:style w:type="paragraph" w:styleId="Soggettocommento">
    <w:name w:val="annotation subject"/>
    <w:basedOn w:val="Testocommento"/>
    <w:next w:val="Testocommento"/>
    <w:semiHidden/>
    <w:rPr>
      <w:b/>
      <w:bCs/>
    </w:rPr>
  </w:style>
  <w:style w:type="paragraph" w:styleId="Testocommento">
    <w:name w:val="annotation text"/>
    <w:basedOn w:val="Normale"/>
    <w:semiHidden/>
    <w:rPr>
      <w:sz w:val="20"/>
      <w:szCs w:val="20"/>
    </w:rPr>
  </w:style>
  <w:style w:type="paragraph" w:styleId="Corpodeltesto2">
    <w:name w:val="Body Text 2"/>
    <w:basedOn w:val="Normale"/>
    <w:pPr>
      <w:tabs>
        <w:tab w:val="left" w:pos="567"/>
        <w:tab w:val="left" w:pos="1134"/>
        <w:tab w:val="left" w:pos="2552"/>
      </w:tabs>
    </w:pPr>
    <w:rPr>
      <w:i/>
      <w:sz w:val="18"/>
      <w:szCs w:val="20"/>
    </w:rPr>
  </w:style>
  <w:style w:type="paragraph" w:customStyle="1" w:styleId="corpo">
    <w:name w:val="corpo"/>
    <w:basedOn w:val="Normale"/>
    <w:link w:val="corpoCarattere"/>
    <w:pPr>
      <w:jc w:val="both"/>
    </w:pPr>
    <w:rPr>
      <w:rFonts w:ascii="Arial" w:hAnsi="Arial" w:cs="Arial"/>
      <w:sz w:val="20"/>
      <w:szCs w:val="20"/>
    </w:rPr>
  </w:style>
  <w:style w:type="character" w:customStyle="1" w:styleId="corpoCarattere">
    <w:name w:val="corpo Carattere"/>
    <w:link w:val="corpo"/>
    <w:rPr>
      <w:rFonts w:ascii="Arial" w:hAnsi="Arial" w:cs="Arial"/>
      <w:lang w:val="it-IT" w:eastAsia="it-IT" w:bidi="ar-SA"/>
    </w:rPr>
  </w:style>
  <w:style w:type="character" w:styleId="Numeropagina">
    <w:name w:val="page number"/>
    <w:basedOn w:val="Carpredefinitoparagrafo"/>
  </w:style>
  <w:style w:type="paragraph" w:styleId="Pidipagina">
    <w:name w:val="footer"/>
    <w:basedOn w:val="Normale"/>
    <w:pPr>
      <w:tabs>
        <w:tab w:val="center" w:pos="4819"/>
        <w:tab w:val="right" w:pos="9638"/>
      </w:tabs>
    </w:pPr>
    <w:rPr>
      <w:sz w:val="20"/>
      <w:szCs w:val="20"/>
    </w:rPr>
  </w:style>
  <w:style w:type="paragraph" w:customStyle="1" w:styleId="TS-testata-01">
    <w:name w:val="TS-testata-01"/>
    <w:basedOn w:val="Intestazione"/>
    <w:rPr>
      <w:rFonts w:ascii="Arial" w:hAnsi="Arial" w:cs="Arial"/>
      <w:b/>
      <w:i/>
      <w:sz w:val="28"/>
    </w:rPr>
  </w:style>
  <w:style w:type="paragraph" w:styleId="NormaleWeb">
    <w:name w:val="Normal (Web)"/>
    <w:basedOn w:val="Normale"/>
    <w:pPr>
      <w:spacing w:before="100" w:beforeAutospacing="1" w:after="100" w:afterAutospacing="1"/>
    </w:pPr>
  </w:style>
  <w:style w:type="paragraph" w:styleId="Rientrocorpodeltesto2">
    <w:name w:val="Body Text Indent 2"/>
    <w:basedOn w:val="Normale"/>
    <w:pPr>
      <w:ind w:left="180"/>
      <w:jc w:val="both"/>
    </w:pPr>
    <w:rPr>
      <w:rFonts w:ascii="Verdana" w:hAnsi="Verdana" w:cs="Arial"/>
      <w:sz w:val="20"/>
    </w:rPr>
  </w:style>
  <w:style w:type="paragraph" w:styleId="Corpotesto">
    <w:name w:val="Body Text"/>
    <w:aliases w:val="Corpo del testo"/>
    <w:basedOn w:val="Normale"/>
    <w:pPr>
      <w:jc w:val="both"/>
    </w:pPr>
    <w:rPr>
      <w:rFonts w:ascii="Verdana" w:hAnsi="Verdana" w:cs="Arial"/>
      <w:sz w:val="20"/>
    </w:rPr>
  </w:style>
  <w:style w:type="paragraph" w:styleId="Sommario8">
    <w:name w:val="toc 8"/>
    <w:basedOn w:val="Normale"/>
    <w:next w:val="Normale"/>
    <w:autoRedefine/>
    <w:semiHidden/>
    <w:pPr>
      <w:ind w:left="1680"/>
    </w:pPr>
  </w:style>
  <w:style w:type="paragraph" w:styleId="Sommario2">
    <w:name w:val="toc 2"/>
    <w:basedOn w:val="Sommario1"/>
    <w:next w:val="Normale"/>
    <w:autoRedefine/>
    <w:uiPriority w:val="39"/>
    <w:pPr>
      <w:shd w:val="clear" w:color="auto" w:fill="auto"/>
      <w:spacing w:before="120"/>
      <w:ind w:left="113"/>
    </w:pPr>
  </w:style>
  <w:style w:type="paragraph" w:styleId="Sommario9">
    <w:name w:val="toc 9"/>
    <w:basedOn w:val="Normale"/>
    <w:next w:val="Normale"/>
    <w:autoRedefine/>
    <w:semiHidden/>
    <w:pPr>
      <w:ind w:left="1920"/>
    </w:pPr>
  </w:style>
  <w:style w:type="paragraph" w:styleId="Sommario3">
    <w:name w:val="toc 3"/>
    <w:basedOn w:val="Normale"/>
    <w:next w:val="Normale"/>
    <w:autoRedefine/>
    <w:semiHidden/>
    <w:pPr>
      <w:ind w:left="480"/>
    </w:pPr>
  </w:style>
  <w:style w:type="paragraph" w:styleId="Sommario5">
    <w:name w:val="toc 5"/>
    <w:basedOn w:val="Normale"/>
    <w:next w:val="Normale"/>
    <w:autoRedefine/>
    <w:uiPriority w:val="39"/>
    <w:pPr>
      <w:ind w:left="1134"/>
    </w:pPr>
    <w:rPr>
      <w:rFonts w:ascii="Arial" w:hAnsi="Arial"/>
      <w:i/>
      <w:sz w:val="18"/>
    </w:rPr>
  </w:style>
  <w:style w:type="paragraph" w:customStyle="1" w:styleId="Default">
    <w:name w:val="Default"/>
    <w:pPr>
      <w:autoSpaceDE w:val="0"/>
      <w:autoSpaceDN w:val="0"/>
      <w:adjustRightInd w:val="0"/>
    </w:pPr>
    <w:rPr>
      <w:rFonts w:ascii="Verdana" w:hAnsi="Verdana"/>
    </w:rPr>
  </w:style>
  <w:style w:type="paragraph" w:styleId="Sommario6">
    <w:name w:val="toc 6"/>
    <w:basedOn w:val="Normale"/>
    <w:next w:val="Normale"/>
    <w:autoRedefine/>
    <w:semiHidden/>
    <w:pPr>
      <w:ind w:left="1200"/>
    </w:pPr>
  </w:style>
  <w:style w:type="paragraph" w:styleId="Sommario7">
    <w:name w:val="toc 7"/>
    <w:basedOn w:val="Normale"/>
    <w:next w:val="Normale"/>
    <w:autoRedefine/>
    <w:semiHidden/>
    <w:pPr>
      <w:ind w:left="1440"/>
    </w:pPr>
  </w:style>
  <w:style w:type="character" w:styleId="Enfasigrassetto">
    <w:name w:val="Strong"/>
    <w:rPr>
      <w:b/>
      <w:bCs/>
    </w:rPr>
  </w:style>
  <w:style w:type="character" w:styleId="Collegamentovisitato">
    <w:name w:val="FollowedHyperlink"/>
    <w:rPr>
      <w:color w:val="800080"/>
      <w:u w:val="single"/>
    </w:rPr>
  </w:style>
  <w:style w:type="paragraph" w:customStyle="1" w:styleId="TS-titolo-Comando">
    <w:name w:val="TS-titolo-Comando"/>
    <w:basedOn w:val="TS-titolo-01"/>
    <w:qFormat/>
    <w:pPr>
      <w:jc w:val="center"/>
    </w:pPr>
    <w:rPr>
      <w:rFonts w:cs="Times New Roman"/>
      <w:bCs/>
      <w:i w:val="0"/>
      <w:sz w:val="32"/>
    </w:rPr>
  </w:style>
  <w:style w:type="character" w:customStyle="1" w:styleId="corpoAltFCarattere">
    <w:name w:val="corpo (Alt+F) Carattere"/>
    <w:rPr>
      <w:rFonts w:ascii="Arial" w:hAnsi="Arial" w:cs="Arial"/>
      <w:lang w:val="it-IT" w:eastAsia="it-IT" w:bidi="ar-SA"/>
    </w:rPr>
  </w:style>
  <w:style w:type="paragraph" w:styleId="Indice7">
    <w:name w:val="index 7"/>
    <w:basedOn w:val="Normale"/>
    <w:next w:val="Normale"/>
    <w:autoRedefine/>
    <w:semiHidden/>
    <w:pPr>
      <w:ind w:left="1400" w:hanging="200"/>
    </w:pPr>
    <w:rPr>
      <w:sz w:val="20"/>
      <w:szCs w:val="20"/>
    </w:rPr>
  </w:style>
  <w:style w:type="paragraph" w:customStyle="1" w:styleId="Paragrafoconcampialtp">
    <w:name w:val="Paragrafo con campi (alt+p)"/>
    <w:basedOn w:val="Normale"/>
    <w:pPr>
      <w:spacing w:after="120"/>
      <w:ind w:left="3402" w:hanging="3402"/>
      <w:jc w:val="both"/>
    </w:pPr>
    <w:rPr>
      <w:rFonts w:ascii="Arial" w:hAnsi="Arial"/>
      <w:i/>
      <w:sz w:val="20"/>
      <w:szCs w:val="20"/>
    </w:rPr>
  </w:style>
  <w:style w:type="paragraph" w:customStyle="1" w:styleId="Interlinafra2righeALTA">
    <w:name w:val="Interlina fra 2 righe (ALT+A)"/>
    <w:next w:val="Funzionealth"/>
    <w:pPr>
      <w:spacing w:line="120" w:lineRule="exact"/>
    </w:pPr>
    <w:rPr>
      <w:b/>
      <w:i/>
    </w:rPr>
  </w:style>
  <w:style w:type="paragraph" w:customStyle="1" w:styleId="CorpoCentrato">
    <w:name w:val="Corpo Centrato"/>
    <w:basedOn w:val="corpoAltF"/>
    <w:next w:val="corpoAltF"/>
    <w:pPr>
      <w:jc w:val="center"/>
    </w:pPr>
  </w:style>
  <w:style w:type="paragraph" w:customStyle="1" w:styleId="CorpoSpazioPrima">
    <w:name w:val="Corpo SpazioPrima"/>
    <w:basedOn w:val="corpoAltF"/>
    <w:next w:val="corpoAltF"/>
    <w:link w:val="CorpoSpazioPrimaCarattere"/>
    <w:pPr>
      <w:spacing w:before="120"/>
    </w:pPr>
  </w:style>
  <w:style w:type="character" w:customStyle="1" w:styleId="CorpoSpazioPrimaCarattere">
    <w:name w:val="Corpo SpazioPrima Carattere"/>
    <w:basedOn w:val="corpoAltFCarattere1"/>
    <w:link w:val="CorpoSpazioPrima"/>
    <w:rPr>
      <w:rFonts w:ascii="Arial" w:hAnsi="Arial" w:cs="Arial"/>
      <w:lang w:val="it-IT" w:eastAsia="it-IT" w:bidi="ar-SA"/>
    </w:rPr>
  </w:style>
  <w:style w:type="paragraph" w:customStyle="1" w:styleId="TS-titolo-05">
    <w:name w:val="TS-titolo-05"/>
    <w:basedOn w:val="Normale"/>
    <w:next w:val="CorpoAltF0"/>
    <w:link w:val="TS-titolo-05Carattere"/>
    <w:qFormat/>
    <w:pPr>
      <w:pBdr>
        <w:top w:val="single" w:sz="4" w:space="1" w:color="auto"/>
        <w:bottom w:val="single" w:sz="4" w:space="1" w:color="auto"/>
      </w:pBdr>
      <w:spacing w:before="240" w:after="60"/>
    </w:pPr>
    <w:rPr>
      <w:rFonts w:ascii="Arial" w:hAnsi="Arial"/>
      <w:sz w:val="20"/>
    </w:rPr>
  </w:style>
  <w:style w:type="paragraph" w:customStyle="1" w:styleId="CorpoAltF0">
    <w:name w:val="Corpo (Alt+F)"/>
    <w:basedOn w:val="Normale"/>
    <w:link w:val="CorpoAltFCarattere0"/>
    <w:qFormat/>
    <w:pPr>
      <w:jc w:val="both"/>
    </w:pPr>
    <w:rPr>
      <w:rFonts w:ascii="Arial" w:hAnsi="Arial" w:cs="Arial"/>
      <w:sz w:val="20"/>
      <w:szCs w:val="20"/>
    </w:rPr>
  </w:style>
  <w:style w:type="character" w:customStyle="1" w:styleId="CorpoAltFCarattere0">
    <w:name w:val="Corpo (Alt+F) Carattere"/>
    <w:link w:val="CorpoAltF0"/>
    <w:rPr>
      <w:rFonts w:ascii="Arial" w:hAnsi="Arial" w:cs="Arial"/>
    </w:rPr>
  </w:style>
  <w:style w:type="character" w:customStyle="1" w:styleId="TS-titolo-05Carattere">
    <w:name w:val="TS-titolo-05 Carattere"/>
    <w:link w:val="TS-titolo-05"/>
    <w:rPr>
      <w:rFonts w:ascii="Arial" w:hAnsi="Arial"/>
      <w:szCs w:val="24"/>
    </w:rPr>
  </w:style>
  <w:style w:type="paragraph" w:styleId="Rientrocorpodeltesto3">
    <w:name w:val="Body Text Indent 3"/>
    <w:basedOn w:val="Normale"/>
    <w:pPr>
      <w:spacing w:after="120"/>
      <w:ind w:left="283"/>
    </w:pPr>
    <w:rPr>
      <w:sz w:val="16"/>
      <w:szCs w:val="16"/>
    </w:rPr>
  </w:style>
  <w:style w:type="paragraph" w:styleId="Testonotaapidipagina">
    <w:name w:val="footnote text"/>
    <w:basedOn w:val="Normale"/>
    <w:link w:val="TestonotaapidipaginaCarattere"/>
    <w:rPr>
      <w:sz w:val="20"/>
      <w:szCs w:val="20"/>
    </w:rPr>
  </w:style>
  <w:style w:type="character" w:customStyle="1" w:styleId="TestonotaapidipaginaCarattere">
    <w:name w:val="Testo nota a piè di pagina Carattere"/>
    <w:basedOn w:val="Carpredefinitoparagrafo"/>
    <w:link w:val="Testonotaapidipagina"/>
  </w:style>
  <w:style w:type="paragraph" w:customStyle="1" w:styleId="Centrato">
    <w:name w:val="Centrato"/>
    <w:basedOn w:val="Normale"/>
    <w:next w:val="Normale"/>
    <w:pPr>
      <w:ind w:left="567" w:right="567"/>
      <w:jc w:val="center"/>
    </w:pPr>
    <w:rPr>
      <w:rFonts w:ascii="Arial" w:hAnsi="Arial"/>
      <w:sz w:val="20"/>
      <w:szCs w:val="20"/>
    </w:rPr>
  </w:style>
  <w:style w:type="paragraph" w:customStyle="1" w:styleId="text">
    <w:name w:val="text"/>
    <w:basedOn w:val="Normale"/>
    <w:pPr>
      <w:spacing w:before="100" w:beforeAutospacing="1" w:after="100" w:afterAutospacing="1"/>
      <w:jc w:val="both"/>
    </w:pPr>
    <w:rPr>
      <w:rFonts w:ascii="Verdana" w:eastAsia="Arial Unicode MS" w:hAnsi="Verdana" w:cs="Arial Unicode MS"/>
      <w:color w:val="000000"/>
      <w:sz w:val="18"/>
      <w:szCs w:val="18"/>
    </w:rPr>
  </w:style>
  <w:style w:type="paragraph" w:styleId="Rientrocorpodeltesto">
    <w:name w:val="Body Text Indent"/>
    <w:basedOn w:val="Normale"/>
    <w:link w:val="RientrocorpodeltestoCarattere"/>
    <w:pPr>
      <w:spacing w:beforeAutospacing="1" w:afterAutospacing="1"/>
      <w:ind w:left="720"/>
      <w:jc w:val="both"/>
    </w:pPr>
    <w:rPr>
      <w:rFonts w:ascii="Arial" w:hAnsi="Arial" w:cs="Arial"/>
      <w:color w:val="000000"/>
      <w:sz w:val="20"/>
      <w:szCs w:val="18"/>
    </w:rPr>
  </w:style>
  <w:style w:type="character" w:customStyle="1" w:styleId="RientrocorpodeltestoCarattere">
    <w:name w:val="Rientro corpo del testo Carattere"/>
    <w:link w:val="Rientrocorpodeltesto"/>
    <w:rPr>
      <w:rFonts w:ascii="Arial" w:hAnsi="Arial" w:cs="Arial"/>
      <w:color w:val="000000"/>
      <w:szCs w:val="18"/>
    </w:rPr>
  </w:style>
  <w:style w:type="table" w:styleId="Grigliatabella">
    <w:name w:val="Table Grid"/>
    <w:basedOn w:val="Tabellanormal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semiHidden/>
    <w:rPr>
      <w:rFonts w:ascii="Tahoma" w:hAnsi="Tahoma" w:cs="Tahoma"/>
      <w:sz w:val="16"/>
      <w:szCs w:val="16"/>
    </w:rPr>
  </w:style>
  <w:style w:type="paragraph" w:styleId="Sottotitolo">
    <w:name w:val="Subtitle"/>
    <w:basedOn w:val="Normale"/>
    <w:next w:val="Normale"/>
    <w:link w:val="SottotitoloCarattere"/>
    <w:uiPriority w:val="11"/>
    <w:pPr>
      <w:spacing w:after="60"/>
      <w:jc w:val="center"/>
      <w:outlineLvl w:val="1"/>
    </w:pPr>
    <w:rPr>
      <w:rFonts w:ascii="Cambria" w:hAnsi="Cambria"/>
    </w:rPr>
  </w:style>
  <w:style w:type="character" w:customStyle="1" w:styleId="SottotitoloCarattere">
    <w:name w:val="Sottotitolo Carattere"/>
    <w:link w:val="Sottotitolo"/>
    <w:uiPriority w:val="11"/>
    <w:rPr>
      <w:rFonts w:ascii="Cambria" w:eastAsia="Times New Roman" w:hAnsi="Cambria"/>
      <w:sz w:val="24"/>
      <w:szCs w:val="24"/>
    </w:rPr>
  </w:style>
  <w:style w:type="character" w:styleId="Enfasicorsivo">
    <w:name w:val="Emphasis"/>
    <w:uiPriority w:val="20"/>
    <w:rPr>
      <w:rFonts w:ascii="Calibri" w:hAnsi="Calibri"/>
      <w:b/>
      <w:i/>
      <w:iCs/>
    </w:rPr>
  </w:style>
  <w:style w:type="paragraph" w:styleId="Nessunaspaziatura">
    <w:name w:val="No Spacing"/>
    <w:basedOn w:val="Normale"/>
    <w:uiPriority w:val="1"/>
    <w:rPr>
      <w:szCs w:val="32"/>
    </w:rPr>
  </w:style>
  <w:style w:type="paragraph" w:styleId="Paragrafoelenco">
    <w:name w:val="List Paragraph"/>
    <w:basedOn w:val="Normale"/>
    <w:uiPriority w:val="34"/>
    <w:pPr>
      <w:ind w:left="720"/>
      <w:contextualSpacing/>
    </w:pPr>
  </w:style>
  <w:style w:type="paragraph" w:styleId="Citazione">
    <w:name w:val="Quote"/>
    <w:basedOn w:val="Normale"/>
    <w:next w:val="Normale"/>
    <w:link w:val="CitazioneCarattere"/>
    <w:uiPriority w:val="29"/>
    <w:rPr>
      <w:i/>
    </w:rPr>
  </w:style>
  <w:style w:type="character" w:customStyle="1" w:styleId="CitazioneCarattere">
    <w:name w:val="Citazione Carattere"/>
    <w:link w:val="Citazione"/>
    <w:uiPriority w:val="29"/>
    <w:rPr>
      <w:i/>
      <w:sz w:val="24"/>
      <w:szCs w:val="24"/>
    </w:rPr>
  </w:style>
  <w:style w:type="paragraph" w:styleId="Citazioneintensa">
    <w:name w:val="Intense Quote"/>
    <w:basedOn w:val="Normale"/>
    <w:next w:val="Normale"/>
    <w:link w:val="CitazioneintensaCarattere"/>
    <w:uiPriority w:val="30"/>
    <w:pPr>
      <w:ind w:left="720" w:right="720"/>
    </w:pPr>
    <w:rPr>
      <w:b/>
      <w:i/>
      <w:szCs w:val="22"/>
    </w:rPr>
  </w:style>
  <w:style w:type="character" w:customStyle="1" w:styleId="CitazioneintensaCarattere">
    <w:name w:val="Citazione intensa Carattere"/>
    <w:link w:val="Citazioneintensa"/>
    <w:uiPriority w:val="30"/>
    <w:rPr>
      <w:b/>
      <w:i/>
      <w:sz w:val="24"/>
    </w:rPr>
  </w:style>
  <w:style w:type="character" w:styleId="Enfasidelicata">
    <w:name w:val="Subtle Emphasis"/>
    <w:uiPriority w:val="19"/>
    <w:rPr>
      <w:i/>
      <w:color w:val="5A5A5A"/>
    </w:rPr>
  </w:style>
  <w:style w:type="character" w:styleId="Enfasiintensa">
    <w:name w:val="Intense Emphasis"/>
    <w:uiPriority w:val="21"/>
    <w:rPr>
      <w:b/>
      <w:i/>
      <w:sz w:val="24"/>
      <w:szCs w:val="24"/>
      <w:u w:val="single"/>
    </w:rPr>
  </w:style>
  <w:style w:type="character" w:styleId="Riferimentodelicato">
    <w:name w:val="Subtle Reference"/>
    <w:uiPriority w:val="31"/>
    <w:rPr>
      <w:sz w:val="24"/>
      <w:szCs w:val="24"/>
      <w:u w:val="single"/>
    </w:rPr>
  </w:style>
  <w:style w:type="character" w:styleId="Riferimentointenso">
    <w:name w:val="Intense Reference"/>
    <w:uiPriority w:val="32"/>
    <w:rPr>
      <w:b/>
      <w:sz w:val="24"/>
      <w:u w:val="single"/>
    </w:rPr>
  </w:style>
  <w:style w:type="character" w:styleId="Titolodellibro">
    <w:name w:val="Book Title"/>
    <w:uiPriority w:val="33"/>
    <w:rPr>
      <w:rFonts w:ascii="Cambria" w:eastAsia="Times New Roman" w:hAnsi="Cambria"/>
      <w:b/>
      <w:i/>
      <w:sz w:val="24"/>
      <w:szCs w:val="24"/>
    </w:rPr>
  </w:style>
  <w:style w:type="paragraph" w:styleId="Titolosommario">
    <w:name w:val="TOC Heading"/>
    <w:basedOn w:val="Titolo1"/>
    <w:next w:val="Normale"/>
    <w:uiPriority w:val="39"/>
    <w:semiHidden/>
    <w:unhideWhenUsed/>
    <w:qFormat/>
    <w:pPr>
      <w:outlineLvl w:val="9"/>
    </w:pPr>
  </w:style>
  <w:style w:type="paragraph" w:customStyle="1" w:styleId="WWNewPage">
    <w:name w:val="WW_NewPage"/>
    <w:basedOn w:val="Normale"/>
    <w:qFormat/>
    <w:pPr>
      <w:jc w:val="both"/>
    </w:pPr>
    <w:rPr>
      <w:rFonts w:ascii="Arial" w:hAnsi="Arial"/>
      <w:b/>
      <w:bCs/>
      <w:color w:val="FFFFFF"/>
      <w:sz w:val="4"/>
      <w:szCs w:val="4"/>
    </w:rPr>
  </w:style>
  <w:style w:type="paragraph" w:customStyle="1" w:styleId="WWRelease">
    <w:name w:val="WW_Release"/>
    <w:basedOn w:val="Intestazione"/>
    <w:qFormat/>
    <w:pPr>
      <w:tabs>
        <w:tab w:val="clear" w:pos="4819"/>
        <w:tab w:val="clear" w:pos="9638"/>
      </w:tabs>
    </w:pPr>
    <w:rPr>
      <w:rFonts w:ascii="Arial" w:hAnsi="Arial" w:cs="Arial"/>
      <w:b/>
      <w:bCs/>
    </w:rPr>
  </w:style>
  <w:style w:type="paragraph" w:customStyle="1" w:styleId="SpazioPrimaAltS">
    <w:name w:val="SpazioPrima (Alt+S)"/>
    <w:basedOn w:val="corpoAltF"/>
    <w:next w:val="corpoAltF"/>
    <w:pPr>
      <w:spacing w:before="120"/>
    </w:pPr>
  </w:style>
  <w:style w:type="paragraph" w:customStyle="1" w:styleId="testo">
    <w:name w:val="testo"/>
    <w:basedOn w:val="Normale"/>
  </w:style>
  <w:style w:type="character" w:customStyle="1" w:styleId="StileArial10pt">
    <w:name w:val="Stile Arial 10 pt"/>
    <w:rPr>
      <w:rFonts w:ascii="Arial" w:hAnsi="Arial"/>
      <w:sz w:val="20"/>
    </w:rPr>
  </w:style>
  <w:style w:type="character" w:customStyle="1" w:styleId="CarattereCarattere">
    <w:name w:val="Carattere Carattere"/>
    <w:rPr>
      <w:rFonts w:ascii="Times New Roman" w:eastAsia="Times New Roman" w:hAnsi="Times New Roman" w:cs="Times New Roman"/>
      <w:sz w:val="20"/>
      <w:szCs w:val="20"/>
      <w:lang w:eastAsia="it-IT"/>
    </w:rPr>
  </w:style>
  <w:style w:type="character" w:styleId="Rimandonotaapidipagina">
    <w:name w:val="footnote reference"/>
    <w:rPr>
      <w:vertAlign w:val="superscript"/>
    </w:rPr>
  </w:style>
  <w:style w:type="paragraph" w:styleId="Testodelblocco">
    <w:name w:val="Block Text"/>
    <w:basedOn w:val="Normale"/>
    <w:pPr>
      <w:autoSpaceDE w:val="0"/>
      <w:autoSpaceDN w:val="0"/>
      <w:adjustRightInd w:val="0"/>
      <w:ind w:left="567" w:right="567" w:firstLine="397"/>
    </w:pPr>
    <w:rPr>
      <w:rFonts w:ascii="Arial" w:hAnsi="Arial" w:cs="Arial"/>
      <w:sz w:val="20"/>
      <w:szCs w:val="20"/>
    </w:rPr>
  </w:style>
  <w:style w:type="paragraph" w:styleId="PreformattatoHTML">
    <w:name w:val="HTML Preformatted"/>
    <w:basedOn w:val="Normale"/>
    <w:link w:val="PreformattatoHTMLCaratter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szCs w:val="20"/>
    </w:rPr>
  </w:style>
  <w:style w:type="character" w:customStyle="1" w:styleId="PreformattatoHTMLCarattere">
    <w:name w:val="Preformattato HTML Carattere"/>
    <w:basedOn w:val="Carpredefinitoparagrafo"/>
    <w:link w:val="PreformattatoHTML"/>
    <w:rPr>
      <w:rFonts w:ascii="Courier New" w:eastAsia="Courier New" w:hAnsi="Courier New" w:cs="Courier New"/>
    </w:rPr>
  </w:style>
  <w:style w:type="paragraph" w:customStyle="1" w:styleId="Text0">
    <w:name w:val="Text"/>
    <w:aliases w:val="t"/>
    <w:basedOn w:val="Normale"/>
    <w:pPr>
      <w:suppressLineNumbers/>
      <w:suppressAutoHyphens/>
      <w:spacing w:after="120" w:line="240" w:lineRule="exact"/>
    </w:pPr>
    <w:rPr>
      <w:rFonts w:ascii="Arial" w:hAnsi="Arial"/>
      <w:kern w:val="20"/>
      <w:sz w:val="20"/>
      <w:szCs w:val="20"/>
      <w:lang w:val="en-US"/>
    </w:rPr>
  </w:style>
  <w:style w:type="paragraph" w:customStyle="1" w:styleId="StilecorpoAltFPrima6pt">
    <w:name w:val="Stile corpo (Alt+F) + Prima:  6 pt"/>
    <w:basedOn w:val="corpoAltF"/>
    <w:qFormat/>
    <w:pPr>
      <w:spacing w:before="120"/>
    </w:pPr>
    <w:rPr>
      <w:rFonts w:cs="Times New Roman"/>
    </w:rPr>
  </w:style>
  <w:style w:type="paragraph" w:customStyle="1" w:styleId="Ignora">
    <w:name w:val="Ignora"/>
    <w:basedOn w:val="Normale"/>
    <w:qFormat/>
    <w:pPr>
      <w:jc w:val="both"/>
    </w:pPr>
    <w:rPr>
      <w:rFonts w:ascii="Arial" w:hAnsi="Arial"/>
      <w:sz w:val="20"/>
      <w:szCs w:val="20"/>
    </w:rPr>
  </w:style>
  <w:style w:type="character" w:styleId="Menzionenonrisolta">
    <w:name w:val="Unresolved Mention"/>
    <w:basedOn w:val="Carpredefinitoparagrafo"/>
    <w:uiPriority w:val="99"/>
    <w:semiHidden/>
    <w:unhideWhenUsed/>
    <w:rPr>
      <w:color w:val="605E5C"/>
      <w:shd w:val="clear" w:color="auto" w:fill="E1DFDD"/>
    </w:rPr>
  </w:style>
  <w:style w:type="character" w:customStyle="1" w:styleId="TS-titolo-01Carattere">
    <w:name w:val="TS-titolo-01 Carattere"/>
    <w:link w:val="TS-titolo-01"/>
    <w:rPr>
      <w:rFonts w:ascii="Arial" w:hAnsi="Arial" w:cs="Arial"/>
      <w:b/>
      <w:i/>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93286">
      <w:bodyDiv w:val="1"/>
      <w:marLeft w:val="0"/>
      <w:marRight w:val="0"/>
      <w:marTop w:val="0"/>
      <w:marBottom w:val="0"/>
      <w:divBdr>
        <w:top w:val="none" w:sz="0" w:space="0" w:color="auto"/>
        <w:left w:val="none" w:sz="0" w:space="0" w:color="auto"/>
        <w:bottom w:val="none" w:sz="0" w:space="0" w:color="auto"/>
        <w:right w:val="none" w:sz="0" w:space="0" w:color="auto"/>
      </w:divBdr>
    </w:div>
    <w:div w:id="102697816">
      <w:bodyDiv w:val="1"/>
      <w:marLeft w:val="0"/>
      <w:marRight w:val="0"/>
      <w:marTop w:val="0"/>
      <w:marBottom w:val="0"/>
      <w:divBdr>
        <w:top w:val="none" w:sz="0" w:space="0" w:color="auto"/>
        <w:left w:val="none" w:sz="0" w:space="0" w:color="auto"/>
        <w:bottom w:val="none" w:sz="0" w:space="0" w:color="auto"/>
        <w:right w:val="none" w:sz="0" w:space="0" w:color="auto"/>
      </w:divBdr>
    </w:div>
    <w:div w:id="230702550">
      <w:bodyDiv w:val="1"/>
      <w:marLeft w:val="0"/>
      <w:marRight w:val="0"/>
      <w:marTop w:val="0"/>
      <w:marBottom w:val="0"/>
      <w:divBdr>
        <w:top w:val="none" w:sz="0" w:space="0" w:color="auto"/>
        <w:left w:val="none" w:sz="0" w:space="0" w:color="auto"/>
        <w:bottom w:val="none" w:sz="0" w:space="0" w:color="auto"/>
        <w:right w:val="none" w:sz="0" w:space="0" w:color="auto"/>
      </w:divBdr>
    </w:div>
    <w:div w:id="347145600">
      <w:bodyDiv w:val="1"/>
      <w:marLeft w:val="0"/>
      <w:marRight w:val="0"/>
      <w:marTop w:val="0"/>
      <w:marBottom w:val="0"/>
      <w:divBdr>
        <w:top w:val="none" w:sz="0" w:space="0" w:color="auto"/>
        <w:left w:val="none" w:sz="0" w:space="0" w:color="auto"/>
        <w:bottom w:val="none" w:sz="0" w:space="0" w:color="auto"/>
        <w:right w:val="none" w:sz="0" w:space="0" w:color="auto"/>
      </w:divBdr>
      <w:divsChild>
        <w:div w:id="2320825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59664412">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1001350302">
      <w:bodyDiv w:val="1"/>
      <w:marLeft w:val="0"/>
      <w:marRight w:val="0"/>
      <w:marTop w:val="0"/>
      <w:marBottom w:val="0"/>
      <w:divBdr>
        <w:top w:val="none" w:sz="0" w:space="0" w:color="auto"/>
        <w:left w:val="none" w:sz="0" w:space="0" w:color="auto"/>
        <w:bottom w:val="none" w:sz="0" w:space="0" w:color="auto"/>
        <w:right w:val="none" w:sz="0" w:space="0" w:color="auto"/>
      </w:divBdr>
      <w:divsChild>
        <w:div w:id="3928481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0135715">
              <w:marLeft w:val="0"/>
              <w:marRight w:val="0"/>
              <w:marTop w:val="240"/>
              <w:marBottom w:val="60"/>
              <w:divBdr>
                <w:top w:val="single" w:sz="4" w:space="0" w:color="000000"/>
                <w:left w:val="none" w:sz="0" w:space="0" w:color="auto"/>
                <w:bottom w:val="single" w:sz="4" w:space="0" w:color="000000"/>
                <w:right w:val="none" w:sz="0" w:space="0" w:color="auto"/>
              </w:divBdr>
            </w:div>
            <w:div w:id="848981067">
              <w:marLeft w:val="0"/>
              <w:marRight w:val="0"/>
              <w:marTop w:val="120"/>
              <w:marBottom w:val="0"/>
              <w:divBdr>
                <w:top w:val="none" w:sz="0" w:space="0" w:color="auto"/>
                <w:left w:val="none" w:sz="0" w:space="0" w:color="auto"/>
                <w:bottom w:val="none" w:sz="0" w:space="0" w:color="auto"/>
                <w:right w:val="none" w:sz="0" w:space="0" w:color="auto"/>
              </w:divBdr>
            </w:div>
            <w:div w:id="318845482">
              <w:marLeft w:val="0"/>
              <w:marRight w:val="0"/>
              <w:marTop w:val="240"/>
              <w:marBottom w:val="60"/>
              <w:divBdr>
                <w:top w:val="single" w:sz="4" w:space="0" w:color="000000"/>
                <w:left w:val="none" w:sz="0" w:space="0" w:color="auto"/>
                <w:bottom w:val="single" w:sz="4" w:space="0" w:color="000000"/>
                <w:right w:val="none" w:sz="0" w:space="0" w:color="auto"/>
              </w:divBdr>
            </w:div>
            <w:div w:id="340668402">
              <w:marLeft w:val="0"/>
              <w:marRight w:val="0"/>
              <w:marTop w:val="120"/>
              <w:marBottom w:val="0"/>
              <w:divBdr>
                <w:top w:val="none" w:sz="0" w:space="0" w:color="auto"/>
                <w:left w:val="none" w:sz="0" w:space="0" w:color="auto"/>
                <w:bottom w:val="none" w:sz="0" w:space="0" w:color="auto"/>
                <w:right w:val="none" w:sz="0" w:space="0" w:color="auto"/>
              </w:divBdr>
            </w:div>
            <w:div w:id="1641573601">
              <w:marLeft w:val="0"/>
              <w:marRight w:val="0"/>
              <w:marTop w:val="60"/>
              <w:marBottom w:val="0"/>
              <w:divBdr>
                <w:top w:val="none" w:sz="0" w:space="0" w:color="auto"/>
                <w:left w:val="none" w:sz="0" w:space="0" w:color="auto"/>
                <w:bottom w:val="none" w:sz="0" w:space="0" w:color="auto"/>
                <w:right w:val="none" w:sz="0" w:space="0" w:color="auto"/>
              </w:divBdr>
            </w:div>
          </w:divsChild>
        </w:div>
      </w:divsChild>
    </w:div>
    <w:div w:id="1075593341">
      <w:bodyDiv w:val="1"/>
      <w:marLeft w:val="0"/>
      <w:marRight w:val="0"/>
      <w:marTop w:val="0"/>
      <w:marBottom w:val="0"/>
      <w:divBdr>
        <w:top w:val="none" w:sz="0" w:space="0" w:color="auto"/>
        <w:left w:val="none" w:sz="0" w:space="0" w:color="auto"/>
        <w:bottom w:val="none" w:sz="0" w:space="0" w:color="auto"/>
        <w:right w:val="none" w:sz="0" w:space="0" w:color="auto"/>
      </w:divBdr>
    </w:div>
    <w:div w:id="1102728683">
      <w:bodyDiv w:val="1"/>
      <w:marLeft w:val="0"/>
      <w:marRight w:val="0"/>
      <w:marTop w:val="0"/>
      <w:marBottom w:val="0"/>
      <w:divBdr>
        <w:top w:val="none" w:sz="0" w:space="0" w:color="auto"/>
        <w:left w:val="none" w:sz="0" w:space="0" w:color="auto"/>
        <w:bottom w:val="none" w:sz="0" w:space="0" w:color="auto"/>
        <w:right w:val="none" w:sz="0" w:space="0" w:color="auto"/>
      </w:divBdr>
    </w:div>
    <w:div w:id="1355421019">
      <w:bodyDiv w:val="1"/>
      <w:marLeft w:val="0"/>
      <w:marRight w:val="0"/>
      <w:marTop w:val="0"/>
      <w:marBottom w:val="0"/>
      <w:divBdr>
        <w:top w:val="none" w:sz="0" w:space="0" w:color="auto"/>
        <w:left w:val="none" w:sz="0" w:space="0" w:color="auto"/>
        <w:bottom w:val="none" w:sz="0" w:space="0" w:color="auto"/>
        <w:right w:val="none" w:sz="0" w:space="0" w:color="auto"/>
      </w:divBdr>
    </w:div>
    <w:div w:id="1412432016">
      <w:bodyDiv w:val="1"/>
      <w:marLeft w:val="0"/>
      <w:marRight w:val="0"/>
      <w:marTop w:val="0"/>
      <w:marBottom w:val="0"/>
      <w:divBdr>
        <w:top w:val="none" w:sz="0" w:space="0" w:color="auto"/>
        <w:left w:val="none" w:sz="0" w:space="0" w:color="auto"/>
        <w:bottom w:val="none" w:sz="0" w:space="0" w:color="auto"/>
        <w:right w:val="none" w:sz="0" w:space="0" w:color="auto"/>
      </w:divBdr>
    </w:div>
    <w:div w:id="1692996981">
      <w:bodyDiv w:val="1"/>
      <w:marLeft w:val="0"/>
      <w:marRight w:val="0"/>
      <w:marTop w:val="0"/>
      <w:marBottom w:val="0"/>
      <w:divBdr>
        <w:top w:val="none" w:sz="0" w:space="0" w:color="auto"/>
        <w:left w:val="none" w:sz="0" w:space="0" w:color="auto"/>
        <w:bottom w:val="none" w:sz="0" w:space="0" w:color="auto"/>
        <w:right w:val="none" w:sz="0" w:space="0" w:color="auto"/>
      </w:divBdr>
    </w:div>
    <w:div w:id="1985691923">
      <w:bodyDiv w:val="1"/>
      <w:marLeft w:val="0"/>
      <w:marRight w:val="0"/>
      <w:marTop w:val="0"/>
      <w:marBottom w:val="0"/>
      <w:divBdr>
        <w:top w:val="none" w:sz="0" w:space="0" w:color="auto"/>
        <w:left w:val="none" w:sz="0" w:space="0" w:color="auto"/>
        <w:bottom w:val="none" w:sz="0" w:space="0" w:color="auto"/>
        <w:right w:val="none" w:sz="0" w:space="0" w:color="auto"/>
      </w:divBdr>
    </w:div>
    <w:div w:id="20708352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tmp"/><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emf"/><Relationship Id="rId68"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emf"/><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tmp"/><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tmp"/><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header" Target="header1.xml"/><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tmp"/><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emf"/><Relationship Id="rId69" Type="http://schemas.openxmlformats.org/officeDocument/2006/relationships/footer" Target="footer2.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hyperlink" Target="http://www.dt.tesoro.it/it/debito_pubblico/dati_statistici/principali_tassi_di_interesse" TargetMode="External"/><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emf"/><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emf"/><Relationship Id="rId7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moricoli\Dati%20applicazioni\Microsoft\Modelli\Mod.%20note%20PAGHE.do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A2740B-0D15-4B34-872B-70D933CA78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 note PAGHE.dot</Template>
  <TotalTime>2173</TotalTime>
  <Pages>59</Pages>
  <Words>15426</Words>
  <Characters>87932</Characters>
  <Application>Microsoft Office Word</Application>
  <DocSecurity>0</DocSecurity>
  <Lines>732</Lines>
  <Paragraphs>206</Paragraphs>
  <ScaleCrop>false</ScaleCrop>
  <HeadingPairs>
    <vt:vector size="2" baseType="variant">
      <vt:variant>
        <vt:lpstr>Titolo</vt:lpstr>
      </vt:variant>
      <vt:variant>
        <vt:i4>1</vt:i4>
      </vt:variant>
    </vt:vector>
  </HeadingPairs>
  <TitlesOfParts>
    <vt:vector size="1" baseType="lpstr">
      <vt:lpstr/>
    </vt:vector>
  </TitlesOfParts>
  <Company>Teamsystem S.p.A</Company>
  <LinksUpToDate>false</LinksUpToDate>
  <CharactersWithSpaces>103152</CharactersWithSpaces>
  <SharedDoc>false</SharedDoc>
  <HLinks>
    <vt:vector size="168" baseType="variant">
      <vt:variant>
        <vt:i4>1179706</vt:i4>
      </vt:variant>
      <vt:variant>
        <vt:i4>161</vt:i4>
      </vt:variant>
      <vt:variant>
        <vt:i4>0</vt:i4>
      </vt:variant>
      <vt:variant>
        <vt:i4>5</vt:i4>
      </vt:variant>
      <vt:variant>
        <vt:lpwstr/>
      </vt:variant>
      <vt:variant>
        <vt:lpwstr>_Toc415594254</vt:lpwstr>
      </vt:variant>
      <vt:variant>
        <vt:i4>1179706</vt:i4>
      </vt:variant>
      <vt:variant>
        <vt:i4>155</vt:i4>
      </vt:variant>
      <vt:variant>
        <vt:i4>0</vt:i4>
      </vt:variant>
      <vt:variant>
        <vt:i4>5</vt:i4>
      </vt:variant>
      <vt:variant>
        <vt:lpwstr/>
      </vt:variant>
      <vt:variant>
        <vt:lpwstr>_Toc415594253</vt:lpwstr>
      </vt:variant>
      <vt:variant>
        <vt:i4>1179706</vt:i4>
      </vt:variant>
      <vt:variant>
        <vt:i4>149</vt:i4>
      </vt:variant>
      <vt:variant>
        <vt:i4>0</vt:i4>
      </vt:variant>
      <vt:variant>
        <vt:i4>5</vt:i4>
      </vt:variant>
      <vt:variant>
        <vt:lpwstr/>
      </vt:variant>
      <vt:variant>
        <vt:lpwstr>_Toc415594252</vt:lpwstr>
      </vt:variant>
      <vt:variant>
        <vt:i4>1179706</vt:i4>
      </vt:variant>
      <vt:variant>
        <vt:i4>143</vt:i4>
      </vt:variant>
      <vt:variant>
        <vt:i4>0</vt:i4>
      </vt:variant>
      <vt:variant>
        <vt:i4>5</vt:i4>
      </vt:variant>
      <vt:variant>
        <vt:lpwstr/>
      </vt:variant>
      <vt:variant>
        <vt:lpwstr>_Toc415594251</vt:lpwstr>
      </vt:variant>
      <vt:variant>
        <vt:i4>1179706</vt:i4>
      </vt:variant>
      <vt:variant>
        <vt:i4>137</vt:i4>
      </vt:variant>
      <vt:variant>
        <vt:i4>0</vt:i4>
      </vt:variant>
      <vt:variant>
        <vt:i4>5</vt:i4>
      </vt:variant>
      <vt:variant>
        <vt:lpwstr/>
      </vt:variant>
      <vt:variant>
        <vt:lpwstr>_Toc415594250</vt:lpwstr>
      </vt:variant>
      <vt:variant>
        <vt:i4>1245242</vt:i4>
      </vt:variant>
      <vt:variant>
        <vt:i4>131</vt:i4>
      </vt:variant>
      <vt:variant>
        <vt:i4>0</vt:i4>
      </vt:variant>
      <vt:variant>
        <vt:i4>5</vt:i4>
      </vt:variant>
      <vt:variant>
        <vt:lpwstr/>
      </vt:variant>
      <vt:variant>
        <vt:lpwstr>_Toc415594249</vt:lpwstr>
      </vt:variant>
      <vt:variant>
        <vt:i4>1245242</vt:i4>
      </vt:variant>
      <vt:variant>
        <vt:i4>125</vt:i4>
      </vt:variant>
      <vt:variant>
        <vt:i4>0</vt:i4>
      </vt:variant>
      <vt:variant>
        <vt:i4>5</vt:i4>
      </vt:variant>
      <vt:variant>
        <vt:lpwstr/>
      </vt:variant>
      <vt:variant>
        <vt:lpwstr>_Toc415594248</vt:lpwstr>
      </vt:variant>
      <vt:variant>
        <vt:i4>1245242</vt:i4>
      </vt:variant>
      <vt:variant>
        <vt:i4>119</vt:i4>
      </vt:variant>
      <vt:variant>
        <vt:i4>0</vt:i4>
      </vt:variant>
      <vt:variant>
        <vt:i4>5</vt:i4>
      </vt:variant>
      <vt:variant>
        <vt:lpwstr/>
      </vt:variant>
      <vt:variant>
        <vt:lpwstr>_Toc415594247</vt:lpwstr>
      </vt:variant>
      <vt:variant>
        <vt:i4>1245242</vt:i4>
      </vt:variant>
      <vt:variant>
        <vt:i4>113</vt:i4>
      </vt:variant>
      <vt:variant>
        <vt:i4>0</vt:i4>
      </vt:variant>
      <vt:variant>
        <vt:i4>5</vt:i4>
      </vt:variant>
      <vt:variant>
        <vt:lpwstr/>
      </vt:variant>
      <vt:variant>
        <vt:lpwstr>_Toc415594246</vt:lpwstr>
      </vt:variant>
      <vt:variant>
        <vt:i4>1245242</vt:i4>
      </vt:variant>
      <vt:variant>
        <vt:i4>107</vt:i4>
      </vt:variant>
      <vt:variant>
        <vt:i4>0</vt:i4>
      </vt:variant>
      <vt:variant>
        <vt:i4>5</vt:i4>
      </vt:variant>
      <vt:variant>
        <vt:lpwstr/>
      </vt:variant>
      <vt:variant>
        <vt:lpwstr>_Toc415594245</vt:lpwstr>
      </vt:variant>
      <vt:variant>
        <vt:i4>1245242</vt:i4>
      </vt:variant>
      <vt:variant>
        <vt:i4>101</vt:i4>
      </vt:variant>
      <vt:variant>
        <vt:i4>0</vt:i4>
      </vt:variant>
      <vt:variant>
        <vt:i4>5</vt:i4>
      </vt:variant>
      <vt:variant>
        <vt:lpwstr/>
      </vt:variant>
      <vt:variant>
        <vt:lpwstr>_Toc415594244</vt:lpwstr>
      </vt:variant>
      <vt:variant>
        <vt:i4>1245242</vt:i4>
      </vt:variant>
      <vt:variant>
        <vt:i4>95</vt:i4>
      </vt:variant>
      <vt:variant>
        <vt:i4>0</vt:i4>
      </vt:variant>
      <vt:variant>
        <vt:i4>5</vt:i4>
      </vt:variant>
      <vt:variant>
        <vt:lpwstr/>
      </vt:variant>
      <vt:variant>
        <vt:lpwstr>_Toc415594243</vt:lpwstr>
      </vt:variant>
      <vt:variant>
        <vt:i4>1245242</vt:i4>
      </vt:variant>
      <vt:variant>
        <vt:i4>89</vt:i4>
      </vt:variant>
      <vt:variant>
        <vt:i4>0</vt:i4>
      </vt:variant>
      <vt:variant>
        <vt:i4>5</vt:i4>
      </vt:variant>
      <vt:variant>
        <vt:lpwstr/>
      </vt:variant>
      <vt:variant>
        <vt:lpwstr>_Toc415594242</vt:lpwstr>
      </vt:variant>
      <vt:variant>
        <vt:i4>1245242</vt:i4>
      </vt:variant>
      <vt:variant>
        <vt:i4>83</vt:i4>
      </vt:variant>
      <vt:variant>
        <vt:i4>0</vt:i4>
      </vt:variant>
      <vt:variant>
        <vt:i4>5</vt:i4>
      </vt:variant>
      <vt:variant>
        <vt:lpwstr/>
      </vt:variant>
      <vt:variant>
        <vt:lpwstr>_Toc415594241</vt:lpwstr>
      </vt:variant>
      <vt:variant>
        <vt:i4>1245242</vt:i4>
      </vt:variant>
      <vt:variant>
        <vt:i4>77</vt:i4>
      </vt:variant>
      <vt:variant>
        <vt:i4>0</vt:i4>
      </vt:variant>
      <vt:variant>
        <vt:i4>5</vt:i4>
      </vt:variant>
      <vt:variant>
        <vt:lpwstr/>
      </vt:variant>
      <vt:variant>
        <vt:lpwstr>_Toc415594240</vt:lpwstr>
      </vt:variant>
      <vt:variant>
        <vt:i4>1310778</vt:i4>
      </vt:variant>
      <vt:variant>
        <vt:i4>71</vt:i4>
      </vt:variant>
      <vt:variant>
        <vt:i4>0</vt:i4>
      </vt:variant>
      <vt:variant>
        <vt:i4>5</vt:i4>
      </vt:variant>
      <vt:variant>
        <vt:lpwstr/>
      </vt:variant>
      <vt:variant>
        <vt:lpwstr>_Toc415594239</vt:lpwstr>
      </vt:variant>
      <vt:variant>
        <vt:i4>1310778</vt:i4>
      </vt:variant>
      <vt:variant>
        <vt:i4>65</vt:i4>
      </vt:variant>
      <vt:variant>
        <vt:i4>0</vt:i4>
      </vt:variant>
      <vt:variant>
        <vt:i4>5</vt:i4>
      </vt:variant>
      <vt:variant>
        <vt:lpwstr/>
      </vt:variant>
      <vt:variant>
        <vt:lpwstr>_Toc415594238</vt:lpwstr>
      </vt:variant>
      <vt:variant>
        <vt:i4>1310778</vt:i4>
      </vt:variant>
      <vt:variant>
        <vt:i4>59</vt:i4>
      </vt:variant>
      <vt:variant>
        <vt:i4>0</vt:i4>
      </vt:variant>
      <vt:variant>
        <vt:i4>5</vt:i4>
      </vt:variant>
      <vt:variant>
        <vt:lpwstr/>
      </vt:variant>
      <vt:variant>
        <vt:lpwstr>_Toc415594237</vt:lpwstr>
      </vt:variant>
      <vt:variant>
        <vt:i4>1310778</vt:i4>
      </vt:variant>
      <vt:variant>
        <vt:i4>53</vt:i4>
      </vt:variant>
      <vt:variant>
        <vt:i4>0</vt:i4>
      </vt:variant>
      <vt:variant>
        <vt:i4>5</vt:i4>
      </vt:variant>
      <vt:variant>
        <vt:lpwstr/>
      </vt:variant>
      <vt:variant>
        <vt:lpwstr>_Toc415594236</vt:lpwstr>
      </vt:variant>
      <vt:variant>
        <vt:i4>1310778</vt:i4>
      </vt:variant>
      <vt:variant>
        <vt:i4>47</vt:i4>
      </vt:variant>
      <vt:variant>
        <vt:i4>0</vt:i4>
      </vt:variant>
      <vt:variant>
        <vt:i4>5</vt:i4>
      </vt:variant>
      <vt:variant>
        <vt:lpwstr/>
      </vt:variant>
      <vt:variant>
        <vt:lpwstr>_Toc415594235</vt:lpwstr>
      </vt:variant>
      <vt:variant>
        <vt:i4>1310778</vt:i4>
      </vt:variant>
      <vt:variant>
        <vt:i4>41</vt:i4>
      </vt:variant>
      <vt:variant>
        <vt:i4>0</vt:i4>
      </vt:variant>
      <vt:variant>
        <vt:i4>5</vt:i4>
      </vt:variant>
      <vt:variant>
        <vt:lpwstr/>
      </vt:variant>
      <vt:variant>
        <vt:lpwstr>_Toc415594234</vt:lpwstr>
      </vt:variant>
      <vt:variant>
        <vt:i4>1310778</vt:i4>
      </vt:variant>
      <vt:variant>
        <vt:i4>35</vt:i4>
      </vt:variant>
      <vt:variant>
        <vt:i4>0</vt:i4>
      </vt:variant>
      <vt:variant>
        <vt:i4>5</vt:i4>
      </vt:variant>
      <vt:variant>
        <vt:lpwstr/>
      </vt:variant>
      <vt:variant>
        <vt:lpwstr>_Toc415594233</vt:lpwstr>
      </vt:variant>
      <vt:variant>
        <vt:i4>1310778</vt:i4>
      </vt:variant>
      <vt:variant>
        <vt:i4>29</vt:i4>
      </vt:variant>
      <vt:variant>
        <vt:i4>0</vt:i4>
      </vt:variant>
      <vt:variant>
        <vt:i4>5</vt:i4>
      </vt:variant>
      <vt:variant>
        <vt:lpwstr/>
      </vt:variant>
      <vt:variant>
        <vt:lpwstr>_Toc415594232</vt:lpwstr>
      </vt:variant>
      <vt:variant>
        <vt:i4>1310778</vt:i4>
      </vt:variant>
      <vt:variant>
        <vt:i4>23</vt:i4>
      </vt:variant>
      <vt:variant>
        <vt:i4>0</vt:i4>
      </vt:variant>
      <vt:variant>
        <vt:i4>5</vt:i4>
      </vt:variant>
      <vt:variant>
        <vt:lpwstr/>
      </vt:variant>
      <vt:variant>
        <vt:lpwstr>_Toc415594231</vt:lpwstr>
      </vt:variant>
      <vt:variant>
        <vt:i4>1310778</vt:i4>
      </vt:variant>
      <vt:variant>
        <vt:i4>17</vt:i4>
      </vt:variant>
      <vt:variant>
        <vt:i4>0</vt:i4>
      </vt:variant>
      <vt:variant>
        <vt:i4>5</vt:i4>
      </vt:variant>
      <vt:variant>
        <vt:lpwstr/>
      </vt:variant>
      <vt:variant>
        <vt:lpwstr>_Toc415594230</vt:lpwstr>
      </vt:variant>
      <vt:variant>
        <vt:i4>1376314</vt:i4>
      </vt:variant>
      <vt:variant>
        <vt:i4>11</vt:i4>
      </vt:variant>
      <vt:variant>
        <vt:i4>0</vt:i4>
      </vt:variant>
      <vt:variant>
        <vt:i4>5</vt:i4>
      </vt:variant>
      <vt:variant>
        <vt:lpwstr/>
      </vt:variant>
      <vt:variant>
        <vt:lpwstr>_Toc415594229</vt:lpwstr>
      </vt:variant>
      <vt:variant>
        <vt:i4>1376314</vt:i4>
      </vt:variant>
      <vt:variant>
        <vt:i4>5</vt:i4>
      </vt:variant>
      <vt:variant>
        <vt:i4>0</vt:i4>
      </vt:variant>
      <vt:variant>
        <vt:i4>5</vt:i4>
      </vt:variant>
      <vt:variant>
        <vt:lpwstr/>
      </vt:variant>
      <vt:variant>
        <vt:lpwstr>_Toc415594228</vt:lpwstr>
      </vt:variant>
      <vt:variant>
        <vt:i4>6422638</vt:i4>
      </vt:variant>
      <vt:variant>
        <vt:i4>0</vt:i4>
      </vt:variant>
      <vt:variant>
        <vt:i4>0</vt:i4>
      </vt:variant>
      <vt:variant>
        <vt:i4>5</vt:i4>
      </vt:variant>
      <vt:variant>
        <vt:lpwstr/>
      </vt:variant>
      <vt:variant>
        <vt:lpwstr>INDICE</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moricoli</dc:creator>
  <dc:description>Aggiornato alla vers. PAGHE 2016.0.4</dc:description>
  <cp:lastModifiedBy>Luca Moricoli</cp:lastModifiedBy>
  <cp:revision>32</cp:revision>
  <cp:lastPrinted>2019-04-16T15:57:00Z</cp:lastPrinted>
  <dcterms:created xsi:type="dcterms:W3CDTF">2019-04-10T15:17:00Z</dcterms:created>
  <dcterms:modified xsi:type="dcterms:W3CDTF">2019-04-16T15:57:00Z</dcterms:modified>
</cp:coreProperties>
</file>