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pPr>
        <w:pStyle w:val="WWTipoDocumento"/>
        <w:ind w:left="0"/>
      </w:pPr>
      <w:bookmarkStart w:id="0" w:name="_Toc33011301"/>
      <w:r>
        <w:t>IMPLEMENTAZIONI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2"/>
        <w:gridCol w:w="3538"/>
        <w:gridCol w:w="3824"/>
      </w:tblGrid>
      <w:tr>
        <w:trPr>
          <w:cantSplit/>
          <w:trHeight w:val="221"/>
          <w:jc w:val="center"/>
        </w:trPr>
        <w:tc>
          <w:tcPr>
            <w:tcW w:w="2273" w:type="dxa"/>
            <w:vMerge w:val="restart"/>
            <w:tcBorders>
              <w:top w:val="nil"/>
              <w:left w:val="nil"/>
              <w:bottom w:val="nil"/>
              <w:right w:val="single" w:sz="4" w:space="0" w:color="365F91"/>
            </w:tcBorders>
            <w:tcMar>
              <w:left w:w="28" w:type="dxa"/>
              <w:right w:w="28" w:type="dxa"/>
            </w:tcMar>
          </w:tcPr>
          <w:p>
            <w:pPr>
              <w:pStyle w:val="CorpoAltF0"/>
              <w:jc w:val="center"/>
              <w:rPr>
                <w:rFonts w:cs="Arial"/>
              </w:rPr>
            </w:pPr>
            <w:bookmarkStart w:id="1" w:name="INDICE"/>
            <w:bookmarkEnd w:id="1"/>
            <w:r>
              <w:rPr>
                <w:rFonts w:cs="Arial"/>
                <w:noProof/>
              </w:rPr>
              <w:drawing>
                <wp:inline distT="0" distB="0" distL="0" distR="0">
                  <wp:extent cx="1158875" cy="1384300"/>
                  <wp:effectExtent l="0" t="0" r="3175" b="6350"/>
                  <wp:docPr id="8" name="Immagine 1" descr="PAGHE_spla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GHE_splash"/>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58875" cy="1384300"/>
                          </a:xfrm>
                          <a:prstGeom prst="rect">
                            <a:avLst/>
                          </a:prstGeom>
                          <a:noFill/>
                          <a:ln>
                            <a:noFill/>
                          </a:ln>
                        </pic:spPr>
                      </pic:pic>
                    </a:graphicData>
                  </a:graphic>
                </wp:inline>
              </w:drawing>
            </w:r>
          </w:p>
        </w:tc>
        <w:tc>
          <w:tcPr>
            <w:tcW w:w="7375" w:type="dxa"/>
            <w:gridSpan w:val="2"/>
            <w:tcBorders>
              <w:top w:val="single" w:sz="4" w:space="0" w:color="365F91"/>
              <w:left w:val="single" w:sz="4" w:space="0" w:color="365F91"/>
              <w:bottom w:val="single" w:sz="4" w:space="0" w:color="365F91"/>
              <w:right w:val="single" w:sz="4" w:space="0" w:color="365F91"/>
            </w:tcBorders>
            <w:shd w:val="clear" w:color="auto" w:fill="CCCCCC"/>
            <w:vAlign w:val="center"/>
          </w:tcPr>
          <w:p>
            <w:pPr>
              <w:pStyle w:val="CorpoAltF0"/>
              <w:rPr>
                <w:rFonts w:cs="Arial"/>
                <w:b/>
              </w:rPr>
            </w:pPr>
            <w:r>
              <w:rPr>
                <w:rFonts w:cs="Arial"/>
                <w:b/>
              </w:rPr>
              <w:t>RELEASE Versione 2019.1.2</w:t>
            </w:r>
          </w:p>
        </w:tc>
      </w:tr>
      <w:tr>
        <w:trPr>
          <w:cantSplit/>
          <w:trHeight w:val="268"/>
          <w:jc w:val="center"/>
        </w:trPr>
        <w:tc>
          <w:tcPr>
            <w:tcW w:w="2273" w:type="dxa"/>
            <w:vMerge/>
            <w:tcBorders>
              <w:left w:val="nil"/>
              <w:bottom w:val="nil"/>
              <w:right w:val="single" w:sz="4" w:space="0" w:color="365F91"/>
            </w:tcBorders>
            <w:tcMar>
              <w:left w:w="28" w:type="dxa"/>
              <w:right w:w="28" w:type="dxa"/>
            </w:tcMar>
          </w:tcPr>
          <w:p>
            <w:pPr>
              <w:rPr>
                <w:color w:val="000000"/>
              </w:rPr>
            </w:pPr>
          </w:p>
        </w:tc>
        <w:tc>
          <w:tcPr>
            <w:tcW w:w="3544"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ind w:right="227"/>
              <w:jc w:val="right"/>
              <w:rPr>
                <w:rFonts w:ascii="Arial" w:hAnsi="Arial" w:cs="Arial"/>
                <w:b/>
                <w:bCs/>
              </w:rPr>
            </w:pPr>
            <w:r>
              <w:rPr>
                <w:rFonts w:ascii="Arial" w:hAnsi="Arial" w:cs="Arial"/>
                <w:b/>
                <w:bCs/>
              </w:rPr>
              <w:t>Applicativo:</w:t>
            </w:r>
          </w:p>
        </w:tc>
        <w:tc>
          <w:tcPr>
            <w:tcW w:w="3831"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spacing w:before="120" w:after="120"/>
              <w:rPr>
                <w:rFonts w:ascii="Arial" w:hAnsi="Arial" w:cs="Arial"/>
                <w:sz w:val="28"/>
                <w:szCs w:val="28"/>
              </w:rPr>
            </w:pPr>
            <w:r>
              <w:rPr>
                <w:rFonts w:ascii="Arial" w:hAnsi="Arial" w:cs="Arial"/>
                <w:b/>
                <w:sz w:val="28"/>
                <w:szCs w:val="28"/>
              </w:rPr>
              <w:t>PAGHE</w:t>
            </w:r>
          </w:p>
        </w:tc>
      </w:tr>
      <w:tr>
        <w:trPr>
          <w:cantSplit/>
          <w:trHeight w:val="266"/>
          <w:jc w:val="center"/>
        </w:trPr>
        <w:tc>
          <w:tcPr>
            <w:tcW w:w="2273" w:type="dxa"/>
            <w:vMerge/>
            <w:tcBorders>
              <w:left w:val="nil"/>
              <w:bottom w:val="nil"/>
              <w:right w:val="single" w:sz="4" w:space="0" w:color="365F91"/>
            </w:tcBorders>
            <w:tcMar>
              <w:left w:w="28" w:type="dxa"/>
              <w:right w:w="28" w:type="dxa"/>
            </w:tcMar>
          </w:tcPr>
          <w:p>
            <w:pPr>
              <w:rPr>
                <w:color w:val="000000"/>
              </w:rPr>
            </w:pPr>
          </w:p>
        </w:tc>
        <w:tc>
          <w:tcPr>
            <w:tcW w:w="3544"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ind w:right="227"/>
              <w:jc w:val="right"/>
              <w:rPr>
                <w:rFonts w:ascii="Arial" w:hAnsi="Arial" w:cs="Arial"/>
                <w:b/>
                <w:bCs/>
              </w:rPr>
            </w:pPr>
            <w:r>
              <w:rPr>
                <w:rFonts w:ascii="Arial" w:hAnsi="Arial" w:cs="Arial"/>
                <w:b/>
                <w:bCs/>
              </w:rPr>
              <w:t>Oggetto:</w:t>
            </w:r>
          </w:p>
        </w:tc>
        <w:tc>
          <w:tcPr>
            <w:tcW w:w="3831"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rPr>
                <w:rFonts w:ascii="Arial" w:hAnsi="Arial" w:cs="Arial"/>
                <w:b/>
              </w:rPr>
            </w:pPr>
            <w:r>
              <w:rPr>
                <w:rFonts w:ascii="Arial" w:hAnsi="Arial" w:cs="Arial"/>
              </w:rPr>
              <w:t>Aggiornamento procedura</w:t>
            </w:r>
          </w:p>
        </w:tc>
      </w:tr>
      <w:tr>
        <w:trPr>
          <w:cantSplit/>
          <w:trHeight w:val="266"/>
          <w:jc w:val="center"/>
        </w:trPr>
        <w:tc>
          <w:tcPr>
            <w:tcW w:w="2273" w:type="dxa"/>
            <w:vMerge/>
            <w:tcBorders>
              <w:left w:val="nil"/>
              <w:bottom w:val="nil"/>
              <w:right w:val="single" w:sz="4" w:space="0" w:color="365F91"/>
            </w:tcBorders>
            <w:tcMar>
              <w:left w:w="28" w:type="dxa"/>
              <w:right w:w="28" w:type="dxa"/>
            </w:tcMar>
          </w:tcPr>
          <w:p>
            <w:pPr>
              <w:rPr>
                <w:color w:val="000000"/>
              </w:rPr>
            </w:pPr>
          </w:p>
        </w:tc>
        <w:tc>
          <w:tcPr>
            <w:tcW w:w="3544"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ind w:right="227"/>
              <w:jc w:val="right"/>
              <w:rPr>
                <w:rFonts w:ascii="Arial" w:hAnsi="Arial" w:cs="Arial"/>
                <w:b/>
                <w:bCs/>
              </w:rPr>
            </w:pPr>
            <w:r>
              <w:rPr>
                <w:rFonts w:ascii="Arial" w:hAnsi="Arial" w:cs="Arial"/>
                <w:b/>
                <w:bCs/>
              </w:rPr>
              <w:t>Versione:</w:t>
            </w:r>
          </w:p>
        </w:tc>
        <w:tc>
          <w:tcPr>
            <w:tcW w:w="3831"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rPr>
                <w:rFonts w:ascii="Arial" w:hAnsi="Arial" w:cs="Arial"/>
                <w:b/>
              </w:rPr>
            </w:pPr>
            <w:r>
              <w:rPr>
                <w:rFonts w:ascii="Arial" w:hAnsi="Arial" w:cs="Arial"/>
                <w:b/>
              </w:rPr>
              <w:t>2019.1.2 (Update)</w:t>
            </w:r>
          </w:p>
        </w:tc>
      </w:tr>
      <w:tr>
        <w:trPr>
          <w:cantSplit/>
          <w:trHeight w:val="266"/>
          <w:jc w:val="center"/>
        </w:trPr>
        <w:tc>
          <w:tcPr>
            <w:tcW w:w="2273" w:type="dxa"/>
            <w:vMerge/>
            <w:tcBorders>
              <w:left w:val="nil"/>
              <w:bottom w:val="nil"/>
              <w:right w:val="single" w:sz="4" w:space="0" w:color="365F91"/>
            </w:tcBorders>
            <w:tcMar>
              <w:left w:w="28" w:type="dxa"/>
              <w:right w:w="28" w:type="dxa"/>
            </w:tcMar>
          </w:tcPr>
          <w:p>
            <w:pPr>
              <w:rPr>
                <w:color w:val="000000"/>
              </w:rPr>
            </w:pPr>
          </w:p>
        </w:tc>
        <w:tc>
          <w:tcPr>
            <w:tcW w:w="3544"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ind w:right="227"/>
              <w:jc w:val="right"/>
              <w:rPr>
                <w:rFonts w:ascii="Arial" w:hAnsi="Arial" w:cs="Arial"/>
                <w:b/>
                <w:bCs/>
              </w:rPr>
            </w:pPr>
            <w:r>
              <w:rPr>
                <w:rFonts w:ascii="Arial" w:hAnsi="Arial" w:cs="Arial"/>
                <w:b/>
                <w:bCs/>
              </w:rPr>
              <w:t>Data di rilascio:</w:t>
            </w:r>
          </w:p>
        </w:tc>
        <w:tc>
          <w:tcPr>
            <w:tcW w:w="3831"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rPr>
                <w:rFonts w:ascii="Arial" w:hAnsi="Arial" w:cs="Arial"/>
                <w:b/>
              </w:rPr>
            </w:pPr>
            <w:r>
              <w:rPr>
                <w:rFonts w:ascii="Arial" w:hAnsi="Arial" w:cs="Arial"/>
                <w:b/>
              </w:rPr>
              <w:t>16.04.2019</w:t>
            </w:r>
          </w:p>
        </w:tc>
      </w:tr>
      <w:tr>
        <w:trPr>
          <w:cantSplit/>
          <w:trHeight w:val="266"/>
          <w:jc w:val="center"/>
        </w:trPr>
        <w:tc>
          <w:tcPr>
            <w:tcW w:w="2273" w:type="dxa"/>
            <w:vMerge/>
            <w:tcBorders>
              <w:left w:val="nil"/>
              <w:bottom w:val="nil"/>
              <w:right w:val="single" w:sz="4" w:space="0" w:color="365F91"/>
            </w:tcBorders>
            <w:tcMar>
              <w:left w:w="28" w:type="dxa"/>
              <w:right w:w="28" w:type="dxa"/>
            </w:tcMar>
          </w:tcPr>
          <w:p>
            <w:pPr>
              <w:rPr>
                <w:color w:val="000000"/>
              </w:rPr>
            </w:pPr>
          </w:p>
        </w:tc>
        <w:tc>
          <w:tcPr>
            <w:tcW w:w="3544"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ind w:right="227"/>
              <w:jc w:val="right"/>
              <w:rPr>
                <w:rFonts w:ascii="Arial" w:hAnsi="Arial" w:cs="Arial"/>
                <w:b/>
                <w:bCs/>
              </w:rPr>
            </w:pPr>
            <w:r>
              <w:rPr>
                <w:rFonts w:ascii="Arial" w:hAnsi="Arial" w:cs="Arial"/>
                <w:b/>
                <w:bCs/>
              </w:rPr>
              <w:t>Riferimento:</w:t>
            </w:r>
          </w:p>
        </w:tc>
        <w:tc>
          <w:tcPr>
            <w:tcW w:w="3831"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rPr>
                <w:rFonts w:ascii="Arial" w:hAnsi="Arial" w:cs="Arial"/>
                <w:b/>
              </w:rPr>
            </w:pPr>
            <w:r>
              <w:rPr>
                <w:rFonts w:ascii="Arial" w:hAnsi="Arial" w:cs="Arial"/>
                <w:b/>
              </w:rPr>
              <w:t>Implementazioni</w:t>
            </w:r>
          </w:p>
        </w:tc>
      </w:tr>
      <w:tr>
        <w:trPr>
          <w:cantSplit/>
          <w:trHeight w:val="266"/>
          <w:jc w:val="center"/>
        </w:trPr>
        <w:tc>
          <w:tcPr>
            <w:tcW w:w="2273" w:type="dxa"/>
            <w:vMerge/>
            <w:tcBorders>
              <w:left w:val="nil"/>
              <w:bottom w:val="nil"/>
              <w:right w:val="single" w:sz="4" w:space="0" w:color="365F91"/>
            </w:tcBorders>
            <w:tcMar>
              <w:left w:w="28" w:type="dxa"/>
              <w:right w:w="28" w:type="dxa"/>
            </w:tcMar>
          </w:tcPr>
          <w:p>
            <w:pPr>
              <w:rPr>
                <w:color w:val="000000"/>
              </w:rPr>
            </w:pPr>
          </w:p>
        </w:tc>
        <w:tc>
          <w:tcPr>
            <w:tcW w:w="3544"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ind w:right="227"/>
              <w:jc w:val="right"/>
              <w:rPr>
                <w:rFonts w:ascii="Arial" w:hAnsi="Arial" w:cs="Arial"/>
                <w:b/>
                <w:bCs/>
              </w:rPr>
            </w:pPr>
            <w:r>
              <w:rPr>
                <w:rFonts w:ascii="Arial" w:hAnsi="Arial" w:cs="Arial"/>
                <w:b/>
                <w:bCs/>
              </w:rPr>
              <w:t>Classificazione:</w:t>
            </w:r>
          </w:p>
        </w:tc>
        <w:tc>
          <w:tcPr>
            <w:tcW w:w="3831" w:type="dxa"/>
            <w:tcBorders>
              <w:top w:val="single" w:sz="4" w:space="0" w:color="365F91"/>
              <w:left w:val="single" w:sz="4" w:space="0" w:color="365F91"/>
              <w:bottom w:val="single" w:sz="4" w:space="0" w:color="365F91"/>
              <w:right w:val="single" w:sz="4" w:space="0" w:color="365F91"/>
            </w:tcBorders>
            <w:vAlign w:val="center"/>
          </w:tcPr>
          <w:p>
            <w:pPr>
              <w:pStyle w:val="Intestazione"/>
              <w:tabs>
                <w:tab w:val="clear" w:pos="4819"/>
                <w:tab w:val="clear" w:pos="9638"/>
              </w:tabs>
              <w:rPr>
                <w:rFonts w:ascii="Arial" w:hAnsi="Arial" w:cs="Arial"/>
                <w:b/>
              </w:rPr>
            </w:pPr>
            <w:r>
              <w:rPr>
                <w:rFonts w:ascii="Arial" w:hAnsi="Arial" w:cs="Arial"/>
                <w:b/>
              </w:rPr>
              <w:t>Guida utente</w:t>
            </w:r>
          </w:p>
        </w:tc>
      </w:tr>
    </w:tbl>
    <w:p>
      <w:pPr>
        <w:pStyle w:val="Ignora"/>
      </w:pPr>
    </w:p>
    <w:p>
      <w:pPr>
        <w:pStyle w:val="Ignora"/>
      </w:pPr>
    </w:p>
    <w:p>
      <w:pPr>
        <w:pStyle w:val="WWNewPage"/>
      </w:pPr>
    </w:p>
    <w:p>
      <w:pPr>
        <w:pStyle w:val="Ignora"/>
        <w:pBdr>
          <w:top w:val="single" w:sz="12" w:space="1" w:color="1F497D" w:themeColor="text2"/>
          <w:left w:val="single" w:sz="12" w:space="4" w:color="1F497D" w:themeColor="text2"/>
          <w:bottom w:val="single" w:sz="18" w:space="1" w:color="1F497D" w:themeColor="text2"/>
          <w:right w:val="single" w:sz="18" w:space="4" w:color="1F497D" w:themeColor="text2"/>
        </w:pBdr>
        <w:ind w:left="142" w:right="141"/>
        <w:jc w:val="center"/>
        <w:rPr>
          <w:b/>
          <w:i/>
          <w:spacing w:val="14"/>
          <w:sz w:val="28"/>
          <w:szCs w:val="28"/>
        </w:rPr>
      </w:pPr>
      <w:r>
        <w:rPr>
          <w:b/>
          <w:i/>
          <w:spacing w:val="14"/>
          <w:sz w:val="28"/>
          <w:szCs w:val="28"/>
        </w:rPr>
        <w:t>IMPLEMENTAZIONI</w:t>
      </w:r>
    </w:p>
    <w:p>
      <w:pPr>
        <w:pStyle w:val="Ignora"/>
      </w:pPr>
    </w:p>
    <w:p>
      <w:pPr>
        <w:pStyle w:val="Sommario1"/>
        <w:rPr>
          <w:rFonts w:asciiTheme="minorHAnsi" w:eastAsiaTheme="minorEastAsia" w:hAnsiTheme="minorHAnsi" w:cstheme="minorBidi"/>
          <w:b w:val="0"/>
          <w:color w:val="auto"/>
          <w:sz w:val="22"/>
          <w:szCs w:val="22"/>
        </w:rPr>
      </w:pPr>
      <w:r>
        <w:rPr>
          <w:rStyle w:val="Collegamentoipertestuale"/>
          <w:b w:val="0"/>
          <w:i/>
          <w:iCs/>
          <w:color w:val="auto"/>
          <w:spacing w:val="-20"/>
          <w:szCs w:val="28"/>
          <w:u w:val="none"/>
        </w:rPr>
        <w:fldChar w:fldCharType="begin"/>
      </w:r>
      <w:r>
        <w:rPr>
          <w:rStyle w:val="Collegamentoipertestuale"/>
          <w:b w:val="0"/>
          <w:i/>
          <w:iCs/>
          <w:color w:val="auto"/>
          <w:spacing w:val="-20"/>
          <w:szCs w:val="28"/>
          <w:u w:val="none"/>
        </w:rPr>
        <w:instrText xml:space="preserve"> TOC \h \z \t "TS-titolo-01;1;TS-titolo-04;4;TS-titolo-Comando;2;TS-titolo-05;5;WW_NormativaSoftware;3" </w:instrText>
      </w:r>
      <w:r>
        <w:rPr>
          <w:rStyle w:val="Collegamentoipertestuale"/>
          <w:b w:val="0"/>
          <w:i/>
          <w:iCs/>
          <w:color w:val="auto"/>
          <w:spacing w:val="-20"/>
          <w:szCs w:val="28"/>
          <w:u w:val="none"/>
        </w:rPr>
        <w:fldChar w:fldCharType="separate"/>
      </w:r>
      <w:hyperlink w:anchor="_Toc6334234" w:history="1">
        <w:r>
          <w:rPr>
            <w:rStyle w:val="Collegamentoipertestuale"/>
          </w:rPr>
          <w:t>Conversione automatica archivi</w:t>
        </w:r>
        <w:r>
          <w:rPr>
            <w:webHidden/>
          </w:rPr>
          <w:tab/>
        </w:r>
        <w:r>
          <w:rPr>
            <w:webHidden/>
          </w:rPr>
          <w:fldChar w:fldCharType="begin"/>
        </w:r>
        <w:r>
          <w:rPr>
            <w:webHidden/>
          </w:rPr>
          <w:instrText xml:space="preserve"> PAGEREF _Toc6334234 \h </w:instrText>
        </w:r>
        <w:r>
          <w:rPr>
            <w:webHidden/>
          </w:rPr>
        </w:r>
        <w:r>
          <w:rPr>
            <w:webHidden/>
          </w:rPr>
          <w:fldChar w:fldCharType="separate"/>
        </w:r>
        <w:r>
          <w:rPr>
            <w:webHidden/>
          </w:rPr>
          <w:t>2</w:t>
        </w:r>
        <w:r>
          <w:rPr>
            <w:webHidden/>
          </w:rPr>
          <w:fldChar w:fldCharType="end"/>
        </w:r>
      </w:hyperlink>
    </w:p>
    <w:p>
      <w:pPr>
        <w:pStyle w:val="Sommario4"/>
        <w:rPr>
          <w:rFonts w:asciiTheme="minorHAnsi" w:eastAsiaTheme="minorEastAsia" w:hAnsiTheme="minorHAnsi" w:cstheme="minorBidi"/>
          <w:i w:val="0"/>
          <w:sz w:val="22"/>
          <w:szCs w:val="22"/>
        </w:rPr>
      </w:pPr>
      <w:hyperlink w:anchor="_Toc6334235" w:history="1">
        <w:r>
          <w:rPr>
            <w:rStyle w:val="Collegamentoipertestuale"/>
          </w:rPr>
          <w:t>Conversione automatica archivi in fase di installazione</w:t>
        </w:r>
        <w:r>
          <w:rPr>
            <w:webHidden/>
          </w:rPr>
          <w:tab/>
        </w:r>
        <w:r>
          <w:rPr>
            <w:webHidden/>
          </w:rPr>
          <w:fldChar w:fldCharType="begin"/>
        </w:r>
        <w:r>
          <w:rPr>
            <w:webHidden/>
          </w:rPr>
          <w:instrText xml:space="preserve"> PAGEREF _Toc6334235 \h </w:instrText>
        </w:r>
        <w:r>
          <w:rPr>
            <w:webHidden/>
          </w:rPr>
        </w:r>
        <w:r>
          <w:rPr>
            <w:webHidden/>
          </w:rPr>
          <w:fldChar w:fldCharType="separate"/>
        </w:r>
        <w:r>
          <w:rPr>
            <w:webHidden/>
          </w:rPr>
          <w:t>2</w:t>
        </w:r>
        <w:r>
          <w:rPr>
            <w:webHidden/>
          </w:rPr>
          <w:fldChar w:fldCharType="end"/>
        </w:r>
      </w:hyperlink>
    </w:p>
    <w:p>
      <w:pPr>
        <w:pStyle w:val="Sommario1"/>
        <w:rPr>
          <w:rFonts w:asciiTheme="minorHAnsi" w:eastAsiaTheme="minorEastAsia" w:hAnsiTheme="minorHAnsi" w:cstheme="minorBidi"/>
          <w:b w:val="0"/>
          <w:color w:val="auto"/>
          <w:sz w:val="22"/>
          <w:szCs w:val="22"/>
        </w:rPr>
      </w:pPr>
      <w:hyperlink w:anchor="_Toc6334236" w:history="1">
        <w:r>
          <w:rPr>
            <w:rStyle w:val="Collegamentoipertestuale"/>
          </w:rPr>
          <w:t>Autoliquidazione INAIL 2018 / 2019</w:t>
        </w:r>
        <w:r>
          <w:rPr>
            <w:webHidden/>
          </w:rPr>
          <w:tab/>
        </w:r>
        <w:r>
          <w:rPr>
            <w:webHidden/>
          </w:rPr>
          <w:fldChar w:fldCharType="begin"/>
        </w:r>
        <w:r>
          <w:rPr>
            <w:webHidden/>
          </w:rPr>
          <w:instrText xml:space="preserve"> PAGEREF _Toc6334236 \h </w:instrText>
        </w:r>
        <w:r>
          <w:rPr>
            <w:webHidden/>
          </w:rPr>
        </w:r>
        <w:r>
          <w:rPr>
            <w:webHidden/>
          </w:rPr>
          <w:fldChar w:fldCharType="separate"/>
        </w:r>
        <w:r>
          <w:rPr>
            <w:webHidden/>
          </w:rPr>
          <w:t>3</w:t>
        </w:r>
        <w:r>
          <w:rPr>
            <w:webHidden/>
          </w:rPr>
          <w:fldChar w:fldCharType="end"/>
        </w:r>
      </w:hyperlink>
    </w:p>
    <w:p>
      <w:pPr>
        <w:pStyle w:val="Sommario2"/>
        <w:rPr>
          <w:rFonts w:asciiTheme="minorHAnsi" w:eastAsiaTheme="minorEastAsia" w:hAnsiTheme="minorHAnsi" w:cstheme="minorBidi"/>
          <w:b w:val="0"/>
          <w:sz w:val="22"/>
          <w:szCs w:val="22"/>
        </w:rPr>
      </w:pPr>
      <w:hyperlink w:anchor="_Toc6334237" w:history="1">
        <w:r>
          <w:rPr>
            <w:rStyle w:val="Collegamentoipertestuale"/>
          </w:rPr>
          <w:t>10SM</w:t>
        </w:r>
        <w:r>
          <w:rPr>
            <w:webHidden/>
          </w:rPr>
          <w:tab/>
        </w:r>
        <w:r>
          <w:rPr>
            <w:webHidden/>
          </w:rPr>
          <w:fldChar w:fldCharType="begin"/>
        </w:r>
        <w:r>
          <w:rPr>
            <w:webHidden/>
          </w:rPr>
          <w:instrText xml:space="preserve"> PAGEREF _Toc6334237 \h </w:instrText>
        </w:r>
        <w:r>
          <w:rPr>
            <w:webHidden/>
          </w:rPr>
        </w:r>
        <w:r>
          <w:rPr>
            <w:webHidden/>
          </w:rPr>
          <w:fldChar w:fldCharType="separate"/>
        </w:r>
        <w:r>
          <w:rPr>
            <w:webHidden/>
          </w:rPr>
          <w:t>3</w:t>
        </w:r>
        <w:r>
          <w:rPr>
            <w:webHidden/>
          </w:rPr>
          <w:fldChar w:fldCharType="end"/>
        </w:r>
      </w:hyperlink>
    </w:p>
    <w:p>
      <w:pPr>
        <w:pStyle w:val="Sommario4"/>
        <w:rPr>
          <w:rFonts w:asciiTheme="minorHAnsi" w:eastAsiaTheme="minorEastAsia" w:hAnsiTheme="minorHAnsi" w:cstheme="minorBidi"/>
          <w:i w:val="0"/>
          <w:sz w:val="22"/>
          <w:szCs w:val="22"/>
        </w:rPr>
      </w:pPr>
      <w:hyperlink w:anchor="_Toc6334238" w:history="1">
        <w:r>
          <w:rPr>
            <w:rStyle w:val="Collegamentoipertestuale"/>
          </w:rPr>
          <w:t>Termini autoliquidazione 2018 / 2019</w:t>
        </w:r>
        <w:r>
          <w:rPr>
            <w:webHidden/>
          </w:rPr>
          <w:tab/>
        </w:r>
        <w:r>
          <w:rPr>
            <w:webHidden/>
          </w:rPr>
          <w:fldChar w:fldCharType="begin"/>
        </w:r>
        <w:r>
          <w:rPr>
            <w:webHidden/>
          </w:rPr>
          <w:instrText xml:space="preserve"> PAGEREF _Toc6334238 \h </w:instrText>
        </w:r>
        <w:r>
          <w:rPr>
            <w:webHidden/>
          </w:rPr>
        </w:r>
        <w:r>
          <w:rPr>
            <w:webHidden/>
          </w:rPr>
          <w:fldChar w:fldCharType="separate"/>
        </w:r>
        <w:r>
          <w:rPr>
            <w:webHidden/>
          </w:rPr>
          <w:t>3</w:t>
        </w:r>
        <w:r>
          <w:rPr>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34239" w:history="1">
        <w:r>
          <w:rPr>
            <w:rStyle w:val="Collegamentoipertestuale"/>
            <w:noProof/>
          </w:rPr>
          <w:t>Rateizzazione premi autoliquidazione 2018 / 2019</w:t>
        </w:r>
        <w:r>
          <w:rPr>
            <w:noProof/>
            <w:webHidden/>
          </w:rPr>
          <w:tab/>
        </w:r>
        <w:r>
          <w:rPr>
            <w:noProof/>
            <w:webHidden/>
          </w:rPr>
          <w:fldChar w:fldCharType="begin"/>
        </w:r>
        <w:r>
          <w:rPr>
            <w:noProof/>
            <w:webHidden/>
          </w:rPr>
          <w:instrText xml:space="preserve"> PAGEREF _Toc6334239 \h </w:instrText>
        </w:r>
        <w:r>
          <w:rPr>
            <w:noProof/>
            <w:webHidden/>
          </w:rPr>
        </w:r>
        <w:r>
          <w:rPr>
            <w:noProof/>
            <w:webHidden/>
          </w:rPr>
          <w:fldChar w:fldCharType="separate"/>
        </w:r>
        <w:r>
          <w:rPr>
            <w:noProof/>
            <w:webHidden/>
          </w:rPr>
          <w:t>3</w:t>
        </w:r>
        <w:r>
          <w:rPr>
            <w:noProof/>
            <w:webHidden/>
          </w:rPr>
          <w:fldChar w:fldCharType="end"/>
        </w:r>
      </w:hyperlink>
    </w:p>
    <w:p>
      <w:pPr>
        <w:pStyle w:val="Sommario4"/>
        <w:rPr>
          <w:rFonts w:asciiTheme="minorHAnsi" w:eastAsiaTheme="minorEastAsia" w:hAnsiTheme="minorHAnsi" w:cstheme="minorBidi"/>
          <w:i w:val="0"/>
          <w:sz w:val="22"/>
          <w:szCs w:val="22"/>
        </w:rPr>
      </w:pPr>
      <w:hyperlink w:anchor="_Toc6334240" w:history="1">
        <w:r>
          <w:rPr>
            <w:rStyle w:val="Collegamentoipertestuale"/>
          </w:rPr>
          <w:t>Premio supplementare silicosi e asbestosi</w:t>
        </w:r>
        <w:r>
          <w:rPr>
            <w:webHidden/>
          </w:rPr>
          <w:tab/>
        </w:r>
        <w:r>
          <w:rPr>
            <w:webHidden/>
          </w:rPr>
          <w:fldChar w:fldCharType="begin"/>
        </w:r>
        <w:r>
          <w:rPr>
            <w:webHidden/>
          </w:rPr>
          <w:instrText xml:space="preserve"> PAGEREF _Toc6334240 \h </w:instrText>
        </w:r>
        <w:r>
          <w:rPr>
            <w:webHidden/>
          </w:rPr>
        </w:r>
        <w:r>
          <w:rPr>
            <w:webHidden/>
          </w:rPr>
          <w:fldChar w:fldCharType="separate"/>
        </w:r>
        <w:r>
          <w:rPr>
            <w:webHidden/>
          </w:rPr>
          <w:t>4</w:t>
        </w:r>
        <w:r>
          <w:rPr>
            <w:webHidden/>
          </w:rPr>
          <w:fldChar w:fldCharType="end"/>
        </w:r>
      </w:hyperlink>
    </w:p>
    <w:p>
      <w:pPr>
        <w:pStyle w:val="Sommario4"/>
        <w:rPr>
          <w:rFonts w:asciiTheme="minorHAnsi" w:eastAsiaTheme="minorEastAsia" w:hAnsiTheme="minorHAnsi" w:cstheme="minorBidi"/>
          <w:i w:val="0"/>
          <w:sz w:val="22"/>
          <w:szCs w:val="22"/>
        </w:rPr>
      </w:pPr>
      <w:hyperlink w:anchor="_Toc6334241" w:history="1">
        <w:r>
          <w:rPr>
            <w:rStyle w:val="Collegamentoipertestuale"/>
          </w:rPr>
          <w:t>Addizionale fondo vittime dell’amianto</w:t>
        </w:r>
        <w:r>
          <w:rPr>
            <w:webHidden/>
          </w:rPr>
          <w:tab/>
        </w:r>
        <w:r>
          <w:rPr>
            <w:webHidden/>
          </w:rPr>
          <w:fldChar w:fldCharType="begin"/>
        </w:r>
        <w:r>
          <w:rPr>
            <w:webHidden/>
          </w:rPr>
          <w:instrText xml:space="preserve"> PAGEREF _Toc6334241 \h </w:instrText>
        </w:r>
        <w:r>
          <w:rPr>
            <w:webHidden/>
          </w:rPr>
        </w:r>
        <w:r>
          <w:rPr>
            <w:webHidden/>
          </w:rPr>
          <w:fldChar w:fldCharType="separate"/>
        </w:r>
        <w:r>
          <w:rPr>
            <w:webHidden/>
          </w:rPr>
          <w:t>4</w:t>
        </w:r>
        <w:r>
          <w:rPr>
            <w:webHidden/>
          </w:rPr>
          <w:fldChar w:fldCharType="end"/>
        </w:r>
      </w:hyperlink>
    </w:p>
    <w:p>
      <w:pPr>
        <w:pStyle w:val="Sommario4"/>
        <w:rPr>
          <w:rFonts w:asciiTheme="minorHAnsi" w:eastAsiaTheme="minorEastAsia" w:hAnsiTheme="minorHAnsi" w:cstheme="minorBidi"/>
          <w:i w:val="0"/>
          <w:sz w:val="22"/>
          <w:szCs w:val="22"/>
        </w:rPr>
      </w:pPr>
      <w:hyperlink w:anchor="_Toc6334242" w:history="1">
        <w:r>
          <w:rPr>
            <w:rStyle w:val="Collegamentoipertestuale"/>
          </w:rPr>
          <w:t>Riduzioni del premio assicurativo</w:t>
        </w:r>
        <w:r>
          <w:rPr>
            <w:webHidden/>
          </w:rPr>
          <w:tab/>
        </w:r>
        <w:r>
          <w:rPr>
            <w:webHidden/>
          </w:rPr>
          <w:fldChar w:fldCharType="begin"/>
        </w:r>
        <w:r>
          <w:rPr>
            <w:webHidden/>
          </w:rPr>
          <w:instrText xml:space="preserve"> PAGEREF _Toc6334242 \h </w:instrText>
        </w:r>
        <w:r>
          <w:rPr>
            <w:webHidden/>
          </w:rPr>
        </w:r>
        <w:r>
          <w:rPr>
            <w:webHidden/>
          </w:rPr>
          <w:fldChar w:fldCharType="separate"/>
        </w:r>
        <w:r>
          <w:rPr>
            <w:webHidden/>
          </w:rPr>
          <w:t>5</w:t>
        </w:r>
        <w:r>
          <w:rPr>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34243" w:history="1">
        <w:r>
          <w:rPr>
            <w:rStyle w:val="Collegamentoipertestuale"/>
            <w:noProof/>
          </w:rPr>
          <w:t>Riduzione ex L. 147/2013 (art. 1, co. 128)</w:t>
        </w:r>
        <w:r>
          <w:rPr>
            <w:noProof/>
            <w:webHidden/>
          </w:rPr>
          <w:tab/>
        </w:r>
        <w:r>
          <w:rPr>
            <w:noProof/>
            <w:webHidden/>
          </w:rPr>
          <w:fldChar w:fldCharType="begin"/>
        </w:r>
        <w:r>
          <w:rPr>
            <w:noProof/>
            <w:webHidden/>
          </w:rPr>
          <w:instrText xml:space="preserve"> PAGEREF _Toc6334243 \h </w:instrText>
        </w:r>
        <w:r>
          <w:rPr>
            <w:noProof/>
            <w:webHidden/>
          </w:rPr>
        </w:r>
        <w:r>
          <w:rPr>
            <w:noProof/>
            <w:webHidden/>
          </w:rPr>
          <w:fldChar w:fldCharType="separate"/>
        </w:r>
        <w:r>
          <w:rPr>
            <w:noProof/>
            <w:webHidden/>
          </w:rPr>
          <w:t>5</w:t>
        </w:r>
        <w:r>
          <w:rPr>
            <w:noProof/>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34244" w:history="1">
        <w:r>
          <w:rPr>
            <w:rStyle w:val="Collegamentoipertestuale"/>
            <w:noProof/>
          </w:rPr>
          <w:t>Imprese artigiane</w:t>
        </w:r>
        <w:r>
          <w:rPr>
            <w:noProof/>
            <w:webHidden/>
          </w:rPr>
          <w:tab/>
        </w:r>
        <w:r>
          <w:rPr>
            <w:noProof/>
            <w:webHidden/>
          </w:rPr>
          <w:fldChar w:fldCharType="begin"/>
        </w:r>
        <w:r>
          <w:rPr>
            <w:noProof/>
            <w:webHidden/>
          </w:rPr>
          <w:instrText xml:space="preserve"> PAGEREF _Toc6334244 \h </w:instrText>
        </w:r>
        <w:r>
          <w:rPr>
            <w:noProof/>
            <w:webHidden/>
          </w:rPr>
        </w:r>
        <w:r>
          <w:rPr>
            <w:noProof/>
            <w:webHidden/>
          </w:rPr>
          <w:fldChar w:fldCharType="separate"/>
        </w:r>
        <w:r>
          <w:rPr>
            <w:noProof/>
            <w:webHidden/>
          </w:rPr>
          <w:t>5</w:t>
        </w:r>
        <w:r>
          <w:rPr>
            <w:noProof/>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34245" w:history="1">
        <w:r>
          <w:rPr>
            <w:rStyle w:val="Collegamentoipertestuale"/>
            <w:noProof/>
          </w:rPr>
          <w:t>Settore edile</w:t>
        </w:r>
        <w:r>
          <w:rPr>
            <w:noProof/>
            <w:webHidden/>
          </w:rPr>
          <w:tab/>
        </w:r>
        <w:r>
          <w:rPr>
            <w:noProof/>
            <w:webHidden/>
          </w:rPr>
          <w:fldChar w:fldCharType="begin"/>
        </w:r>
        <w:r>
          <w:rPr>
            <w:noProof/>
            <w:webHidden/>
          </w:rPr>
          <w:instrText xml:space="preserve"> PAGEREF _Toc6334245 \h </w:instrText>
        </w:r>
        <w:r>
          <w:rPr>
            <w:noProof/>
            <w:webHidden/>
          </w:rPr>
        </w:r>
        <w:r>
          <w:rPr>
            <w:noProof/>
            <w:webHidden/>
          </w:rPr>
          <w:fldChar w:fldCharType="separate"/>
        </w:r>
        <w:r>
          <w:rPr>
            <w:noProof/>
            <w:webHidden/>
          </w:rPr>
          <w:t>5</w:t>
        </w:r>
        <w:r>
          <w:rPr>
            <w:noProof/>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34246" w:history="1">
        <w:r>
          <w:rPr>
            <w:rStyle w:val="Collegamentoipertestuale"/>
            <w:noProof/>
          </w:rPr>
          <w:t>Settore piccola pesca costiera e nelle acque interne e lagunari</w:t>
        </w:r>
        <w:r>
          <w:rPr>
            <w:noProof/>
            <w:webHidden/>
          </w:rPr>
          <w:tab/>
        </w:r>
        <w:r>
          <w:rPr>
            <w:noProof/>
            <w:webHidden/>
          </w:rPr>
          <w:fldChar w:fldCharType="begin"/>
        </w:r>
        <w:r>
          <w:rPr>
            <w:noProof/>
            <w:webHidden/>
          </w:rPr>
          <w:instrText xml:space="preserve"> PAGEREF _Toc6334246 \h </w:instrText>
        </w:r>
        <w:r>
          <w:rPr>
            <w:noProof/>
            <w:webHidden/>
          </w:rPr>
        </w:r>
        <w:r>
          <w:rPr>
            <w:noProof/>
            <w:webHidden/>
          </w:rPr>
          <w:fldChar w:fldCharType="separate"/>
        </w:r>
        <w:r>
          <w:rPr>
            <w:noProof/>
            <w:webHidden/>
          </w:rPr>
          <w:t>5</w:t>
        </w:r>
        <w:r>
          <w:rPr>
            <w:noProof/>
            <w:webHidden/>
          </w:rPr>
          <w:fldChar w:fldCharType="end"/>
        </w:r>
      </w:hyperlink>
    </w:p>
    <w:p>
      <w:pPr>
        <w:pStyle w:val="Sommario4"/>
        <w:rPr>
          <w:rFonts w:asciiTheme="minorHAnsi" w:eastAsiaTheme="minorEastAsia" w:hAnsiTheme="minorHAnsi" w:cstheme="minorBidi"/>
          <w:i w:val="0"/>
          <w:sz w:val="22"/>
          <w:szCs w:val="22"/>
        </w:rPr>
      </w:pPr>
      <w:hyperlink w:anchor="_Toc6334247" w:history="1">
        <w:r>
          <w:rPr>
            <w:rStyle w:val="Collegamentoipertestuale"/>
          </w:rPr>
          <w:t>Codici retribuzioni parzialmente o totalmente esenti</w:t>
        </w:r>
        <w:r>
          <w:rPr>
            <w:webHidden/>
          </w:rPr>
          <w:tab/>
        </w:r>
        <w:r>
          <w:rPr>
            <w:webHidden/>
          </w:rPr>
          <w:fldChar w:fldCharType="begin"/>
        </w:r>
        <w:r>
          <w:rPr>
            <w:webHidden/>
          </w:rPr>
          <w:instrText xml:space="preserve"> PAGEREF _Toc6334247 \h </w:instrText>
        </w:r>
        <w:r>
          <w:rPr>
            <w:webHidden/>
          </w:rPr>
        </w:r>
        <w:r>
          <w:rPr>
            <w:webHidden/>
          </w:rPr>
          <w:fldChar w:fldCharType="separate"/>
        </w:r>
        <w:r>
          <w:rPr>
            <w:webHidden/>
          </w:rPr>
          <w:t>5</w:t>
        </w:r>
        <w:r>
          <w:rPr>
            <w:webHidden/>
          </w:rPr>
          <w:fldChar w:fldCharType="end"/>
        </w:r>
      </w:hyperlink>
    </w:p>
    <w:p>
      <w:pPr>
        <w:pStyle w:val="Sommario4"/>
        <w:rPr>
          <w:rFonts w:asciiTheme="minorHAnsi" w:eastAsiaTheme="minorEastAsia" w:hAnsiTheme="minorHAnsi" w:cstheme="minorBidi"/>
          <w:i w:val="0"/>
          <w:sz w:val="22"/>
          <w:szCs w:val="22"/>
        </w:rPr>
      </w:pPr>
      <w:hyperlink w:anchor="_Toc6334248" w:history="1">
        <w:r>
          <w:rPr>
            <w:rStyle w:val="Collegamentoipertestuale"/>
          </w:rPr>
          <w:t>Tasso applicato per rata 2019</w:t>
        </w:r>
        <w:r>
          <w:rPr>
            <w:webHidden/>
          </w:rPr>
          <w:tab/>
        </w:r>
        <w:r>
          <w:rPr>
            <w:webHidden/>
          </w:rPr>
          <w:fldChar w:fldCharType="begin"/>
        </w:r>
        <w:r>
          <w:rPr>
            <w:webHidden/>
          </w:rPr>
          <w:instrText xml:space="preserve"> PAGEREF _Toc6334248 \h </w:instrText>
        </w:r>
        <w:r>
          <w:rPr>
            <w:webHidden/>
          </w:rPr>
        </w:r>
        <w:r>
          <w:rPr>
            <w:webHidden/>
          </w:rPr>
          <w:fldChar w:fldCharType="separate"/>
        </w:r>
        <w:r>
          <w:rPr>
            <w:webHidden/>
          </w:rPr>
          <w:t>6</w:t>
        </w:r>
        <w:r>
          <w:rPr>
            <w:webHidden/>
          </w:rPr>
          <w:fldChar w:fldCharType="end"/>
        </w:r>
      </w:hyperlink>
    </w:p>
    <w:p>
      <w:pPr>
        <w:pStyle w:val="Sommario4"/>
        <w:rPr>
          <w:rFonts w:asciiTheme="minorHAnsi" w:eastAsiaTheme="minorEastAsia" w:hAnsiTheme="minorHAnsi" w:cstheme="minorBidi"/>
          <w:i w:val="0"/>
          <w:sz w:val="22"/>
          <w:szCs w:val="22"/>
        </w:rPr>
      </w:pPr>
      <w:hyperlink w:anchor="_Toc6334249" w:history="1">
        <w:r>
          <w:rPr>
            <w:rStyle w:val="Collegamentoipertestuale"/>
          </w:rPr>
          <w:t>Soggetti autonomi artigiani</w:t>
        </w:r>
        <w:r>
          <w:rPr>
            <w:webHidden/>
          </w:rPr>
          <w:tab/>
        </w:r>
        <w:r>
          <w:rPr>
            <w:webHidden/>
          </w:rPr>
          <w:fldChar w:fldCharType="begin"/>
        </w:r>
        <w:r>
          <w:rPr>
            <w:webHidden/>
          </w:rPr>
          <w:instrText xml:space="preserve"> PAGEREF _Toc6334249 \h </w:instrText>
        </w:r>
        <w:r>
          <w:rPr>
            <w:webHidden/>
          </w:rPr>
        </w:r>
        <w:r>
          <w:rPr>
            <w:webHidden/>
          </w:rPr>
          <w:fldChar w:fldCharType="separate"/>
        </w:r>
        <w:r>
          <w:rPr>
            <w:webHidden/>
          </w:rPr>
          <w:t>6</w:t>
        </w:r>
        <w:r>
          <w:rPr>
            <w:webHidden/>
          </w:rPr>
          <w:fldChar w:fldCharType="end"/>
        </w:r>
      </w:hyperlink>
    </w:p>
    <w:p>
      <w:pPr>
        <w:pStyle w:val="Sommario4"/>
        <w:rPr>
          <w:rFonts w:asciiTheme="minorHAnsi" w:eastAsiaTheme="minorEastAsia" w:hAnsiTheme="minorHAnsi" w:cstheme="minorBidi"/>
          <w:i w:val="0"/>
          <w:sz w:val="22"/>
          <w:szCs w:val="22"/>
        </w:rPr>
      </w:pPr>
      <w:hyperlink w:anchor="_Toc6334250" w:history="1">
        <w:r>
          <w:rPr>
            <w:rStyle w:val="Collegamentoipertestuale"/>
          </w:rPr>
          <w:t>Contributi associativi</w:t>
        </w:r>
        <w:r>
          <w:rPr>
            <w:webHidden/>
          </w:rPr>
          <w:tab/>
        </w:r>
        <w:r>
          <w:rPr>
            <w:webHidden/>
          </w:rPr>
          <w:fldChar w:fldCharType="begin"/>
        </w:r>
        <w:r>
          <w:rPr>
            <w:webHidden/>
          </w:rPr>
          <w:instrText xml:space="preserve"> PAGEREF _Toc6334250 \h </w:instrText>
        </w:r>
        <w:r>
          <w:rPr>
            <w:webHidden/>
          </w:rPr>
        </w:r>
        <w:r>
          <w:rPr>
            <w:webHidden/>
          </w:rPr>
          <w:fldChar w:fldCharType="separate"/>
        </w:r>
        <w:r>
          <w:rPr>
            <w:webHidden/>
          </w:rPr>
          <w:t>7</w:t>
        </w:r>
        <w:r>
          <w:rPr>
            <w:webHidden/>
          </w:rPr>
          <w:fldChar w:fldCharType="end"/>
        </w:r>
      </w:hyperlink>
    </w:p>
    <w:p>
      <w:pPr>
        <w:pStyle w:val="Sommario4"/>
        <w:rPr>
          <w:rFonts w:asciiTheme="minorHAnsi" w:eastAsiaTheme="minorEastAsia" w:hAnsiTheme="minorHAnsi" w:cstheme="minorBidi"/>
          <w:i w:val="0"/>
          <w:sz w:val="22"/>
          <w:szCs w:val="22"/>
        </w:rPr>
      </w:pPr>
      <w:hyperlink w:anchor="_Toc6334251" w:history="1">
        <w:r>
          <w:rPr>
            <w:rStyle w:val="Collegamentoipertestuale"/>
          </w:rPr>
          <w:t>Ulteriori modifiche software</w:t>
        </w:r>
        <w:r>
          <w:rPr>
            <w:webHidden/>
          </w:rPr>
          <w:tab/>
        </w:r>
        <w:r>
          <w:rPr>
            <w:webHidden/>
          </w:rPr>
          <w:fldChar w:fldCharType="begin"/>
        </w:r>
        <w:r>
          <w:rPr>
            <w:webHidden/>
          </w:rPr>
          <w:instrText xml:space="preserve"> PAGEREF _Toc6334251 \h </w:instrText>
        </w:r>
        <w:r>
          <w:rPr>
            <w:webHidden/>
          </w:rPr>
        </w:r>
        <w:r>
          <w:rPr>
            <w:webHidden/>
          </w:rPr>
          <w:fldChar w:fldCharType="separate"/>
        </w:r>
        <w:r>
          <w:rPr>
            <w:webHidden/>
          </w:rPr>
          <w:t>7</w:t>
        </w:r>
        <w:r>
          <w:rPr>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34252" w:history="1">
        <w:r>
          <w:rPr>
            <w:rStyle w:val="Collegamentoipertestuale"/>
            <w:noProof/>
          </w:rPr>
          <w:t>10SM &gt; Liquidazione dei premi</w:t>
        </w:r>
        <w:r>
          <w:rPr>
            <w:noProof/>
            <w:webHidden/>
          </w:rPr>
          <w:tab/>
        </w:r>
        <w:r>
          <w:rPr>
            <w:noProof/>
            <w:webHidden/>
          </w:rPr>
          <w:fldChar w:fldCharType="begin"/>
        </w:r>
        <w:r>
          <w:rPr>
            <w:noProof/>
            <w:webHidden/>
          </w:rPr>
          <w:instrText xml:space="preserve"> PAGEREF _Toc6334252 \h </w:instrText>
        </w:r>
        <w:r>
          <w:rPr>
            <w:noProof/>
            <w:webHidden/>
          </w:rPr>
        </w:r>
        <w:r>
          <w:rPr>
            <w:noProof/>
            <w:webHidden/>
          </w:rPr>
          <w:fldChar w:fldCharType="separate"/>
        </w:r>
        <w:r>
          <w:rPr>
            <w:noProof/>
            <w:webHidden/>
          </w:rPr>
          <w:t>7</w:t>
        </w:r>
        <w:r>
          <w:rPr>
            <w:noProof/>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34253" w:history="1">
        <w:r>
          <w:rPr>
            <w:rStyle w:val="Collegamentoipertestuale"/>
            <w:noProof/>
          </w:rPr>
          <w:t>Stampa elenco versamenti</w:t>
        </w:r>
        <w:r>
          <w:rPr>
            <w:noProof/>
            <w:webHidden/>
          </w:rPr>
          <w:tab/>
        </w:r>
        <w:r>
          <w:rPr>
            <w:noProof/>
            <w:webHidden/>
          </w:rPr>
          <w:fldChar w:fldCharType="begin"/>
        </w:r>
        <w:r>
          <w:rPr>
            <w:noProof/>
            <w:webHidden/>
          </w:rPr>
          <w:instrText xml:space="preserve"> PAGEREF _Toc6334253 \h </w:instrText>
        </w:r>
        <w:r>
          <w:rPr>
            <w:noProof/>
            <w:webHidden/>
          </w:rPr>
        </w:r>
        <w:r>
          <w:rPr>
            <w:noProof/>
            <w:webHidden/>
          </w:rPr>
          <w:fldChar w:fldCharType="separate"/>
        </w:r>
        <w:r>
          <w:rPr>
            <w:noProof/>
            <w:webHidden/>
          </w:rPr>
          <w:t>8</w:t>
        </w:r>
        <w:r>
          <w:rPr>
            <w:noProof/>
            <w:webHidden/>
          </w:rPr>
          <w:fldChar w:fldCharType="end"/>
        </w:r>
      </w:hyperlink>
    </w:p>
    <w:p>
      <w:pPr>
        <w:pStyle w:val="Sommario1"/>
        <w:rPr>
          <w:rFonts w:asciiTheme="minorHAnsi" w:eastAsiaTheme="minorEastAsia" w:hAnsiTheme="minorHAnsi" w:cstheme="minorBidi"/>
          <w:b w:val="0"/>
          <w:color w:val="auto"/>
          <w:sz w:val="22"/>
          <w:szCs w:val="22"/>
        </w:rPr>
      </w:pPr>
      <w:hyperlink w:anchor="_Toc6334254" w:history="1">
        <w:r>
          <w:rPr>
            <w:rStyle w:val="Collegamentoipertestuale"/>
          </w:rPr>
          <w:t>CCNL Edilizia</w:t>
        </w:r>
        <w:r>
          <w:rPr>
            <w:webHidden/>
          </w:rPr>
          <w:tab/>
        </w:r>
        <w:r>
          <w:rPr>
            <w:webHidden/>
          </w:rPr>
          <w:fldChar w:fldCharType="begin"/>
        </w:r>
        <w:r>
          <w:rPr>
            <w:webHidden/>
          </w:rPr>
          <w:instrText xml:space="preserve"> PAGEREF _Toc6334254 \h </w:instrText>
        </w:r>
        <w:r>
          <w:rPr>
            <w:webHidden/>
          </w:rPr>
        </w:r>
        <w:r>
          <w:rPr>
            <w:webHidden/>
          </w:rPr>
          <w:fldChar w:fldCharType="separate"/>
        </w:r>
        <w:r>
          <w:rPr>
            <w:webHidden/>
          </w:rPr>
          <w:t>9</w:t>
        </w:r>
        <w:r>
          <w:rPr>
            <w:webHidden/>
          </w:rPr>
          <w:fldChar w:fldCharType="end"/>
        </w:r>
      </w:hyperlink>
    </w:p>
    <w:p>
      <w:pPr>
        <w:pStyle w:val="Sommario4"/>
        <w:rPr>
          <w:rFonts w:asciiTheme="minorHAnsi" w:eastAsiaTheme="minorEastAsia" w:hAnsiTheme="minorHAnsi" w:cstheme="minorBidi"/>
          <w:i w:val="0"/>
          <w:sz w:val="22"/>
          <w:szCs w:val="22"/>
        </w:rPr>
      </w:pPr>
      <w:hyperlink w:anchor="_Toc6334255" w:history="1">
        <w:r>
          <w:rPr>
            <w:rStyle w:val="Collegamentoipertestuale"/>
          </w:rPr>
          <w:t>Fondo Nazionale assistenza sanitaria integrativa settore edile (SANEDIL)</w:t>
        </w:r>
        <w:r>
          <w:rPr>
            <w:webHidden/>
          </w:rPr>
          <w:tab/>
        </w:r>
        <w:r>
          <w:rPr>
            <w:webHidden/>
          </w:rPr>
          <w:fldChar w:fldCharType="begin"/>
        </w:r>
        <w:r>
          <w:rPr>
            <w:webHidden/>
          </w:rPr>
          <w:instrText xml:space="preserve"> PAGEREF _Toc6334255 \h </w:instrText>
        </w:r>
        <w:r>
          <w:rPr>
            <w:webHidden/>
          </w:rPr>
        </w:r>
        <w:r>
          <w:rPr>
            <w:webHidden/>
          </w:rPr>
          <w:fldChar w:fldCharType="separate"/>
        </w:r>
        <w:r>
          <w:rPr>
            <w:webHidden/>
          </w:rPr>
          <w:t>9</w:t>
        </w:r>
        <w:r>
          <w:rPr>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34256" w:history="1">
        <w:r>
          <w:rPr>
            <w:rStyle w:val="Collegamentoipertestuale"/>
            <w:noProof/>
          </w:rPr>
          <w:t>STEDIL</w:t>
        </w:r>
        <w:r>
          <w:rPr>
            <w:noProof/>
            <w:webHidden/>
          </w:rPr>
          <w:tab/>
        </w:r>
        <w:r>
          <w:rPr>
            <w:noProof/>
            <w:webHidden/>
          </w:rPr>
          <w:fldChar w:fldCharType="begin"/>
        </w:r>
        <w:r>
          <w:rPr>
            <w:noProof/>
            <w:webHidden/>
          </w:rPr>
          <w:instrText xml:space="preserve"> PAGEREF _Toc6334256 \h </w:instrText>
        </w:r>
        <w:r>
          <w:rPr>
            <w:noProof/>
            <w:webHidden/>
          </w:rPr>
        </w:r>
        <w:r>
          <w:rPr>
            <w:noProof/>
            <w:webHidden/>
          </w:rPr>
          <w:fldChar w:fldCharType="separate"/>
        </w:r>
        <w:r>
          <w:rPr>
            <w:noProof/>
            <w:webHidden/>
          </w:rPr>
          <w:t>9</w:t>
        </w:r>
        <w:r>
          <w:rPr>
            <w:noProof/>
            <w:webHidden/>
          </w:rPr>
          <w:fldChar w:fldCharType="end"/>
        </w:r>
      </w:hyperlink>
    </w:p>
    <w:p>
      <w:pPr>
        <w:pStyle w:val="Sommario1"/>
        <w:rPr>
          <w:rFonts w:asciiTheme="minorHAnsi" w:eastAsiaTheme="minorEastAsia" w:hAnsiTheme="minorHAnsi" w:cstheme="minorBidi"/>
          <w:b w:val="0"/>
          <w:color w:val="auto"/>
          <w:sz w:val="22"/>
          <w:szCs w:val="22"/>
        </w:rPr>
      </w:pPr>
      <w:hyperlink w:anchor="_Toc6334257" w:history="1">
        <w:r>
          <w:rPr>
            <w:rStyle w:val="Collegamentoipertestuale"/>
          </w:rPr>
          <w:t>Archivi di base</w:t>
        </w:r>
        <w:r>
          <w:rPr>
            <w:webHidden/>
          </w:rPr>
          <w:tab/>
        </w:r>
        <w:r>
          <w:rPr>
            <w:webHidden/>
          </w:rPr>
          <w:fldChar w:fldCharType="begin"/>
        </w:r>
        <w:r>
          <w:rPr>
            <w:webHidden/>
          </w:rPr>
          <w:instrText xml:space="preserve"> PAGEREF _Toc6334257 \h </w:instrText>
        </w:r>
        <w:r>
          <w:rPr>
            <w:webHidden/>
          </w:rPr>
        </w:r>
        <w:r>
          <w:rPr>
            <w:webHidden/>
          </w:rPr>
          <w:fldChar w:fldCharType="separate"/>
        </w:r>
        <w:r>
          <w:rPr>
            <w:webHidden/>
          </w:rPr>
          <w:t>12</w:t>
        </w:r>
        <w:r>
          <w:rPr>
            <w:webHidden/>
          </w:rPr>
          <w:fldChar w:fldCharType="end"/>
        </w:r>
      </w:hyperlink>
    </w:p>
    <w:p>
      <w:pPr>
        <w:pStyle w:val="Sommario2"/>
        <w:rPr>
          <w:rFonts w:asciiTheme="minorHAnsi" w:eastAsiaTheme="minorEastAsia" w:hAnsiTheme="minorHAnsi" w:cstheme="minorBidi"/>
          <w:b w:val="0"/>
          <w:sz w:val="22"/>
          <w:szCs w:val="22"/>
        </w:rPr>
      </w:pPr>
      <w:hyperlink w:anchor="_Toc6334258" w:history="1">
        <w:r>
          <w:rPr>
            <w:rStyle w:val="Collegamentoipertestuale"/>
          </w:rPr>
          <w:t>TB0703</w:t>
        </w:r>
        <w:r>
          <w:rPr>
            <w:webHidden/>
          </w:rPr>
          <w:tab/>
        </w:r>
        <w:r>
          <w:rPr>
            <w:webHidden/>
          </w:rPr>
          <w:fldChar w:fldCharType="begin"/>
        </w:r>
        <w:r>
          <w:rPr>
            <w:webHidden/>
          </w:rPr>
          <w:instrText xml:space="preserve"> PAGEREF _Toc6334258 \h </w:instrText>
        </w:r>
        <w:r>
          <w:rPr>
            <w:webHidden/>
          </w:rPr>
        </w:r>
        <w:r>
          <w:rPr>
            <w:webHidden/>
          </w:rPr>
          <w:fldChar w:fldCharType="separate"/>
        </w:r>
        <w:r>
          <w:rPr>
            <w:webHidden/>
          </w:rPr>
          <w:t>12</w:t>
        </w:r>
        <w:r>
          <w:rPr>
            <w:webHidden/>
          </w:rPr>
          <w:fldChar w:fldCharType="end"/>
        </w:r>
      </w:hyperlink>
    </w:p>
    <w:p>
      <w:pPr>
        <w:pStyle w:val="Sommario4"/>
        <w:rPr>
          <w:rFonts w:asciiTheme="minorHAnsi" w:eastAsiaTheme="minorEastAsia" w:hAnsiTheme="minorHAnsi" w:cstheme="minorBidi"/>
          <w:i w:val="0"/>
          <w:sz w:val="22"/>
          <w:szCs w:val="22"/>
        </w:rPr>
      </w:pPr>
      <w:hyperlink w:anchor="_Toc6334259" w:history="1">
        <w:r>
          <w:rPr>
            <w:rStyle w:val="Collegamentoipertestuale"/>
          </w:rPr>
          <w:t>Tabella retribuzioni convenzionali INAIL</w:t>
        </w:r>
        <w:r>
          <w:rPr>
            <w:webHidden/>
          </w:rPr>
          <w:tab/>
        </w:r>
        <w:r>
          <w:rPr>
            <w:webHidden/>
          </w:rPr>
          <w:fldChar w:fldCharType="begin"/>
        </w:r>
        <w:r>
          <w:rPr>
            <w:webHidden/>
          </w:rPr>
          <w:instrText xml:space="preserve"> PAGEREF _Toc6334259 \h </w:instrText>
        </w:r>
        <w:r>
          <w:rPr>
            <w:webHidden/>
          </w:rPr>
        </w:r>
        <w:r>
          <w:rPr>
            <w:webHidden/>
          </w:rPr>
          <w:fldChar w:fldCharType="separate"/>
        </w:r>
        <w:r>
          <w:rPr>
            <w:webHidden/>
          </w:rPr>
          <w:t>12</w:t>
        </w:r>
        <w:r>
          <w:rPr>
            <w:webHidden/>
          </w:rPr>
          <w:fldChar w:fldCharType="end"/>
        </w:r>
      </w:hyperlink>
    </w:p>
    <w:p>
      <w:pPr>
        <w:pStyle w:val="Sommario2"/>
        <w:rPr>
          <w:rFonts w:asciiTheme="minorHAnsi" w:eastAsiaTheme="minorEastAsia" w:hAnsiTheme="minorHAnsi" w:cstheme="minorBidi"/>
          <w:b w:val="0"/>
          <w:sz w:val="22"/>
          <w:szCs w:val="22"/>
        </w:rPr>
      </w:pPr>
      <w:hyperlink w:anchor="_Toc6334260" w:history="1">
        <w:r>
          <w:rPr>
            <w:rStyle w:val="Collegamentoipertestuale"/>
          </w:rPr>
          <w:t>DIPE</w:t>
        </w:r>
        <w:r>
          <w:rPr>
            <w:webHidden/>
          </w:rPr>
          <w:tab/>
        </w:r>
        <w:r>
          <w:rPr>
            <w:webHidden/>
          </w:rPr>
          <w:fldChar w:fldCharType="begin"/>
        </w:r>
        <w:r>
          <w:rPr>
            <w:webHidden/>
          </w:rPr>
          <w:instrText xml:space="preserve"> PAGEREF _Toc6334260 \h </w:instrText>
        </w:r>
        <w:r>
          <w:rPr>
            <w:webHidden/>
          </w:rPr>
        </w:r>
        <w:r>
          <w:rPr>
            <w:webHidden/>
          </w:rPr>
          <w:fldChar w:fldCharType="separate"/>
        </w:r>
        <w:r>
          <w:rPr>
            <w:webHidden/>
          </w:rPr>
          <w:t>13</w:t>
        </w:r>
        <w:r>
          <w:rPr>
            <w:webHidden/>
          </w:rPr>
          <w:fldChar w:fldCharType="end"/>
        </w:r>
      </w:hyperlink>
    </w:p>
    <w:p>
      <w:pPr>
        <w:pStyle w:val="Sommario4"/>
        <w:rPr>
          <w:rFonts w:asciiTheme="minorHAnsi" w:eastAsiaTheme="minorEastAsia" w:hAnsiTheme="minorHAnsi" w:cstheme="minorBidi"/>
          <w:i w:val="0"/>
          <w:sz w:val="22"/>
          <w:szCs w:val="22"/>
        </w:rPr>
      </w:pPr>
      <w:hyperlink w:anchor="_Toc6334261" w:history="1">
        <w:r>
          <w:rPr>
            <w:rStyle w:val="Collegamentoipertestuale"/>
          </w:rPr>
          <w:t>Mesi tassazione</w:t>
        </w:r>
        <w:r>
          <w:rPr>
            <w:webHidden/>
          </w:rPr>
          <w:tab/>
        </w:r>
        <w:r>
          <w:rPr>
            <w:webHidden/>
          </w:rPr>
          <w:fldChar w:fldCharType="begin"/>
        </w:r>
        <w:r>
          <w:rPr>
            <w:webHidden/>
          </w:rPr>
          <w:instrText xml:space="preserve"> PAGEREF _Toc6334261 \h </w:instrText>
        </w:r>
        <w:r>
          <w:rPr>
            <w:webHidden/>
          </w:rPr>
        </w:r>
        <w:r>
          <w:rPr>
            <w:webHidden/>
          </w:rPr>
          <w:fldChar w:fldCharType="separate"/>
        </w:r>
        <w:r>
          <w:rPr>
            <w:webHidden/>
          </w:rPr>
          <w:t>13</w:t>
        </w:r>
        <w:r>
          <w:rPr>
            <w:webHidden/>
          </w:rPr>
          <w:fldChar w:fldCharType="end"/>
        </w:r>
      </w:hyperlink>
    </w:p>
    <w:p>
      <w:pPr>
        <w:pStyle w:val="Sommario1"/>
        <w:rPr>
          <w:rFonts w:asciiTheme="minorHAnsi" w:eastAsiaTheme="minorEastAsia" w:hAnsiTheme="minorHAnsi" w:cstheme="minorBidi"/>
          <w:b w:val="0"/>
          <w:color w:val="auto"/>
          <w:sz w:val="22"/>
          <w:szCs w:val="22"/>
        </w:rPr>
      </w:pPr>
      <w:hyperlink w:anchor="_Toc6334262" w:history="1">
        <w:r>
          <w:rPr>
            <w:rStyle w:val="Collegamentoipertestuale"/>
          </w:rPr>
          <w:t>Altri enti</w:t>
        </w:r>
        <w:r>
          <w:rPr>
            <w:webHidden/>
          </w:rPr>
          <w:tab/>
        </w:r>
        <w:r>
          <w:rPr>
            <w:webHidden/>
          </w:rPr>
          <w:fldChar w:fldCharType="begin"/>
        </w:r>
        <w:r>
          <w:rPr>
            <w:webHidden/>
          </w:rPr>
          <w:instrText xml:space="preserve"> PAGEREF _Toc6334262 \h </w:instrText>
        </w:r>
        <w:r>
          <w:rPr>
            <w:webHidden/>
          </w:rPr>
        </w:r>
        <w:r>
          <w:rPr>
            <w:webHidden/>
          </w:rPr>
          <w:fldChar w:fldCharType="separate"/>
        </w:r>
        <w:r>
          <w:rPr>
            <w:webHidden/>
          </w:rPr>
          <w:t>14</w:t>
        </w:r>
        <w:r>
          <w:rPr>
            <w:webHidden/>
          </w:rPr>
          <w:fldChar w:fldCharType="end"/>
        </w:r>
      </w:hyperlink>
    </w:p>
    <w:p>
      <w:pPr>
        <w:pStyle w:val="Sommario2"/>
        <w:rPr>
          <w:rFonts w:asciiTheme="minorHAnsi" w:eastAsiaTheme="minorEastAsia" w:hAnsiTheme="minorHAnsi" w:cstheme="minorBidi"/>
          <w:b w:val="0"/>
          <w:sz w:val="22"/>
          <w:szCs w:val="22"/>
        </w:rPr>
      </w:pPr>
      <w:hyperlink w:anchor="_Toc6334263" w:history="1">
        <w:r>
          <w:rPr>
            <w:rStyle w:val="Collegamentoipertestuale"/>
          </w:rPr>
          <w:t>SANIMODA</w:t>
        </w:r>
        <w:r>
          <w:rPr>
            <w:webHidden/>
          </w:rPr>
          <w:tab/>
        </w:r>
        <w:r>
          <w:rPr>
            <w:webHidden/>
          </w:rPr>
          <w:fldChar w:fldCharType="begin"/>
        </w:r>
        <w:r>
          <w:rPr>
            <w:webHidden/>
          </w:rPr>
          <w:instrText xml:space="preserve"> PAGEREF _Toc6334263 \h </w:instrText>
        </w:r>
        <w:r>
          <w:rPr>
            <w:webHidden/>
          </w:rPr>
        </w:r>
        <w:r>
          <w:rPr>
            <w:webHidden/>
          </w:rPr>
          <w:fldChar w:fldCharType="separate"/>
        </w:r>
        <w:r>
          <w:rPr>
            <w:webHidden/>
          </w:rPr>
          <w:t>14</w:t>
        </w:r>
        <w:r>
          <w:rPr>
            <w:webHidden/>
          </w:rPr>
          <w:fldChar w:fldCharType="end"/>
        </w:r>
      </w:hyperlink>
    </w:p>
    <w:p>
      <w:pPr>
        <w:pStyle w:val="Sommario4"/>
        <w:rPr>
          <w:rFonts w:asciiTheme="minorHAnsi" w:eastAsiaTheme="minorEastAsia" w:hAnsiTheme="minorHAnsi" w:cstheme="minorBidi"/>
          <w:i w:val="0"/>
          <w:sz w:val="22"/>
          <w:szCs w:val="22"/>
        </w:rPr>
      </w:pPr>
      <w:hyperlink w:anchor="_Toc6334264" w:history="1">
        <w:r>
          <w:rPr>
            <w:rStyle w:val="Collegamentoipertestuale"/>
          </w:rPr>
          <w:t>Aziende che applicano il CCNL Calzature</w:t>
        </w:r>
        <w:r>
          <w:rPr>
            <w:webHidden/>
          </w:rPr>
          <w:tab/>
        </w:r>
        <w:r>
          <w:rPr>
            <w:webHidden/>
          </w:rPr>
          <w:fldChar w:fldCharType="begin"/>
        </w:r>
        <w:r>
          <w:rPr>
            <w:webHidden/>
          </w:rPr>
          <w:instrText xml:space="preserve"> PAGEREF _Toc6334264 \h </w:instrText>
        </w:r>
        <w:r>
          <w:rPr>
            <w:webHidden/>
          </w:rPr>
        </w:r>
        <w:r>
          <w:rPr>
            <w:webHidden/>
          </w:rPr>
          <w:fldChar w:fldCharType="separate"/>
        </w:r>
        <w:r>
          <w:rPr>
            <w:webHidden/>
          </w:rPr>
          <w:t>14</w:t>
        </w:r>
        <w:r>
          <w:rPr>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34265" w:history="1">
        <w:r>
          <w:rPr>
            <w:rStyle w:val="Collegamentoipertestuale"/>
            <w:noProof/>
          </w:rPr>
          <w:t>TB0306 – Tabella contributi altri enti</w:t>
        </w:r>
        <w:r>
          <w:rPr>
            <w:noProof/>
            <w:webHidden/>
          </w:rPr>
          <w:tab/>
        </w:r>
        <w:r>
          <w:rPr>
            <w:noProof/>
            <w:webHidden/>
          </w:rPr>
          <w:fldChar w:fldCharType="begin"/>
        </w:r>
        <w:r>
          <w:rPr>
            <w:noProof/>
            <w:webHidden/>
          </w:rPr>
          <w:instrText xml:space="preserve"> PAGEREF _Toc6334265 \h </w:instrText>
        </w:r>
        <w:r>
          <w:rPr>
            <w:noProof/>
            <w:webHidden/>
          </w:rPr>
        </w:r>
        <w:r>
          <w:rPr>
            <w:noProof/>
            <w:webHidden/>
          </w:rPr>
          <w:fldChar w:fldCharType="separate"/>
        </w:r>
        <w:r>
          <w:rPr>
            <w:noProof/>
            <w:webHidden/>
          </w:rPr>
          <w:t>14</w:t>
        </w:r>
        <w:r>
          <w:rPr>
            <w:noProof/>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34266" w:history="1">
        <w:r>
          <w:rPr>
            <w:rStyle w:val="Collegamentoipertestuale"/>
            <w:noProof/>
          </w:rPr>
          <w:t>CEDOL - QUADR</w:t>
        </w:r>
        <w:r>
          <w:rPr>
            <w:noProof/>
            <w:webHidden/>
          </w:rPr>
          <w:tab/>
        </w:r>
        <w:r>
          <w:rPr>
            <w:noProof/>
            <w:webHidden/>
          </w:rPr>
          <w:fldChar w:fldCharType="begin"/>
        </w:r>
        <w:r>
          <w:rPr>
            <w:noProof/>
            <w:webHidden/>
          </w:rPr>
          <w:instrText xml:space="preserve"> PAGEREF _Toc6334266 \h </w:instrText>
        </w:r>
        <w:r>
          <w:rPr>
            <w:noProof/>
            <w:webHidden/>
          </w:rPr>
        </w:r>
        <w:r>
          <w:rPr>
            <w:noProof/>
            <w:webHidden/>
          </w:rPr>
          <w:fldChar w:fldCharType="separate"/>
        </w:r>
        <w:r>
          <w:rPr>
            <w:noProof/>
            <w:webHidden/>
          </w:rPr>
          <w:t>14</w:t>
        </w:r>
        <w:r>
          <w:rPr>
            <w:noProof/>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34267" w:history="1">
        <w:r>
          <w:rPr>
            <w:rStyle w:val="Collegamentoipertestuale"/>
            <w:noProof/>
          </w:rPr>
          <w:t>Generazione telematico</w:t>
        </w:r>
        <w:r>
          <w:rPr>
            <w:noProof/>
            <w:webHidden/>
          </w:rPr>
          <w:tab/>
        </w:r>
        <w:r>
          <w:rPr>
            <w:noProof/>
            <w:webHidden/>
          </w:rPr>
          <w:fldChar w:fldCharType="begin"/>
        </w:r>
        <w:r>
          <w:rPr>
            <w:noProof/>
            <w:webHidden/>
          </w:rPr>
          <w:instrText xml:space="preserve"> PAGEREF _Toc6334267 \h </w:instrText>
        </w:r>
        <w:r>
          <w:rPr>
            <w:noProof/>
            <w:webHidden/>
          </w:rPr>
        </w:r>
        <w:r>
          <w:rPr>
            <w:noProof/>
            <w:webHidden/>
          </w:rPr>
          <w:fldChar w:fldCharType="separate"/>
        </w:r>
        <w:r>
          <w:rPr>
            <w:noProof/>
            <w:webHidden/>
          </w:rPr>
          <w:t>15</w:t>
        </w:r>
        <w:r>
          <w:rPr>
            <w:noProof/>
            <w:webHidden/>
          </w:rPr>
          <w:fldChar w:fldCharType="end"/>
        </w:r>
      </w:hyperlink>
    </w:p>
    <w:p>
      <w:pPr>
        <w:pStyle w:val="corpoAltF"/>
      </w:pPr>
      <w:r>
        <w:rPr>
          <w:rStyle w:val="Collegamentoipertestuale"/>
          <w:b/>
          <w:i/>
          <w:iCs/>
          <w:noProof/>
          <w:color w:val="auto"/>
          <w:spacing w:val="-20"/>
          <w:szCs w:val="28"/>
          <w:u w:val="none"/>
        </w:rPr>
        <w:fldChar w:fldCharType="end"/>
      </w:r>
    </w:p>
    <w:p>
      <w:pPr>
        <w:pStyle w:val="Ignora"/>
        <w:sectPr>
          <w:headerReference w:type="default" r:id="rId9"/>
          <w:footerReference w:type="default" r:id="rId10"/>
          <w:pgSz w:w="11907" w:h="16840" w:code="9"/>
          <w:pgMar w:top="567" w:right="1134" w:bottom="1134" w:left="1134" w:header="397" w:footer="397" w:gutter="0"/>
          <w:pgNumType w:chapStyle="1" w:chapSep="period"/>
          <w:cols w:space="720"/>
          <w:noEndnote/>
          <w:docGrid w:linePitch="326"/>
        </w:sectPr>
      </w:pPr>
    </w:p>
    <w:p>
      <w:pPr>
        <w:pStyle w:val="CorpoAltF0"/>
      </w:pPr>
      <w:bookmarkStart w:id="2" w:name="_GoBack"/>
      <w:bookmarkEnd w:id="0"/>
      <w:bookmarkEnd w:id="2"/>
    </w:p>
    <w:p>
      <w:pPr>
        <w:pStyle w:val="WWNewPage"/>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6786"/>
        <w:gridCol w:w="2853"/>
      </w:tblGrid>
      <w:tr>
        <w:trPr>
          <w:trHeight w:val="558"/>
        </w:trPr>
        <w:tc>
          <w:tcPr>
            <w:tcW w:w="6874" w:type="dxa"/>
            <w:tcBorders>
              <w:top w:val="nil"/>
              <w:left w:val="nil"/>
              <w:bottom w:val="single" w:sz="12" w:space="0" w:color="auto"/>
              <w:right w:val="nil"/>
            </w:tcBorders>
            <w:vAlign w:val="center"/>
          </w:tcPr>
          <w:p>
            <w:pPr>
              <w:pStyle w:val="TS-titolo-01"/>
              <w:outlineLvl w:val="0"/>
            </w:pPr>
            <w:bookmarkStart w:id="3" w:name="Conversione_auto"/>
            <w:bookmarkStart w:id="4" w:name="_Toc496285494"/>
            <w:bookmarkStart w:id="5" w:name="_Toc497216121"/>
            <w:bookmarkStart w:id="6" w:name="_Toc499826186"/>
            <w:bookmarkStart w:id="7" w:name="_Toc6334234"/>
            <w:bookmarkEnd w:id="3"/>
            <w:r>
              <w:t>Conversione automatica archivi</w:t>
            </w:r>
            <w:bookmarkEnd w:id="4"/>
            <w:bookmarkEnd w:id="5"/>
            <w:bookmarkEnd w:id="6"/>
            <w:bookmarkEnd w:id="7"/>
          </w:p>
        </w:tc>
        <w:tc>
          <w:tcPr>
            <w:tcW w:w="2901" w:type="dxa"/>
            <w:tcBorders>
              <w:top w:val="single" w:sz="4" w:space="0" w:color="auto"/>
              <w:left w:val="nil"/>
              <w:bottom w:val="single" w:sz="4" w:space="0" w:color="auto"/>
              <w:right w:val="nil"/>
            </w:tcBorders>
            <w:shd w:val="clear" w:color="auto" w:fill="000000"/>
            <w:vAlign w:val="center"/>
          </w:tcPr>
          <w:p>
            <w:pPr>
              <w:pStyle w:val="TS-titolo-02"/>
              <w:outlineLvl w:val="0"/>
            </w:pPr>
          </w:p>
        </w:tc>
      </w:tr>
    </w:tbl>
    <w:p>
      <w:pPr>
        <w:pStyle w:val="Ignora"/>
      </w:pPr>
    </w:p>
    <w:p>
      <w:pPr>
        <w:pStyle w:val="TS-titolo-04"/>
      </w:pPr>
      <w:bookmarkStart w:id="8" w:name="_Toc496285495"/>
      <w:bookmarkStart w:id="9" w:name="_Toc497216122"/>
      <w:bookmarkStart w:id="10" w:name="_Toc499826187"/>
      <w:bookmarkStart w:id="11" w:name="_Toc6334235"/>
      <w:r>
        <w:t>Conversione automatica archivi in fase di installazione</w:t>
      </w:r>
      <w:bookmarkEnd w:id="8"/>
      <w:bookmarkEnd w:id="9"/>
      <w:bookmarkEnd w:id="10"/>
      <w:bookmarkEnd w:id="11"/>
    </w:p>
    <w:p>
      <w:pPr>
        <w:pStyle w:val="CorpoAltF0"/>
        <w:spacing w:before="120"/>
      </w:pPr>
      <w:r>
        <w:t>Il programma provvede ad eseguire automaticamente la conversione degli archivi in fase di installazione della versione.</w:t>
      </w:r>
    </w:p>
    <w:p>
      <w:pPr>
        <w:pStyle w:val="CorpoAltF0"/>
        <w:spacing w:before="120"/>
      </w:pPr>
      <w:r>
        <w:t>La progressione e l’esito della conversione vengono visualizzati a video tra le operazioni effettuate in fase d’installazione; nel caso di installazione in ambiente nativo vengono esposti nel log d’installazione.</w:t>
      </w:r>
    </w:p>
    <w:p>
      <w:pPr>
        <w:pStyle w:val="CorpoAltF0"/>
        <w:spacing w:before="120"/>
        <w:jc w:val="center"/>
      </w:pPr>
      <w:r>
        <w:rPr>
          <w:noProof/>
        </w:rPr>
        <w:drawing>
          <wp:inline distT="0" distB="0" distL="0" distR="0">
            <wp:extent cx="5040000" cy="3249150"/>
            <wp:effectExtent l="0" t="0" r="8255" b="889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040000" cy="3249150"/>
                    </a:xfrm>
                    <a:prstGeom prst="rect">
                      <a:avLst/>
                    </a:prstGeom>
                  </pic:spPr>
                </pic:pic>
              </a:graphicData>
            </a:graphic>
          </wp:inline>
        </w:drawing>
      </w:r>
    </w:p>
    <w:p>
      <w:pPr>
        <w:pStyle w:val="CorpoAltF0"/>
        <w:spacing w:before="120"/>
      </w:pPr>
      <w:r>
        <w:t xml:space="preserve">Prima di eseguire la conversione il programma provvede ad effettuare una copia </w:t>
      </w:r>
      <w:r>
        <w:rPr>
          <w:u w:val="single"/>
        </w:rPr>
        <w:t>dei soli archivi interessati dalla conversione</w:t>
      </w:r>
      <w:r>
        <w:t xml:space="preserve"> stessa. A tal fine viene verificata la disponibilità dello spazio su disco necessario alla copia dei file.</w:t>
      </w:r>
    </w:p>
    <w:p>
      <w:pPr>
        <w:pStyle w:val="CorpoAltF0"/>
        <w:spacing w:before="60"/>
      </w:pPr>
      <w:r>
        <w:t>In assenza di spazio per la copia la conversione non viene effettuata e dovrà essere eseguita manualmente dall’utente in fase di accesso all’applicativo (</w:t>
      </w:r>
      <w:r>
        <w:rPr>
          <w:b/>
        </w:rPr>
        <w:t>CONVERS</w:t>
      </w:r>
      <w:r>
        <w:t>). In tal caso verrà esposto un apposito messaggio al termine delle operazioni d’installazione.</w:t>
      </w:r>
    </w:p>
    <w:p>
      <w:pPr>
        <w:pStyle w:val="CorpoAltF0"/>
        <w:spacing w:before="120"/>
      </w:pPr>
      <w:r>
        <w:t>L’esecuzione delle copie provvede alla creazione nella cartella \CED, della sottocartella \</w:t>
      </w:r>
      <w:proofErr w:type="spellStart"/>
      <w:r>
        <w:t>instbackup</w:t>
      </w:r>
      <w:proofErr w:type="spellEnd"/>
      <w:r>
        <w:t>, all’interno della quale, ad ogni copia automatica, viene inserita una ulteriore cartella contente i file copiati, denominata \</w:t>
      </w:r>
      <w:proofErr w:type="spellStart"/>
      <w:r>
        <w:t>EPAGHE_versione_data_ora</w:t>
      </w:r>
      <w:proofErr w:type="spellEnd"/>
      <w:r>
        <w:t>, dove la versione è quella in installazione, e la data e l’ora sono quelle di esecuzione della copia.</w:t>
      </w:r>
    </w:p>
    <w:p>
      <w:pPr>
        <w:pStyle w:val="CorpoAltF0"/>
        <w:spacing w:before="60"/>
      </w:pPr>
      <w:r>
        <w:t>Ad ogni installazione con conversione il programma provvederà automaticamente all’eliminazione delle cartelle \</w:t>
      </w:r>
      <w:proofErr w:type="spellStart"/>
      <w:r>
        <w:t>EPAGHE_versione_data_ora</w:t>
      </w:r>
      <w:proofErr w:type="spellEnd"/>
      <w:r>
        <w:t xml:space="preserve"> con data precedente 30 giorni rispetto a quella d’installazione.</w:t>
      </w:r>
    </w:p>
    <w:p>
      <w:pPr>
        <w:pStyle w:val="CorpoAltF0"/>
        <w:spacing w:before="60"/>
      </w:pPr>
      <w:r>
        <w:t>Una volta terminata con esito positivo la conversione non può essere ripetuta.</w:t>
      </w:r>
    </w:p>
    <w:p>
      <w:pPr>
        <w:pStyle w:val="CorpoAltF0"/>
        <w:spacing w:before="120"/>
      </w:pPr>
      <w:r>
        <w:t>Si precisa che:</w:t>
      </w:r>
    </w:p>
    <w:p>
      <w:pPr>
        <w:pStyle w:val="CorpoAltF0"/>
        <w:numPr>
          <w:ilvl w:val="0"/>
          <w:numId w:val="20"/>
        </w:numPr>
        <w:spacing w:before="60"/>
        <w:ind w:left="284" w:hanging="284"/>
      </w:pPr>
      <w:r>
        <w:t>se la conversione automatica viene interrotta in maniera imprevista, sarà necessaria l’esecuzione manuale (</w:t>
      </w:r>
      <w:r>
        <w:rPr>
          <w:b/>
        </w:rPr>
        <w:t>CONVERS</w:t>
      </w:r>
      <w:r>
        <w:t>), in tal caso il processo verrà ripreso dalla fase in cui è stato interrotto;</w:t>
      </w:r>
    </w:p>
    <w:p>
      <w:pPr>
        <w:pStyle w:val="CorpoAltF0"/>
        <w:numPr>
          <w:ilvl w:val="0"/>
          <w:numId w:val="20"/>
        </w:numPr>
        <w:spacing w:before="60"/>
        <w:ind w:left="284" w:hanging="284"/>
      </w:pPr>
      <w:r>
        <w:t>nel caso di esecuzione manuale della conversione l’eventuale copia degli archivi è cura dell’utente;</w:t>
      </w:r>
    </w:p>
    <w:p>
      <w:pPr>
        <w:pStyle w:val="CorpoAltF0"/>
        <w:numPr>
          <w:ilvl w:val="0"/>
          <w:numId w:val="20"/>
        </w:numPr>
        <w:spacing w:before="60"/>
        <w:ind w:left="284" w:hanging="284"/>
      </w:pPr>
      <w:r>
        <w:t>l’operazione di copia degli archivi interessati dalla conversione non sostituisce il backup periodico degli interi archivi che rimane a cura dell’utente;</w:t>
      </w:r>
    </w:p>
    <w:p>
      <w:pPr>
        <w:pStyle w:val="CorpoAltF0"/>
        <w:numPr>
          <w:ilvl w:val="0"/>
          <w:numId w:val="20"/>
        </w:numPr>
        <w:spacing w:before="60"/>
        <w:ind w:left="284" w:hanging="284"/>
      </w:pPr>
      <w:bookmarkStart w:id="12" w:name="_Hlk496200108"/>
      <w:r>
        <w:t>l’esecuzione automatica della conversione potrebbe comportare tempi di installazione più lunghi.</w:t>
      </w:r>
      <w:bookmarkEnd w:id="12"/>
    </w:p>
    <w:p>
      <w:pPr>
        <w:pStyle w:val="CorpoAltF0"/>
      </w:pPr>
      <w:r>
        <w:br w:type="page"/>
      </w:r>
    </w:p>
    <w:p>
      <w:pPr>
        <w:pStyle w:val="CorpoAltF0"/>
      </w:pPr>
    </w:p>
    <w:p>
      <w:pPr>
        <w:pStyle w:val="WWNewPage"/>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6790"/>
        <w:gridCol w:w="2849"/>
      </w:tblGrid>
      <w:tr>
        <w:trPr>
          <w:trHeight w:val="558"/>
        </w:trPr>
        <w:tc>
          <w:tcPr>
            <w:tcW w:w="6790" w:type="dxa"/>
            <w:tcBorders>
              <w:top w:val="nil"/>
              <w:left w:val="nil"/>
              <w:bottom w:val="single" w:sz="12" w:space="0" w:color="auto"/>
              <w:right w:val="nil"/>
            </w:tcBorders>
            <w:vAlign w:val="center"/>
          </w:tcPr>
          <w:p>
            <w:pPr>
              <w:pStyle w:val="TS-titolo-01"/>
              <w:outlineLvl w:val="0"/>
            </w:pPr>
            <w:bookmarkStart w:id="13" w:name="_Toc6325563"/>
            <w:bookmarkStart w:id="14" w:name="_Toc6328869"/>
            <w:bookmarkStart w:id="15" w:name="Autoliquidazione_INAIL"/>
            <w:bookmarkStart w:id="16" w:name="_Toc6334236"/>
            <w:bookmarkEnd w:id="15"/>
            <w:r>
              <w:t>Autoliquidazione INAIL 2018 / 2019</w:t>
            </w:r>
            <w:bookmarkEnd w:id="13"/>
            <w:bookmarkEnd w:id="14"/>
            <w:bookmarkEnd w:id="16"/>
          </w:p>
        </w:tc>
        <w:tc>
          <w:tcPr>
            <w:tcW w:w="2849" w:type="dxa"/>
            <w:tcBorders>
              <w:top w:val="single" w:sz="4" w:space="0" w:color="auto"/>
              <w:left w:val="nil"/>
              <w:bottom w:val="single" w:sz="4" w:space="0" w:color="auto"/>
              <w:right w:val="nil"/>
            </w:tcBorders>
            <w:shd w:val="clear" w:color="auto" w:fill="000000"/>
            <w:vAlign w:val="center"/>
          </w:tcPr>
          <w:p>
            <w:pPr>
              <w:pStyle w:val="TS-titolo-02"/>
              <w:outlineLvl w:val="0"/>
            </w:pPr>
          </w:p>
        </w:tc>
      </w:tr>
    </w:tbl>
    <w:p>
      <w:pPr>
        <w:pStyle w:val="CorpoAltF0"/>
        <w:rPr>
          <w:sz w:val="10"/>
          <w:szCs w:val="10"/>
        </w:rPr>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6768"/>
        <w:gridCol w:w="2871"/>
      </w:tblGrid>
      <w:tr>
        <w:trPr>
          <w:trHeight w:val="545"/>
        </w:trPr>
        <w:tc>
          <w:tcPr>
            <w:tcW w:w="6874" w:type="dxa"/>
            <w:tcBorders>
              <w:top w:val="single" w:sz="12" w:space="0" w:color="auto"/>
              <w:left w:val="nil"/>
              <w:bottom w:val="nil"/>
              <w:right w:val="nil"/>
            </w:tcBorders>
          </w:tcPr>
          <w:p>
            <w:pPr>
              <w:pStyle w:val="Intestazione"/>
              <w:outlineLvl w:val="1"/>
              <w:rPr>
                <w:rFonts w:ascii="Arial" w:hAnsi="Arial" w:cs="Arial"/>
                <w:b/>
                <w:i/>
                <w:sz w:val="24"/>
                <w:szCs w:val="24"/>
              </w:rPr>
            </w:pPr>
          </w:p>
        </w:tc>
        <w:tc>
          <w:tcPr>
            <w:tcW w:w="2901" w:type="dxa"/>
            <w:tcBorders>
              <w:top w:val="single" w:sz="4" w:space="0" w:color="auto"/>
              <w:left w:val="nil"/>
              <w:bottom w:val="nil"/>
              <w:right w:val="nil"/>
            </w:tcBorders>
            <w:shd w:val="clear" w:color="auto" w:fill="D9D9D9" w:themeFill="background1" w:themeFillShade="D9"/>
            <w:vAlign w:val="center"/>
          </w:tcPr>
          <w:p>
            <w:pPr>
              <w:pStyle w:val="TS-titolo-Comando"/>
              <w:outlineLvl w:val="1"/>
            </w:pPr>
            <w:bookmarkStart w:id="17" w:name="_Toc6328870"/>
            <w:bookmarkStart w:id="18" w:name="_Toc6334237"/>
            <w:r>
              <w:t>10SM</w:t>
            </w:r>
            <w:bookmarkEnd w:id="17"/>
            <w:bookmarkEnd w:id="18"/>
          </w:p>
        </w:tc>
      </w:tr>
    </w:tbl>
    <w:p>
      <w:pPr>
        <w:pStyle w:val="CorpoAltF0"/>
      </w:pPr>
    </w:p>
    <w:p>
      <w:pPr>
        <w:pStyle w:val="CorpoAltF0"/>
      </w:pPr>
      <w:r>
        <w:t>Il programma è stato aggiornato in funzione di quanto previsto nella guida Autoliquidazione 2018/2019 pubblicata dall’INAIL (vers. del 02.04.2019).</w:t>
      </w:r>
    </w:p>
    <w:p>
      <w:pPr>
        <w:pStyle w:val="CorpoAltF0"/>
        <w:spacing w:before="120"/>
      </w:pPr>
      <w:r>
        <w:t>A partire dal 1° gennaio 2019 trovano applicazione le tariffe dei premi approvate con i decreti interministeriali del 27 febbraio 2019.</w:t>
      </w:r>
    </w:p>
    <w:p>
      <w:pPr>
        <w:pStyle w:val="CorpoAltF0"/>
        <w:spacing w:before="120"/>
      </w:pPr>
      <w:r>
        <w:t>In attuazione delle nuove tariffe sono state eliminate alcune riduzioni, addizionali, premi supplementari e maggiorazioni, che quindi non si applicano al premio anticipato di rata 2019, e sono state eliminate le polizze dipendenti con tasso unico ponderato.</w:t>
      </w:r>
    </w:p>
    <w:p>
      <w:pPr>
        <w:pStyle w:val="CorpoAltF0"/>
      </w:pPr>
    </w:p>
    <w:p>
      <w:pPr>
        <w:pStyle w:val="CorpoAltF0"/>
      </w:pPr>
    </w:p>
    <w:p>
      <w:pPr>
        <w:pStyle w:val="TS-titolo-04"/>
      </w:pPr>
      <w:bookmarkStart w:id="19" w:name="_Toc6325565"/>
      <w:bookmarkStart w:id="20" w:name="_Toc6328871"/>
      <w:bookmarkStart w:id="21" w:name="_Toc6334238"/>
      <w:r>
        <w:t>Termini autoliquidazione 2018 / 2019</w:t>
      </w:r>
      <w:bookmarkEnd w:id="19"/>
      <w:bookmarkEnd w:id="20"/>
      <w:bookmarkEnd w:id="21"/>
    </w:p>
    <w:p>
      <w:pPr>
        <w:pStyle w:val="CorpoAltF0"/>
        <w:spacing w:before="120"/>
      </w:pPr>
      <w:r>
        <w:t xml:space="preserve">Per consentire l’applicazione delle nuove tariffe, con Circolare n. 1 dell’11 gennaio 2019 l’INAIL ha differito al </w:t>
      </w:r>
      <w:r>
        <w:rPr>
          <w:b/>
          <w:u w:val="single"/>
        </w:rPr>
        <w:t>16 maggio 2019</w:t>
      </w:r>
      <w:r>
        <w:t xml:space="preserve"> il termine per il pagamento del premio di autoliquidazione 2018/2019 e per la presentazione telematica della dichiarazione delle retribuzioni 2018.</w:t>
      </w:r>
    </w:p>
    <w:p>
      <w:pPr>
        <w:pStyle w:val="CorpoAltF0"/>
        <w:spacing w:before="120"/>
      </w:pPr>
      <w:r>
        <w:t xml:space="preserve">All’interno del comando </w:t>
      </w:r>
      <w:r>
        <w:rPr>
          <w:b/>
        </w:rPr>
        <w:t>10SM</w:t>
      </w:r>
      <w:r>
        <w:t>, in fase di creazione della dichiarazione il programma provvede ad inserire (con possibilità di modifica) la data del 16.05.2019 nel relativo campo “</w:t>
      </w:r>
      <w:r>
        <w:rPr>
          <w:i/>
        </w:rPr>
        <w:t>Data scadenza</w:t>
      </w:r>
      <w:r>
        <w:t>” della sezione “</w:t>
      </w:r>
      <w:r>
        <w:rPr>
          <w:i/>
        </w:rPr>
        <w:t>Liquidazione premi</w:t>
      </w:r>
      <w:r>
        <w:t>”.</w:t>
      </w:r>
    </w:p>
    <w:p>
      <w:pPr>
        <w:pStyle w:val="CorpoAltF0"/>
      </w:pPr>
      <w:r>
        <w:t>Con il programma di conversione eseguito in fase di installazione della versione PAGHE 2019.1.2, tale data viene aggiornata anche nelle dichiarazioni precedentemente create che risultino ancora aperte.</w:t>
      </w:r>
    </w:p>
    <w:p>
      <w:pPr>
        <w:pStyle w:val="CorpoAltF0"/>
        <w:rPr>
          <w:highlight w:val="yellow"/>
        </w:rPr>
      </w:pPr>
    </w:p>
    <w:p>
      <w:pPr>
        <w:pStyle w:val="TS-titolo-05"/>
      </w:pPr>
      <w:bookmarkStart w:id="22" w:name="_Toc6325566"/>
      <w:bookmarkStart w:id="23" w:name="_Toc6328872"/>
      <w:bookmarkStart w:id="24" w:name="_Toc6334239"/>
      <w:r>
        <w:t>Rateizzazione premi autoliquidazione 2018 / 2019</w:t>
      </w:r>
      <w:bookmarkEnd w:id="22"/>
      <w:bookmarkEnd w:id="23"/>
      <w:bookmarkEnd w:id="24"/>
    </w:p>
    <w:p>
      <w:pPr>
        <w:pStyle w:val="CorpoAltF0"/>
        <w:spacing w:before="120"/>
      </w:pPr>
      <w:r>
        <w:t>In caso di rateizzazione, in funzione del differimento dei termini al 16 maggio 2019, il pagamento dovrà essere effettuato in tre rate; a tal fine il premio annuale dovrà essere sempre diviso in quattro rate di pari importo, con unificazione della scadenza relativa alla prima e seconda rata.</w:t>
      </w:r>
    </w:p>
    <w:p>
      <w:pPr>
        <w:pStyle w:val="CorpoAltF0"/>
        <w:spacing w:before="120"/>
      </w:pPr>
      <w:r>
        <w:t>Pertanto:</w:t>
      </w:r>
    </w:p>
    <w:p>
      <w:pPr>
        <w:pStyle w:val="CorpoAltF0"/>
        <w:numPr>
          <w:ilvl w:val="0"/>
          <w:numId w:val="28"/>
        </w:numPr>
        <w:spacing w:before="120"/>
        <w:ind w:left="426"/>
      </w:pPr>
      <w:r>
        <w:t xml:space="preserve">il totale della </w:t>
      </w:r>
      <w:proofErr w:type="gramStart"/>
      <w:r>
        <w:t>1^</w:t>
      </w:r>
      <w:proofErr w:type="gramEnd"/>
      <w:r>
        <w:t xml:space="preserve"> e 2^ rata, pari al 50% del premio annuale, dovrà essere versato entro il </w:t>
      </w:r>
      <w:r>
        <w:rPr>
          <w:b/>
        </w:rPr>
        <w:t>16 maggio</w:t>
      </w:r>
      <w:r>
        <w:t xml:space="preserve"> senza maggiorazione degli interessi;</w:t>
      </w:r>
    </w:p>
    <w:p>
      <w:pPr>
        <w:pStyle w:val="CorpoAltF0"/>
        <w:numPr>
          <w:ilvl w:val="0"/>
          <w:numId w:val="28"/>
        </w:numPr>
        <w:spacing w:before="120"/>
        <w:ind w:left="426"/>
      </w:pPr>
      <w:r>
        <w:t xml:space="preserve">la </w:t>
      </w:r>
      <w:proofErr w:type="gramStart"/>
      <w:r>
        <w:t>3^</w:t>
      </w:r>
      <w:proofErr w:type="gramEnd"/>
      <w:r>
        <w:t xml:space="preserve"> e 4^ rata, ognuna pari al 25% del premio annuale, dovranno essere versate rispettivamente entro il </w:t>
      </w:r>
      <w:r>
        <w:rPr>
          <w:b/>
        </w:rPr>
        <w:t xml:space="preserve">20 agosto </w:t>
      </w:r>
      <w:r>
        <w:t xml:space="preserve">ed il </w:t>
      </w:r>
      <w:r>
        <w:rPr>
          <w:b/>
        </w:rPr>
        <w:t>18 novembre</w:t>
      </w:r>
      <w:r>
        <w:t xml:space="preserve">, maggiorate degli interessi calcolati applicando il tasso medio di interesse dei titoli di Stato per l’anno 2018, pari a </w:t>
      </w:r>
      <w:r>
        <w:rPr>
          <w:b/>
        </w:rPr>
        <w:t>1,07%</w:t>
      </w:r>
      <w:r>
        <w:t>.</w:t>
      </w:r>
    </w:p>
    <w:p>
      <w:pPr>
        <w:pStyle w:val="CorpoAltF0"/>
        <w:spacing w:before="120"/>
      </w:pPr>
      <w:r>
        <w:t xml:space="preserve">Sulla base dei coefficienti di calcolo comunicati nelle Istruzioni operative INAIL n. 5453 del 3.4.2019, i giorni di dilazione per il calcolo degli interessi sulla </w:t>
      </w:r>
      <w:proofErr w:type="gramStart"/>
      <w:r>
        <w:t>3^</w:t>
      </w:r>
      <w:proofErr w:type="gramEnd"/>
      <w:r>
        <w:t xml:space="preserve"> e 4^ rata risultano rispettivamente 92 e 184.</w:t>
      </w:r>
    </w:p>
    <w:p>
      <w:pPr>
        <w:pStyle w:val="CorpoAltF0"/>
        <w:spacing w:before="120"/>
      </w:pPr>
      <w:r>
        <w:t xml:space="preserve">Con l’installazione della versione </w:t>
      </w:r>
      <w:r>
        <w:rPr>
          <w:b/>
        </w:rPr>
        <w:t>PAGHE 2019.1.2</w:t>
      </w:r>
      <w:r>
        <w:t xml:space="preserve"> tali giorni di dilazione vengono automaticamente inseriti, nella relativa tabella “</w:t>
      </w:r>
      <w:r>
        <w:rPr>
          <w:i/>
        </w:rPr>
        <w:t>Rateizzazione</w:t>
      </w:r>
      <w:r>
        <w:t>” (</w:t>
      </w:r>
      <w:r>
        <w:rPr>
          <w:b/>
        </w:rPr>
        <w:t>TB0704</w:t>
      </w:r>
      <w:r>
        <w:t>):</w:t>
      </w:r>
    </w:p>
    <w:p>
      <w:pPr>
        <w:pStyle w:val="CorpoAltF0"/>
        <w:spacing w:before="120"/>
        <w:jc w:val="center"/>
      </w:pPr>
      <w:bookmarkStart w:id="25" w:name="_Hlk6326551"/>
      <w:r>
        <w:rPr>
          <w:noProof/>
        </w:rPr>
        <w:drawing>
          <wp:inline distT="0" distB="0" distL="0" distR="0">
            <wp:extent cx="5760000" cy="1694118"/>
            <wp:effectExtent l="0" t="0" r="0" b="1905"/>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000" cy="1694118"/>
                    </a:xfrm>
                    <a:prstGeom prst="rect">
                      <a:avLst/>
                    </a:prstGeom>
                  </pic:spPr>
                </pic:pic>
              </a:graphicData>
            </a:graphic>
          </wp:inline>
        </w:drawing>
      </w:r>
    </w:p>
    <w:bookmarkEnd w:id="25"/>
    <w:p>
      <w:pPr>
        <w:pStyle w:val="CorpoAltF0"/>
      </w:pPr>
    </w:p>
    <w:p>
      <w:pPr>
        <w:pStyle w:val="CorpoAltF0"/>
        <w:spacing w:before="120"/>
      </w:pPr>
      <w:r>
        <w:lastRenderedPageBreak/>
        <w:t>All’interno della sezione “</w:t>
      </w:r>
      <w:r>
        <w:rPr>
          <w:i/>
        </w:rPr>
        <w:t>Liquidazione premi</w:t>
      </w:r>
      <w:r>
        <w:t xml:space="preserve">” di </w:t>
      </w:r>
      <w:r>
        <w:rPr>
          <w:b/>
        </w:rPr>
        <w:t>10SM</w:t>
      </w:r>
      <w:r>
        <w:t>, in caso di selezione del campo “</w:t>
      </w:r>
      <w:r>
        <w:rPr>
          <w:i/>
        </w:rPr>
        <w:t>Pagamento rateale</w:t>
      </w:r>
      <w:r>
        <w:t>”, l’importo complessivamente dovuto verrà suddiviso nelle scadenze previste come sopra descritto, calcolando il rispettivo importo di interessi:</w:t>
      </w:r>
    </w:p>
    <w:p>
      <w:pPr>
        <w:pStyle w:val="CorpoAltF0"/>
        <w:spacing w:before="120"/>
        <w:jc w:val="center"/>
      </w:pPr>
      <w:r>
        <w:rPr>
          <w:noProof/>
        </w:rPr>
        <w:drawing>
          <wp:inline distT="0" distB="0" distL="0" distR="0">
            <wp:extent cx="5760000" cy="2825322"/>
            <wp:effectExtent l="0" t="0" r="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000" cy="2825322"/>
                    </a:xfrm>
                    <a:prstGeom prst="rect">
                      <a:avLst/>
                    </a:prstGeom>
                  </pic:spPr>
                </pic:pic>
              </a:graphicData>
            </a:graphic>
          </wp:inline>
        </w:drawing>
      </w:r>
    </w:p>
    <w:p>
      <w:pPr>
        <w:pStyle w:val="CorpoAltF0"/>
      </w:pPr>
    </w:p>
    <w:p>
      <w:pPr>
        <w:pStyle w:val="CorpoAltF0"/>
      </w:pPr>
    </w:p>
    <w:p>
      <w:pPr>
        <w:pStyle w:val="CorpoAltF0"/>
        <w:rPr>
          <w:highlight w:val="yellow"/>
        </w:rPr>
      </w:pPr>
    </w:p>
    <w:p>
      <w:pPr>
        <w:pStyle w:val="TS-titolo-04"/>
      </w:pPr>
      <w:bookmarkStart w:id="26" w:name="_Toc6325567"/>
      <w:bookmarkStart w:id="27" w:name="_Toc6328873"/>
      <w:bookmarkStart w:id="28" w:name="_Toc6334240"/>
      <w:r>
        <w:t>Premio supplementare silicosi e asbestosi</w:t>
      </w:r>
      <w:bookmarkEnd w:id="26"/>
      <w:bookmarkEnd w:id="27"/>
      <w:bookmarkEnd w:id="28"/>
    </w:p>
    <w:p>
      <w:pPr>
        <w:pStyle w:val="CorpoAltF0"/>
        <w:spacing w:before="120"/>
      </w:pPr>
      <w:r>
        <w:t>Il premio supplementare silicosi e asbestosi previsto dagli articoli 153 e 154 del DPR n. 1124/1965 è dovuto per il solo premio di regolazione 2018 e non è dovuto per la rata 2019.</w:t>
      </w:r>
    </w:p>
    <w:p>
      <w:pPr>
        <w:pStyle w:val="CorpoAltF0"/>
        <w:spacing w:before="120"/>
      </w:pPr>
      <w:r>
        <w:t xml:space="preserve">Con l’installazione della versione PAGHE 2019.01.01, il programma ha provveduto alla rimozione del </w:t>
      </w:r>
      <w:r>
        <w:rPr>
          <w:i/>
        </w:rPr>
        <w:t>flag</w:t>
      </w:r>
      <w:r>
        <w:t xml:space="preserve"> eventualmente presente nel campo “</w:t>
      </w:r>
      <w:r>
        <w:rPr>
          <w:i/>
        </w:rPr>
        <w:t>Silicosi/Asbestosi</w:t>
      </w:r>
      <w:r>
        <w:t>” per tutte le posizioni INAIL azienda relative al 2019.</w:t>
      </w:r>
    </w:p>
    <w:p>
      <w:pPr>
        <w:pStyle w:val="CorpoAltF0"/>
        <w:spacing w:before="120"/>
      </w:pPr>
    </w:p>
    <w:p>
      <w:pPr>
        <w:pStyle w:val="CorpoAltF0"/>
      </w:pPr>
    </w:p>
    <w:p>
      <w:pPr>
        <w:pStyle w:val="CorpoAltF0"/>
      </w:pPr>
    </w:p>
    <w:p>
      <w:pPr>
        <w:pStyle w:val="TS-titolo-04"/>
      </w:pPr>
      <w:bookmarkStart w:id="29" w:name="_Toc6325568"/>
      <w:bookmarkStart w:id="30" w:name="_Toc6328874"/>
      <w:bookmarkStart w:id="31" w:name="_Toc6334241"/>
      <w:r>
        <w:t>Addizionale fondo vittime dell’amianto</w:t>
      </w:r>
      <w:bookmarkEnd w:id="29"/>
      <w:bookmarkEnd w:id="30"/>
      <w:bookmarkEnd w:id="31"/>
    </w:p>
    <w:p>
      <w:pPr>
        <w:pStyle w:val="CorpoAltF0"/>
        <w:spacing w:before="120"/>
      </w:pPr>
      <w:r>
        <w:t>Per il triennio 2018-2020 non si applica l’addizionale a carico delle imprese sui premi assicurativi relativi ai settori delle attività lavorative comportanti esposizione all’amianto (L. n. 205/2017 e Circ. INAIL n. 2 del 10.01.2018).</w:t>
      </w:r>
    </w:p>
    <w:p>
      <w:pPr>
        <w:pStyle w:val="CorpoAltF0"/>
        <w:spacing w:before="120"/>
      </w:pPr>
      <w:r>
        <w:t>Pertanto, tale addizionale non è dovuta né sul premio di regolazione 2018 né sul premio di rata 2019.</w:t>
      </w:r>
    </w:p>
    <w:p>
      <w:pPr>
        <w:pStyle w:val="CorpoAltF0"/>
        <w:spacing w:before="120"/>
      </w:pPr>
      <w:r>
        <w:t>Nella tabella “</w:t>
      </w:r>
      <w:r>
        <w:rPr>
          <w:i/>
        </w:rPr>
        <w:t>Classe di rischio e parametri</w:t>
      </w:r>
      <w:r>
        <w:t>” (</w:t>
      </w:r>
      <w:r>
        <w:rPr>
          <w:b/>
        </w:rPr>
        <w:t>TB0703</w:t>
      </w:r>
      <w:r>
        <w:t xml:space="preserve"> relativa al 2018 e al 2019) risulta inserito il valore 0 (zero) nei campi “</w:t>
      </w:r>
      <w:r>
        <w:rPr>
          <w:i/>
        </w:rPr>
        <w:t>Addizionale amianto su regolazione</w:t>
      </w:r>
      <w:r>
        <w:t>” e “</w:t>
      </w:r>
      <w:r>
        <w:rPr>
          <w:i/>
        </w:rPr>
        <w:t>Addizionale amianto su rata</w:t>
      </w:r>
      <w:r>
        <w:t xml:space="preserve">”; inoltre, con l’installazione della versione PAGHE 2019.01.01, il programma ha provveduto alla rimozione del </w:t>
      </w:r>
      <w:r>
        <w:rPr>
          <w:i/>
        </w:rPr>
        <w:t>flag</w:t>
      </w:r>
      <w:r>
        <w:t xml:space="preserve"> eventualmente presente nel campo “</w:t>
      </w:r>
      <w:r>
        <w:rPr>
          <w:i/>
        </w:rPr>
        <w:t>Amianto</w:t>
      </w:r>
      <w:r>
        <w:t>” per tutte le posizioni INAIL azienda relative al 2018 e 2019.</w:t>
      </w:r>
    </w:p>
    <w:p>
      <w:pPr>
        <w:pStyle w:val="CorpoAltF0"/>
      </w:pPr>
      <w:r>
        <w:br w:type="page"/>
      </w:r>
    </w:p>
    <w:p>
      <w:pPr>
        <w:pStyle w:val="CorpoAltF0"/>
      </w:pPr>
    </w:p>
    <w:p>
      <w:pPr>
        <w:pStyle w:val="TS-titolo-04"/>
      </w:pPr>
      <w:bookmarkStart w:id="32" w:name="_Toc6325569"/>
      <w:bookmarkStart w:id="33" w:name="_Toc6328875"/>
      <w:bookmarkStart w:id="34" w:name="_Toc6334242"/>
      <w:r>
        <w:t>Riduzioni del premio assicurativo</w:t>
      </w:r>
      <w:bookmarkEnd w:id="32"/>
      <w:bookmarkEnd w:id="33"/>
      <w:bookmarkEnd w:id="34"/>
    </w:p>
    <w:p>
      <w:pPr>
        <w:pStyle w:val="TS-titolo-05"/>
      </w:pPr>
      <w:bookmarkStart w:id="35" w:name="_Toc440567008"/>
      <w:bookmarkStart w:id="36" w:name="_Toc440653083"/>
      <w:bookmarkStart w:id="37" w:name="_Toc471204898"/>
      <w:bookmarkStart w:id="38" w:name="_Toc471235830"/>
      <w:bookmarkStart w:id="39" w:name="_Toc6325570"/>
      <w:bookmarkStart w:id="40" w:name="_Toc6328876"/>
      <w:bookmarkStart w:id="41" w:name="_Toc408502647"/>
      <w:bookmarkStart w:id="42" w:name="_Toc408996468"/>
      <w:bookmarkStart w:id="43" w:name="_Toc409427850"/>
      <w:bookmarkStart w:id="44" w:name="_Toc409440322"/>
      <w:bookmarkStart w:id="45" w:name="_Toc409442888"/>
      <w:bookmarkStart w:id="46" w:name="_Toc6334243"/>
      <w:r>
        <w:t>Riduzione ex L. 147/2013 (art. 1, co. 128)</w:t>
      </w:r>
      <w:bookmarkEnd w:id="35"/>
      <w:bookmarkEnd w:id="36"/>
      <w:bookmarkEnd w:id="37"/>
      <w:bookmarkEnd w:id="38"/>
      <w:bookmarkEnd w:id="39"/>
      <w:bookmarkEnd w:id="40"/>
      <w:bookmarkEnd w:id="46"/>
    </w:p>
    <w:p>
      <w:pPr>
        <w:pStyle w:val="CorpoAltF0"/>
        <w:spacing w:before="120"/>
      </w:pPr>
      <w:r>
        <w:t>Con l’introduzione delle nuove tariffe dei premi, dal 1° gennaio 2019 viene meno l’applicazione della riduzione di cui alla legge 147/2013, articolo 1, comma 128.</w:t>
      </w:r>
    </w:p>
    <w:p>
      <w:pPr>
        <w:pStyle w:val="CorpoAltF0"/>
        <w:spacing w:before="120"/>
      </w:pPr>
      <w:r>
        <w:t xml:space="preserve">Pertanto, la riduzione si applica ai soli premi di regolazione 2018 ed è fissata nella misura del </w:t>
      </w:r>
      <w:r>
        <w:rPr>
          <w:b/>
        </w:rPr>
        <w:t>15,81%</w:t>
      </w:r>
      <w:r>
        <w:t xml:space="preserve"> (la riduzione spetta per le sole lavorazioni per le quali sussistevano i requisiti di applicazione alla rata 2018).</w:t>
      </w:r>
    </w:p>
    <w:p>
      <w:pPr>
        <w:pStyle w:val="CorpoAltF0"/>
        <w:spacing w:before="120"/>
      </w:pPr>
      <w:r>
        <w:t>In funzione di quanto sopra:</w:t>
      </w:r>
    </w:p>
    <w:p>
      <w:pPr>
        <w:pStyle w:val="CorpoAltF0"/>
        <w:numPr>
          <w:ilvl w:val="0"/>
          <w:numId w:val="29"/>
        </w:numPr>
        <w:spacing w:before="60"/>
        <w:ind w:left="142" w:hanging="142"/>
      </w:pPr>
      <w:r>
        <w:t>con l’installazione della versione PAGHE 2019.01.01, nelle posizioni INAIL azienda relative al 2019, è stato deselezionato e disabilitato il campo “</w:t>
      </w:r>
      <w:r>
        <w:rPr>
          <w:i/>
        </w:rPr>
        <w:t>L. 147/13</w:t>
      </w:r>
      <w:r>
        <w:t>”;</w:t>
      </w:r>
    </w:p>
    <w:p>
      <w:pPr>
        <w:pStyle w:val="CorpoAltF0"/>
        <w:numPr>
          <w:ilvl w:val="0"/>
          <w:numId w:val="29"/>
        </w:numPr>
        <w:spacing w:before="60"/>
        <w:ind w:left="142" w:hanging="142"/>
      </w:pPr>
      <w:r>
        <w:t>con l’installazione della versione PAGHE 2019.01.02 nella “</w:t>
      </w:r>
      <w:r>
        <w:rPr>
          <w:i/>
        </w:rPr>
        <w:t>Tabella retribuzioni convenzionali INAIL</w:t>
      </w:r>
      <w:r>
        <w:t>” (</w:t>
      </w:r>
      <w:r>
        <w:rPr>
          <w:b/>
        </w:rPr>
        <w:t>TB0703</w:t>
      </w:r>
      <w:r>
        <w:t>) è stata rimossa l’aliquota di riduzione dal campo “</w:t>
      </w:r>
      <w:r>
        <w:rPr>
          <w:i/>
        </w:rPr>
        <w:t>Sconto L. 147/13 su rata</w:t>
      </w:r>
      <w:r>
        <w:t>”; nel campo “</w:t>
      </w:r>
      <w:r>
        <w:rPr>
          <w:i/>
        </w:rPr>
        <w:t>Sconto L. 147/13 su regolazione</w:t>
      </w:r>
      <w:r>
        <w:t>” risulta già inserita la percentuale del 15,81%. Pertanto, con riferimento ai soggetti autonomi artigiani, indipendentemente dall’impostazione indicata al campo “</w:t>
      </w:r>
      <w:r>
        <w:rPr>
          <w:i/>
        </w:rPr>
        <w:t>L. 147/13</w:t>
      </w:r>
      <w:r>
        <w:t>” della relativa sezione “</w:t>
      </w:r>
      <w:r>
        <w:rPr>
          <w:i/>
        </w:rPr>
        <w:t>Soci</w:t>
      </w:r>
      <w:r>
        <w:t>” della posizione INAIL azienda, la riduzione in oggetto non verrà calcolata con riferimento al premio di rata.</w:t>
      </w:r>
    </w:p>
    <w:p>
      <w:pPr>
        <w:pStyle w:val="CorpoAltF0"/>
      </w:pPr>
    </w:p>
    <w:p>
      <w:pPr>
        <w:pStyle w:val="CorpoAltF0"/>
      </w:pPr>
    </w:p>
    <w:p>
      <w:pPr>
        <w:pStyle w:val="TS-titolo-05"/>
      </w:pPr>
      <w:bookmarkStart w:id="47" w:name="_Toc440653084"/>
      <w:bookmarkStart w:id="48" w:name="_Toc471204899"/>
      <w:bookmarkStart w:id="49" w:name="_Toc471235831"/>
      <w:bookmarkStart w:id="50" w:name="_Toc6325571"/>
      <w:bookmarkStart w:id="51" w:name="_Toc6328877"/>
      <w:bookmarkStart w:id="52" w:name="_Toc6334244"/>
      <w:r>
        <w:t>Imprese artigiane</w:t>
      </w:r>
      <w:bookmarkEnd w:id="41"/>
      <w:bookmarkEnd w:id="42"/>
      <w:bookmarkEnd w:id="43"/>
      <w:bookmarkEnd w:id="44"/>
      <w:bookmarkEnd w:id="45"/>
      <w:bookmarkEnd w:id="47"/>
      <w:bookmarkEnd w:id="48"/>
      <w:bookmarkEnd w:id="49"/>
      <w:bookmarkEnd w:id="50"/>
      <w:bookmarkEnd w:id="51"/>
      <w:bookmarkEnd w:id="52"/>
    </w:p>
    <w:p>
      <w:pPr>
        <w:pStyle w:val="CorpoAltF0"/>
        <w:spacing w:before="120"/>
      </w:pPr>
      <w:r>
        <w:t xml:space="preserve">Con riferimento alla riduzione prevista dall’art. 1, c. 780 e 781, L. 296/2006 a favore delle imprese iscritte alla gestione Artigianato che non hanno avuto infortuni nel biennio 2016/2017, la percentuale di riduzione applicabile alla regolazione 2018 è stata fissata nella misura del </w:t>
      </w:r>
      <w:r>
        <w:rPr>
          <w:b/>
        </w:rPr>
        <w:t>7,09%</w:t>
      </w:r>
      <w:r>
        <w:t xml:space="preserve"> (Decreto ministeriale del 11.10.2018).</w:t>
      </w:r>
    </w:p>
    <w:p>
      <w:pPr>
        <w:pStyle w:val="CorpoAltF0"/>
        <w:spacing w:before="60"/>
      </w:pPr>
      <w:r>
        <w:t xml:space="preserve">Con l’installazione della versione </w:t>
      </w:r>
      <w:r>
        <w:rPr>
          <w:b/>
        </w:rPr>
        <w:t>PAGHE 2019.0.1</w:t>
      </w:r>
      <w:r>
        <w:t xml:space="preserve"> tale aliquota è stata automaticamente aggiornata nel rispettivo campo della tabella “</w:t>
      </w:r>
      <w:r>
        <w:rPr>
          <w:i/>
        </w:rPr>
        <w:t>Classe di rischio e parametri</w:t>
      </w:r>
      <w:r>
        <w:t>” (</w:t>
      </w:r>
      <w:r>
        <w:rPr>
          <w:b/>
        </w:rPr>
        <w:t>TB0703</w:t>
      </w:r>
      <w:r>
        <w:t>).</w:t>
      </w:r>
    </w:p>
    <w:p>
      <w:pPr>
        <w:pStyle w:val="CorpoAltF0"/>
      </w:pPr>
    </w:p>
    <w:p>
      <w:pPr>
        <w:pStyle w:val="CorpoAltF0"/>
      </w:pPr>
    </w:p>
    <w:p>
      <w:pPr>
        <w:pStyle w:val="TS-titolo-05"/>
      </w:pPr>
      <w:bookmarkStart w:id="53" w:name="_Toc6325572"/>
      <w:bookmarkStart w:id="54" w:name="_Toc6328878"/>
      <w:bookmarkStart w:id="55" w:name="_Toc6334245"/>
      <w:r>
        <w:t>Settore edile</w:t>
      </w:r>
      <w:bookmarkEnd w:id="53"/>
      <w:bookmarkEnd w:id="54"/>
      <w:bookmarkEnd w:id="55"/>
    </w:p>
    <w:p>
      <w:pPr>
        <w:pStyle w:val="CorpoAltF0"/>
        <w:spacing w:before="120"/>
      </w:pPr>
      <w:r>
        <w:t>Per l’anno 2018 la riduzione prevista per il settore edile, che si applica al solo premio di regolazione, è stata confermata nella misura del 11,50% (Decreto del Ministero del Lavoro e delle Politiche Sociali di concerto con il Ministero dell’Economia e delle Finanze, del 4 ottobre 2018).</w:t>
      </w:r>
    </w:p>
    <w:p>
      <w:pPr>
        <w:pStyle w:val="CorpoAltF0"/>
      </w:pPr>
    </w:p>
    <w:p>
      <w:pPr>
        <w:pStyle w:val="CorpoAltF0"/>
      </w:pPr>
    </w:p>
    <w:p>
      <w:pPr>
        <w:pStyle w:val="TS-titolo-05"/>
      </w:pPr>
      <w:bookmarkStart w:id="56" w:name="_Toc6325573"/>
      <w:bookmarkStart w:id="57" w:name="_Toc6328879"/>
      <w:bookmarkStart w:id="58" w:name="_Toc6334246"/>
      <w:r>
        <w:t>Settore piccola pesca costiera e nelle acque interne e lagunari</w:t>
      </w:r>
      <w:bookmarkEnd w:id="56"/>
      <w:bookmarkEnd w:id="57"/>
      <w:bookmarkEnd w:id="58"/>
    </w:p>
    <w:p>
      <w:pPr>
        <w:pStyle w:val="CorpoAltF0"/>
        <w:spacing w:before="120"/>
      </w:pPr>
      <w:r>
        <w:t xml:space="preserve">La riduzione contributiva per il settore della pesca, di cui all’art. 1, c. 74, L. 228/2012, è fissata nella misura del </w:t>
      </w:r>
      <w:r>
        <w:rPr>
          <w:b/>
        </w:rPr>
        <w:t>45,07%</w:t>
      </w:r>
      <w:r>
        <w:t xml:space="preserve"> sia per la regolazione 2018 che per la rata 2019 (articolo 1, comma 693, legge n. 205/2017).</w:t>
      </w:r>
    </w:p>
    <w:p>
      <w:pPr>
        <w:pStyle w:val="CorpoAltF0"/>
        <w:spacing w:before="120"/>
      </w:pPr>
      <w:r>
        <w:t xml:space="preserve">Con l’installazione della versione </w:t>
      </w:r>
      <w:r>
        <w:rPr>
          <w:b/>
        </w:rPr>
        <w:t>PAGHE 2019.1.2</w:t>
      </w:r>
      <w:r>
        <w:t>, la suddetta percentuale viene automaticamente inserita nei rispettivi campi “</w:t>
      </w:r>
      <w:r>
        <w:rPr>
          <w:i/>
        </w:rPr>
        <w:t>Calcolo sconto premio pesca su regolazioni / rata</w:t>
      </w:r>
      <w:r>
        <w:t xml:space="preserve">” della tabella </w:t>
      </w:r>
      <w:r>
        <w:rPr>
          <w:b/>
        </w:rPr>
        <w:t>TB0703</w:t>
      </w:r>
      <w:r>
        <w:t xml:space="preserve"> relativa al 2018.</w:t>
      </w:r>
    </w:p>
    <w:p>
      <w:pPr>
        <w:pStyle w:val="CorpoAltF0"/>
      </w:pPr>
    </w:p>
    <w:p>
      <w:pPr>
        <w:pStyle w:val="CorpoAltF0"/>
      </w:pPr>
    </w:p>
    <w:p>
      <w:pPr>
        <w:pStyle w:val="TS-titolo-04"/>
      </w:pPr>
      <w:bookmarkStart w:id="59" w:name="_Toc6325574"/>
      <w:bookmarkStart w:id="60" w:name="_Toc6328880"/>
      <w:bookmarkStart w:id="61" w:name="_Toc6334247"/>
      <w:r>
        <w:t>Codici retribuzioni parzialmente o totalmente esenti</w:t>
      </w:r>
      <w:bookmarkEnd w:id="59"/>
      <w:bookmarkEnd w:id="60"/>
      <w:bookmarkEnd w:id="61"/>
    </w:p>
    <w:p>
      <w:pPr>
        <w:pStyle w:val="CorpoAltF0"/>
        <w:spacing w:before="120"/>
      </w:pPr>
      <w:r>
        <w:t xml:space="preserve">Eliminati i codici </w:t>
      </w:r>
      <w:r>
        <w:rPr>
          <w:b/>
        </w:rPr>
        <w:t>E</w:t>
      </w:r>
      <w:r>
        <w:t xml:space="preserve"> </w:t>
      </w:r>
      <w:proofErr w:type="spellStart"/>
      <w:r>
        <w:t>e</w:t>
      </w:r>
      <w:proofErr w:type="spellEnd"/>
      <w:r>
        <w:t xml:space="preserve"> </w:t>
      </w:r>
      <w:r>
        <w:rPr>
          <w:b/>
        </w:rPr>
        <w:t>G</w:t>
      </w:r>
      <w:r>
        <w:t xml:space="preserve"> relativi alle agevolazioni previste per l’assunzione di dipendenti disoccupati o destinatari di indennità di disoccupazione ex art. 8, c. 9, L. 407/1990 non più in vigore.</w:t>
      </w:r>
    </w:p>
    <w:p>
      <w:pPr>
        <w:pStyle w:val="CorpoAltF0"/>
      </w:pPr>
    </w:p>
    <w:p>
      <w:pPr>
        <w:pStyle w:val="CorpoAltF0"/>
      </w:pPr>
      <w:r>
        <w:br w:type="page"/>
      </w:r>
    </w:p>
    <w:p>
      <w:pPr>
        <w:pStyle w:val="CorpoAltF0"/>
      </w:pPr>
    </w:p>
    <w:p>
      <w:pPr>
        <w:pStyle w:val="TS-titolo-04"/>
      </w:pPr>
      <w:bookmarkStart w:id="62" w:name="_Toc6325575"/>
      <w:bookmarkStart w:id="63" w:name="_Toc6328881"/>
      <w:bookmarkStart w:id="64" w:name="_Toc6334248"/>
      <w:r>
        <w:t>Tasso applicato per rata 2019</w:t>
      </w:r>
      <w:bookmarkEnd w:id="62"/>
      <w:bookmarkEnd w:id="63"/>
      <w:bookmarkEnd w:id="64"/>
    </w:p>
    <w:p>
      <w:pPr>
        <w:pStyle w:val="CorpoAltF0"/>
        <w:spacing w:before="120"/>
      </w:pPr>
      <w:r>
        <w:t>Ai fini dell’individuazione del tasso da applicare per il calcolo del premio di rata, il programma verifica la correlazione, indicata nella rispettiva posizione INAIL azienda relativa al 2018, fra la specifica voce di tariffa applicata nel 2018 e la corrispondente voce che, a seguito della revisione delle tariffe, deve essere applicata per il 2019.</w:t>
      </w:r>
    </w:p>
    <w:p>
      <w:pPr>
        <w:pStyle w:val="CorpoAltF0"/>
        <w:spacing w:before="120"/>
      </w:pPr>
      <w:r>
        <w:t>Il tasso per rata rilevato come sopra descritto, nonché i corrispondenti codici di PAT e di voce validi per il 2019, vengono visualizzati all’interno della sezione “</w:t>
      </w:r>
      <w:r>
        <w:rPr>
          <w:i/>
        </w:rPr>
        <w:t>Tasso Inail e periodi</w:t>
      </w:r>
      <w:r>
        <w:t>” della “</w:t>
      </w:r>
      <w:r>
        <w:rPr>
          <w:i/>
        </w:rPr>
        <w:t>Gestione PAT</w:t>
      </w:r>
      <w:r>
        <w:t xml:space="preserve">” di </w:t>
      </w:r>
      <w:r>
        <w:rPr>
          <w:b/>
        </w:rPr>
        <w:t>10SM</w:t>
      </w:r>
      <w:r>
        <w:t>.</w:t>
      </w:r>
    </w:p>
    <w:p>
      <w:pPr>
        <w:pStyle w:val="CorpoAltF0"/>
        <w:pBdr>
          <w:top w:val="dashed" w:sz="8" w:space="1" w:color="auto"/>
        </w:pBdr>
        <w:spacing w:before="120"/>
        <w:ind w:left="284" w:right="283"/>
        <w:jc w:val="center"/>
      </w:pPr>
      <w:r>
        <w:rPr>
          <w:noProof/>
        </w:rPr>
        <w:drawing>
          <wp:inline distT="0" distB="0" distL="0" distR="0">
            <wp:extent cx="5760000" cy="788400"/>
            <wp:effectExtent l="0" t="0" r="0" b="0"/>
            <wp:docPr id="102" name="Immagin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000" cy="788400"/>
                    </a:xfrm>
                    <a:prstGeom prst="rect">
                      <a:avLst/>
                    </a:prstGeom>
                  </pic:spPr>
                </pic:pic>
              </a:graphicData>
            </a:graphic>
          </wp:inline>
        </w:drawing>
      </w:r>
    </w:p>
    <w:p>
      <w:pPr>
        <w:pStyle w:val="CorpoAltF0"/>
      </w:pPr>
    </w:p>
    <w:p>
      <w:pPr>
        <w:pStyle w:val="CorpoAltF0"/>
      </w:pPr>
      <w:r>
        <w:t>I suddetti codici PAT e voce di tariffa per il 2019 verranno riportati anche all’interno della “</w:t>
      </w:r>
      <w:r>
        <w:rPr>
          <w:i/>
        </w:rPr>
        <w:t>Stampa brogliaccio 10SM</w:t>
      </w:r>
      <w:r>
        <w:t xml:space="preserve">” di </w:t>
      </w:r>
      <w:r>
        <w:rPr>
          <w:b/>
        </w:rPr>
        <w:t>10SM</w:t>
      </w:r>
      <w:r>
        <w:t>.</w:t>
      </w:r>
    </w:p>
    <w:p>
      <w:pPr>
        <w:pStyle w:val="CorpoAltF0"/>
      </w:pPr>
    </w:p>
    <w:p>
      <w:pPr>
        <w:pStyle w:val="CorpoAltF0"/>
      </w:pPr>
    </w:p>
    <w:p>
      <w:pPr>
        <w:pStyle w:val="CorpoAltF0"/>
      </w:pPr>
    </w:p>
    <w:p>
      <w:pPr>
        <w:pStyle w:val="TS-titolo-04"/>
      </w:pPr>
      <w:bookmarkStart w:id="65" w:name="_Toc6325576"/>
      <w:bookmarkStart w:id="66" w:name="_Toc6328882"/>
      <w:bookmarkStart w:id="67" w:name="_Toc6334249"/>
      <w:r>
        <w:t>Soggetti autonomi artigiani</w:t>
      </w:r>
      <w:bookmarkEnd w:id="65"/>
      <w:bookmarkEnd w:id="66"/>
      <w:bookmarkEnd w:id="67"/>
    </w:p>
    <w:p>
      <w:pPr>
        <w:pStyle w:val="CorpoAltF0"/>
        <w:spacing w:before="120"/>
      </w:pPr>
      <w:r>
        <w:t>Ai fini del calcolo del premio speciale unitario dovuto per i soggetti autonomi artigiani a titolo di rata 2019, sono state apportate le modifiche di seguito descritte:</w:t>
      </w:r>
    </w:p>
    <w:p>
      <w:pPr>
        <w:pStyle w:val="CorpoAltF0"/>
        <w:numPr>
          <w:ilvl w:val="0"/>
          <w:numId w:val="30"/>
        </w:numPr>
        <w:spacing w:before="120"/>
        <w:ind w:left="284" w:hanging="207"/>
      </w:pPr>
      <w:r>
        <w:t xml:space="preserve">come evidenziato negli esempi di calcolo della guida all’autoliquidazione 2018-2019 e nelle basi di calcolo fornite dall’INAIL, per la determinazione del premio di rata vengono considerati gli importi aggiornati dei premi previsti a partire dal 2019 per le diverse classi di rischio (Allegato 1, </w:t>
      </w:r>
      <w:proofErr w:type="spellStart"/>
      <w:r>
        <w:t>Tab</w:t>
      </w:r>
      <w:proofErr w:type="spellEnd"/>
      <w:r>
        <w:t xml:space="preserve">. 2, del Decreto interministeriale del 27.02.2019 relativo ai soggetti autonomi artigiani); con l’installazione della versione PAGHE 2019.1.2, tali importi vengono automaticamente aggiornati nella tabella </w:t>
      </w:r>
      <w:r>
        <w:rPr>
          <w:b/>
        </w:rPr>
        <w:t>TB0703</w:t>
      </w:r>
      <w:r>
        <w:t xml:space="preserve"> relativa al 2019.</w:t>
      </w:r>
    </w:p>
    <w:p>
      <w:pPr>
        <w:pStyle w:val="CorpoAltF0"/>
        <w:numPr>
          <w:ilvl w:val="0"/>
          <w:numId w:val="30"/>
        </w:numPr>
        <w:spacing w:before="120"/>
        <w:ind w:left="284" w:hanging="207"/>
      </w:pPr>
      <w:r>
        <w:t>il programma è stato modificato al fine di applicare l’eventuale nuova classe di rischio associata al soggetto, a seguito della revisione delle tariffe INAIL, dal 1° gennaio 2019. A tal fine il programma verifica le classi di rischio presenti nella sezione “</w:t>
      </w:r>
      <w:r>
        <w:rPr>
          <w:i/>
        </w:rPr>
        <w:t>Soci</w:t>
      </w:r>
      <w:r>
        <w:t>” della posizione INAIL azienda con valorizzazione del campo “</w:t>
      </w:r>
      <w:r>
        <w:rPr>
          <w:i/>
        </w:rPr>
        <w:t>Rata 2019</w:t>
      </w:r>
      <w:r>
        <w:t>” (vedi vers. PAGHE 2019.1.1). In assenza, continueranno ad essere considerate, ai fini della rata, le classi di rischio applicate al termine del periodo di regolazione (2018);</w:t>
      </w:r>
    </w:p>
    <w:p>
      <w:pPr>
        <w:pStyle w:val="CorpoAltF0"/>
        <w:numPr>
          <w:ilvl w:val="0"/>
          <w:numId w:val="30"/>
        </w:numPr>
        <w:spacing w:before="120"/>
        <w:ind w:left="284" w:hanging="207"/>
      </w:pPr>
      <w:r>
        <w:t xml:space="preserve">in </w:t>
      </w:r>
      <w:r>
        <w:rPr>
          <w:b/>
        </w:rPr>
        <w:t>10SM</w:t>
      </w:r>
      <w:r>
        <w:t xml:space="preserve"> &gt; “</w:t>
      </w:r>
      <w:r>
        <w:rPr>
          <w:i/>
        </w:rPr>
        <w:t>Gestione PAT</w:t>
      </w:r>
      <w:r>
        <w:t>” &gt; “</w:t>
      </w:r>
      <w:r>
        <w:rPr>
          <w:i/>
        </w:rPr>
        <w:t>Composizione nucleo artigiani</w:t>
      </w:r>
      <w:r>
        <w:t>” &gt; riquadro “</w:t>
      </w:r>
      <w:r>
        <w:rPr>
          <w:i/>
        </w:rPr>
        <w:t>Rata anno successivo</w:t>
      </w:r>
      <w:r>
        <w:t>”, non verranno più considerati i soggetti usciti dal nucleo artigiani nel corso dell’anno di regolazione (2018), che pertanto non risulteranno computati nel totale dei soggetti per rata (colonna “N”). In precedenza, i soggetti usciti nell’anno di regolazione venivano riportati indicando 12 mesi di assenza, determinando ugualmente un premio di rata pari a zero.</w:t>
      </w:r>
    </w:p>
    <w:p>
      <w:pPr>
        <w:pStyle w:val="CorpoAltF0"/>
      </w:pPr>
    </w:p>
    <w:p>
      <w:pPr>
        <w:pStyle w:val="CorpoAltF0"/>
      </w:pPr>
      <w:r>
        <w:t>Come già previsto, i premi speciali unitari artigiani sono ridotti di tanti dodicesimi per ogni mese solare intero che segue la data di cessazione dell’attività (</w:t>
      </w:r>
      <w:r>
        <w:rPr>
          <w:b/>
        </w:rPr>
        <w:t>cessazione di tutti i soggetti artigiani</w:t>
      </w:r>
      <w:r>
        <w:t>) intervenuta tra il 1° gennaio e la data di scadenza dell’autoliquidazione.</w:t>
      </w:r>
    </w:p>
    <w:p>
      <w:pPr>
        <w:pStyle w:val="CorpoAltF0"/>
        <w:spacing w:before="120"/>
      </w:pPr>
      <w:r>
        <w:t xml:space="preserve">Dal 1° gennaio 2019, tale riduzione si applica anche al premio speciale unitario del </w:t>
      </w:r>
      <w:r>
        <w:rPr>
          <w:b/>
        </w:rPr>
        <w:t xml:space="preserve">singolo componente del nucleo artigiano che ha cessato l’attività </w:t>
      </w:r>
      <w:r>
        <w:t>tra il 1° gennaio e la scadenza dell’autoliquidazione (quest’anno 16.05.2019).</w:t>
      </w:r>
    </w:p>
    <w:p>
      <w:pPr>
        <w:pStyle w:val="CorpoAltF0"/>
        <w:spacing w:before="120"/>
      </w:pPr>
      <w:r>
        <w:t>In funzione di quanto sopra, il programma di elaborazione dell’autoliquidazione è stato modificato al fine di calcolare i mesi di assenza per la riduzione del premio speciale unitario di rata del singolo socio che ha cessato l’attività prima della scadenza dell’autoliquidazione. A tal fine il programma verifica il campo “</w:t>
      </w:r>
      <w:r>
        <w:rPr>
          <w:i/>
        </w:rPr>
        <w:t>Data uscita</w:t>
      </w:r>
      <w:r>
        <w:t>” della rispettiva sezione della posizione INAIL azienda (sez. “</w:t>
      </w:r>
      <w:r>
        <w:rPr>
          <w:i/>
        </w:rPr>
        <w:t>Soci</w:t>
      </w:r>
      <w:r>
        <w:t>”); si precisa che il programma non effettua verifiche sulla scadenza dell’autoliquidazione, pertanto sarà cura dell’utente inserire la data di uscita solo se precedente a tale scadenza.</w:t>
      </w:r>
    </w:p>
    <w:p>
      <w:pPr>
        <w:pStyle w:val="CorpoAltF0"/>
      </w:pPr>
    </w:p>
    <w:p>
      <w:pPr>
        <w:pStyle w:val="CorpoAltF0"/>
      </w:pPr>
      <w:r>
        <w:br w:type="page"/>
      </w:r>
    </w:p>
    <w:p>
      <w:pPr>
        <w:pStyle w:val="CorpoAltF0"/>
      </w:pPr>
    </w:p>
    <w:p>
      <w:pPr>
        <w:pStyle w:val="TS-titolo-04"/>
      </w:pPr>
      <w:bookmarkStart w:id="68" w:name="_Toc6325577"/>
      <w:bookmarkStart w:id="69" w:name="_Toc6328883"/>
      <w:bookmarkStart w:id="70" w:name="_Toc6334250"/>
      <w:r>
        <w:t>Contributi associativi</w:t>
      </w:r>
      <w:bookmarkEnd w:id="68"/>
      <w:bookmarkEnd w:id="69"/>
      <w:bookmarkEnd w:id="70"/>
    </w:p>
    <w:p>
      <w:pPr>
        <w:pStyle w:val="CorpoAltF0"/>
        <w:spacing w:before="120"/>
      </w:pPr>
      <w:r>
        <w:t>La Guida all’autoliquidazione 2018/2019, prevede espressamente che i contributi associativi devono essere versati in unica soluzione entro il 16 maggio 2019. Pertanto, nel caso in cui venga contrassegnato il campo “</w:t>
      </w:r>
      <w:r>
        <w:rPr>
          <w:i/>
        </w:rPr>
        <w:t>Rateizza versamento</w:t>
      </w:r>
      <w:r>
        <w:t>” della sezione “</w:t>
      </w:r>
      <w:r>
        <w:rPr>
          <w:i/>
        </w:rPr>
        <w:t>Gestione contributi associativi</w:t>
      </w:r>
      <w:r>
        <w:t xml:space="preserve">” di </w:t>
      </w:r>
      <w:r>
        <w:rPr>
          <w:b/>
        </w:rPr>
        <w:t>10SM</w:t>
      </w:r>
      <w:r>
        <w:t>, verrà evidenziata (alla conferma e alla chiusura della dichiarazione) la seguente segnalazione:</w:t>
      </w:r>
    </w:p>
    <w:p>
      <w:pPr>
        <w:pStyle w:val="CorpoAltF0"/>
        <w:spacing w:before="120"/>
        <w:jc w:val="center"/>
      </w:pPr>
      <w:r>
        <w:rPr>
          <w:noProof/>
        </w:rPr>
        <w:drawing>
          <wp:inline distT="0" distB="0" distL="0" distR="0">
            <wp:extent cx="2520000" cy="1105082"/>
            <wp:effectExtent l="0" t="0" r="0" b="0"/>
            <wp:docPr id="105" name="Immagin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520000" cy="1105082"/>
                    </a:xfrm>
                    <a:prstGeom prst="rect">
                      <a:avLst/>
                    </a:prstGeom>
                  </pic:spPr>
                </pic:pic>
              </a:graphicData>
            </a:graphic>
          </wp:inline>
        </w:drawing>
      </w:r>
    </w:p>
    <w:p>
      <w:pPr>
        <w:rPr>
          <w:rFonts w:ascii="Arial" w:hAnsi="Arial" w:cs="Arial"/>
          <w:sz w:val="20"/>
          <w:szCs w:val="20"/>
        </w:rPr>
      </w:pPr>
    </w:p>
    <w:p>
      <w:pPr>
        <w:rPr>
          <w:rFonts w:ascii="Arial" w:hAnsi="Arial" w:cs="Arial"/>
          <w:sz w:val="20"/>
          <w:szCs w:val="20"/>
        </w:rPr>
      </w:pPr>
    </w:p>
    <w:p>
      <w:pPr>
        <w:rPr>
          <w:rFonts w:ascii="Arial" w:hAnsi="Arial" w:cs="Arial"/>
          <w:sz w:val="20"/>
          <w:szCs w:val="20"/>
        </w:rPr>
      </w:pPr>
    </w:p>
    <w:p>
      <w:pPr>
        <w:pStyle w:val="TS-titolo-04"/>
      </w:pPr>
      <w:bookmarkStart w:id="71" w:name="_Toc6325578"/>
      <w:bookmarkStart w:id="72" w:name="_Toc6328884"/>
      <w:bookmarkStart w:id="73" w:name="_Toc6334251"/>
      <w:r>
        <w:t>Ulteriori modifiche software</w:t>
      </w:r>
      <w:bookmarkEnd w:id="71"/>
      <w:bookmarkEnd w:id="72"/>
      <w:bookmarkEnd w:id="73"/>
    </w:p>
    <w:p>
      <w:pPr>
        <w:pStyle w:val="TS-titolo-05"/>
      </w:pPr>
      <w:bookmarkStart w:id="74" w:name="_Toc6325579"/>
      <w:bookmarkStart w:id="75" w:name="_Toc6328885"/>
      <w:bookmarkStart w:id="76" w:name="_Toc6334252"/>
      <w:r>
        <w:t>10SM &gt; Liquidazione dei premi</w:t>
      </w:r>
      <w:bookmarkEnd w:id="74"/>
      <w:bookmarkEnd w:id="75"/>
      <w:bookmarkEnd w:id="76"/>
    </w:p>
    <w:p>
      <w:pPr>
        <w:pStyle w:val="CorpoAltF0"/>
        <w:spacing w:before="120"/>
      </w:pPr>
      <w:r>
        <w:t>Nella sezione in oggetto è stato inserito il campo “</w:t>
      </w:r>
      <w:r>
        <w:rPr>
          <w:i/>
        </w:rPr>
        <w:t>Totale anticipato (da basi di calcolo)</w:t>
      </w:r>
      <w:r>
        <w:t>” in cui viene evidenziato, (in sola visualizzazione) l’importo totale della rata anticipata nell’anno precedente, rilevato dalle relative basi di calcolo mediante la funzione “</w:t>
      </w:r>
      <w:r>
        <w:rPr>
          <w:i/>
        </w:rPr>
        <w:t>Aggiornamento tassi</w:t>
      </w:r>
      <w:r>
        <w:t xml:space="preserve">” di </w:t>
      </w:r>
      <w:r>
        <w:rPr>
          <w:b/>
        </w:rPr>
        <w:t>AGGTAS</w:t>
      </w:r>
      <w:r>
        <w:t xml:space="preserve"> (tale importo risulterà visualizzato anche se la funzione “</w:t>
      </w:r>
      <w:r>
        <w:rPr>
          <w:i/>
        </w:rPr>
        <w:t>Aggiornamento tassi</w:t>
      </w:r>
      <w:r>
        <w:t>” sia stata effettuata prima dell’installazione della vers. PAGHE 2019.1.2):</w:t>
      </w:r>
    </w:p>
    <w:p>
      <w:pPr>
        <w:pStyle w:val="CorpoAltF0"/>
        <w:spacing w:before="120"/>
        <w:jc w:val="center"/>
      </w:pPr>
      <w:r>
        <w:rPr>
          <w:noProof/>
        </w:rPr>
        <w:drawing>
          <wp:inline distT="0" distB="0" distL="0" distR="0">
            <wp:extent cx="5760000" cy="2827712"/>
            <wp:effectExtent l="0" t="0" r="0" b="0"/>
            <wp:docPr id="123" name="Immagin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000" cy="2827712"/>
                    </a:xfrm>
                    <a:prstGeom prst="rect">
                      <a:avLst/>
                    </a:prstGeom>
                  </pic:spPr>
                </pic:pic>
              </a:graphicData>
            </a:graphic>
          </wp:inline>
        </w:drawing>
      </w:r>
    </w:p>
    <w:p>
      <w:pPr>
        <w:pStyle w:val="CorpoAltF0"/>
        <w:spacing w:before="120"/>
        <w:rPr>
          <w:b/>
        </w:rPr>
      </w:pPr>
      <w:r>
        <w:rPr>
          <w:b/>
        </w:rPr>
        <w:t>Si precisa che tale valore viene riportato solo ai fini di verifica, mentre, ai fini della determinazione del totale da versare verrà considerato, come in precedenza, l’importo di rata indicato nel precedente campo “</w:t>
      </w:r>
      <w:r>
        <w:rPr>
          <w:b/>
          <w:i/>
        </w:rPr>
        <w:t>Totale anticipato</w:t>
      </w:r>
      <w:r>
        <w:rPr>
          <w:b/>
        </w:rPr>
        <w:t>”, nel quale il programma propone il valore prelevato dalla dichiarazione elaborata nell’anno precedente.</w:t>
      </w:r>
    </w:p>
    <w:p>
      <w:pPr>
        <w:pStyle w:val="CorpoAltF0"/>
        <w:spacing w:before="120"/>
      </w:pPr>
      <w:r>
        <w:t>Si ricorda che, anche nella sezione “</w:t>
      </w:r>
      <w:r>
        <w:rPr>
          <w:i/>
        </w:rPr>
        <w:t>F4 Dettaglio</w:t>
      </w:r>
      <w:r>
        <w:t>” già presente in corrispondenza del suddetto campo “</w:t>
      </w:r>
      <w:r>
        <w:rPr>
          <w:i/>
        </w:rPr>
        <w:t>Totale anticipato</w:t>
      </w:r>
      <w:r>
        <w:t>” è possibile confrontare gli importi di rata anticipata rilevati dalla precedente autoliquidazione e dalle basi di calcolo, con ulteriore dettaglio degli importi per singola PAT, distinti fra premio dipendenti (con “</w:t>
      </w:r>
      <w:r>
        <w:rPr>
          <w:i/>
        </w:rPr>
        <w:t>di cui</w:t>
      </w:r>
      <w:r>
        <w:t>” soci non artigiani) e premio soggetti autonomi artigiani:</w:t>
      </w:r>
    </w:p>
    <w:p>
      <w:pPr>
        <w:pStyle w:val="CorpoAltF0"/>
        <w:spacing w:before="120"/>
        <w:jc w:val="center"/>
      </w:pPr>
      <w:r>
        <w:rPr>
          <w:noProof/>
        </w:rPr>
        <w:lastRenderedPageBreak/>
        <w:drawing>
          <wp:inline distT="0" distB="0" distL="0" distR="0">
            <wp:extent cx="5760000" cy="841979"/>
            <wp:effectExtent l="0" t="0" r="0" b="0"/>
            <wp:docPr id="104" name="Immagin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000" cy="841979"/>
                    </a:xfrm>
                    <a:prstGeom prst="rect">
                      <a:avLst/>
                    </a:prstGeom>
                  </pic:spPr>
                </pic:pic>
              </a:graphicData>
            </a:graphic>
          </wp:inline>
        </w:drawing>
      </w:r>
    </w:p>
    <w:p>
      <w:pPr>
        <w:pStyle w:val="CorpoAltF0"/>
      </w:pPr>
    </w:p>
    <w:p>
      <w:pPr>
        <w:pStyle w:val="CorpoAltF0"/>
      </w:pPr>
      <w:r>
        <w:t>In fase di chiusura della dichiarazione il programma segnalerà l’eventuale differenza fra la rata anticipata indicata nella dichiarazione e quella rilevata dalle basi di calcolo:</w:t>
      </w:r>
    </w:p>
    <w:p>
      <w:pPr>
        <w:pStyle w:val="CorpoAltF0"/>
        <w:spacing w:before="120"/>
        <w:jc w:val="center"/>
      </w:pPr>
      <w:r>
        <w:rPr>
          <w:noProof/>
        </w:rPr>
        <w:drawing>
          <wp:inline distT="0" distB="0" distL="0" distR="0">
            <wp:extent cx="3600000" cy="1792623"/>
            <wp:effectExtent l="0" t="0" r="635" b="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600000" cy="1792623"/>
                    </a:xfrm>
                    <a:prstGeom prst="rect">
                      <a:avLst/>
                    </a:prstGeom>
                  </pic:spPr>
                </pic:pic>
              </a:graphicData>
            </a:graphic>
          </wp:inline>
        </w:drawing>
      </w:r>
    </w:p>
    <w:p>
      <w:pPr>
        <w:pStyle w:val="CorpoAltF0"/>
      </w:pPr>
    </w:p>
    <w:p>
      <w:pPr>
        <w:pStyle w:val="CorpoAltF0"/>
      </w:pPr>
    </w:p>
    <w:p>
      <w:pPr>
        <w:pStyle w:val="TS-titolo-05"/>
      </w:pPr>
      <w:bookmarkStart w:id="77" w:name="_Toc6325580"/>
      <w:bookmarkStart w:id="78" w:name="_Toc6328886"/>
      <w:bookmarkStart w:id="79" w:name="_Toc6334253"/>
      <w:r>
        <w:t>Stampa elenco versamenti</w:t>
      </w:r>
      <w:bookmarkEnd w:id="77"/>
      <w:bookmarkEnd w:id="78"/>
      <w:bookmarkEnd w:id="79"/>
    </w:p>
    <w:p>
      <w:pPr>
        <w:pStyle w:val="CorpoAltF0"/>
        <w:spacing w:before="120"/>
      </w:pPr>
      <w:r>
        <w:t>La stampa in oggetto è stata riorganizzata graficamente, con l’inserimento dell’ulteriore dato relativo all’importo di rata anticipata rilevato dalle basi di calcolo:</w:t>
      </w:r>
    </w:p>
    <w:p>
      <w:pPr>
        <w:pStyle w:val="CorpoAltF0"/>
        <w:spacing w:before="120"/>
        <w:jc w:val="center"/>
      </w:pPr>
      <w:r>
        <w:rPr>
          <w:noProof/>
        </w:rPr>
        <w:drawing>
          <wp:inline distT="0" distB="0" distL="0" distR="0">
            <wp:extent cx="5760000" cy="1288964"/>
            <wp:effectExtent l="0" t="0" r="0" b="6985"/>
            <wp:docPr id="130" name="Immagin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000" cy="1288964"/>
                    </a:xfrm>
                    <a:prstGeom prst="rect">
                      <a:avLst/>
                    </a:prstGeom>
                  </pic:spPr>
                </pic:pic>
              </a:graphicData>
            </a:graphic>
          </wp:inline>
        </w:drawing>
      </w:r>
    </w:p>
    <w:p>
      <w:pPr>
        <w:pStyle w:val="CorpoAltF0"/>
      </w:pPr>
    </w:p>
    <w:p>
      <w:pPr>
        <w:rPr>
          <w:rFonts w:ascii="Arial" w:hAnsi="Arial"/>
          <w:sz w:val="20"/>
          <w:szCs w:val="20"/>
        </w:rPr>
      </w:pPr>
      <w:r>
        <w:br w:type="page"/>
      </w:r>
    </w:p>
    <w:p>
      <w:pPr>
        <w:pStyle w:val="CorpoAltF0"/>
      </w:pPr>
    </w:p>
    <w:p>
      <w:pPr>
        <w:pStyle w:val="WWNewPage"/>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4A0" w:firstRow="1" w:lastRow="0" w:firstColumn="1" w:lastColumn="0" w:noHBand="0" w:noVBand="1"/>
      </w:tblPr>
      <w:tblGrid>
        <w:gridCol w:w="6782"/>
        <w:gridCol w:w="2857"/>
      </w:tblGrid>
      <w:tr>
        <w:trPr>
          <w:trHeight w:val="558"/>
        </w:trPr>
        <w:tc>
          <w:tcPr>
            <w:tcW w:w="6874" w:type="dxa"/>
            <w:tcBorders>
              <w:top w:val="nil"/>
              <w:left w:val="nil"/>
              <w:bottom w:val="single" w:sz="12" w:space="0" w:color="auto"/>
              <w:right w:val="nil"/>
            </w:tcBorders>
            <w:vAlign w:val="center"/>
            <w:hideMark/>
          </w:tcPr>
          <w:p>
            <w:pPr>
              <w:pStyle w:val="TS-titolo-01"/>
              <w:outlineLvl w:val="0"/>
            </w:pPr>
            <w:bookmarkStart w:id="80" w:name="CCNL_Edilizia_Fondo_san"/>
            <w:bookmarkStart w:id="81" w:name="_Toc528676691"/>
            <w:bookmarkStart w:id="82" w:name="_Toc533098187"/>
            <w:bookmarkStart w:id="83" w:name="_Toc536689677"/>
            <w:bookmarkStart w:id="84" w:name="_Toc803887"/>
            <w:bookmarkStart w:id="85" w:name="_Toc6334254"/>
            <w:bookmarkEnd w:id="80"/>
            <w:r>
              <w:t>CCNL Edilizia</w:t>
            </w:r>
            <w:bookmarkEnd w:id="81"/>
            <w:bookmarkEnd w:id="82"/>
            <w:bookmarkEnd w:id="83"/>
            <w:bookmarkEnd w:id="84"/>
            <w:bookmarkEnd w:id="85"/>
          </w:p>
        </w:tc>
        <w:tc>
          <w:tcPr>
            <w:tcW w:w="2901" w:type="dxa"/>
            <w:tcBorders>
              <w:top w:val="single" w:sz="4" w:space="0" w:color="auto"/>
              <w:left w:val="nil"/>
              <w:bottom w:val="single" w:sz="4" w:space="0" w:color="auto"/>
              <w:right w:val="nil"/>
            </w:tcBorders>
            <w:shd w:val="clear" w:color="auto" w:fill="000000"/>
            <w:vAlign w:val="center"/>
          </w:tcPr>
          <w:p>
            <w:pPr>
              <w:pStyle w:val="TS-titolo-02"/>
              <w:outlineLvl w:val="0"/>
            </w:pPr>
          </w:p>
        </w:tc>
      </w:tr>
    </w:tbl>
    <w:p>
      <w:pPr>
        <w:pStyle w:val="CorpoAltF0"/>
      </w:pPr>
    </w:p>
    <w:p>
      <w:pPr>
        <w:pStyle w:val="TS-titolo-04"/>
      </w:pPr>
      <w:bookmarkStart w:id="86" w:name="_Toc528676692"/>
      <w:bookmarkStart w:id="87" w:name="_Toc533098188"/>
      <w:bookmarkStart w:id="88" w:name="_Toc536689678"/>
      <w:bookmarkStart w:id="89" w:name="_Toc803888"/>
      <w:bookmarkStart w:id="90" w:name="_Toc6334255"/>
      <w:r>
        <w:t>Fondo Nazionale assistenza sanitaria integrativa settore edile</w:t>
      </w:r>
      <w:bookmarkEnd w:id="86"/>
      <w:bookmarkEnd w:id="87"/>
      <w:bookmarkEnd w:id="88"/>
      <w:bookmarkEnd w:id="89"/>
      <w:r>
        <w:t xml:space="preserve"> (SANEDIL)</w:t>
      </w:r>
      <w:bookmarkEnd w:id="90"/>
    </w:p>
    <w:p>
      <w:pPr>
        <w:pStyle w:val="TS-titolo-05"/>
      </w:pPr>
      <w:bookmarkStart w:id="91" w:name="_Toc533098192"/>
      <w:bookmarkStart w:id="92" w:name="_Toc803889"/>
      <w:bookmarkStart w:id="93" w:name="_Toc6334256"/>
      <w:r>
        <w:t>STEDIL</w:t>
      </w:r>
      <w:bookmarkEnd w:id="91"/>
      <w:bookmarkEnd w:id="92"/>
      <w:bookmarkEnd w:id="93"/>
    </w:p>
    <w:p>
      <w:pPr>
        <w:pStyle w:val="CorpoAltF0"/>
        <w:spacing w:before="120"/>
      </w:pPr>
      <w:r>
        <w:t xml:space="preserve">Il programma </w:t>
      </w:r>
      <w:r>
        <w:rPr>
          <w:b/>
        </w:rPr>
        <w:t>STEDIL</w:t>
      </w:r>
      <w:r>
        <w:t xml:space="preserve"> è stato implementato per compilare i nuovi campi previsti dalle specifiche tecniche 2.3.8 del 22/03/2019 della denuncia mensile MUT, con le quali, con riferimento al SANEDIL, al Fondo prepensionamenti e al Fondo incentivo all’occupazione, è stato ampliato il periodo previsto per l’esposizione del contributo arretrato.</w:t>
      </w:r>
    </w:p>
    <w:p>
      <w:pPr>
        <w:pStyle w:val="CorpoAltF0"/>
        <w:spacing w:before="60"/>
      </w:pPr>
      <w:r>
        <w:t>In particolare nel nodo &lt;</w:t>
      </w:r>
      <w:proofErr w:type="spellStart"/>
      <w:r>
        <w:t>CNCE_Lavoratore</w:t>
      </w:r>
      <w:proofErr w:type="spellEnd"/>
      <w:r>
        <w:t>&gt; è stato inserito un nuovo elemento denominato &lt;</w:t>
      </w:r>
      <w:proofErr w:type="spellStart"/>
      <w:r>
        <w:t>Arretrati_FSN</w:t>
      </w:r>
      <w:proofErr w:type="spellEnd"/>
      <w:r>
        <w:t>&gt;, caratterizzato da 12 gruppi facoltativi di campi anno, mese e importo recupero, per indicare fino a 12 periodi (mesi) di recupero del contributo al SANEDIL:</w:t>
      </w:r>
    </w:p>
    <w:p>
      <w:pPr>
        <w:pStyle w:val="CorpoAltF0"/>
      </w:pPr>
      <w:bookmarkStart w:id="94" w:name="_Toc347769346"/>
      <w:bookmarkStart w:id="95" w:name="_Toc410806457"/>
      <w:bookmarkStart w:id="96" w:name="_Toc410920047"/>
      <w:bookmarkStart w:id="97" w:name="_Toc411357574"/>
      <w:bookmarkStart w:id="98" w:name="_Toc411357953"/>
    </w:p>
    <w:p>
      <w:pPr>
        <w:pStyle w:val="CorpoAltF0"/>
        <w:jc w:val="center"/>
      </w:pPr>
      <w:r>
        <w:rPr>
          <w:noProof/>
        </w:rPr>
        <w:drawing>
          <wp:inline distT="0" distB="0" distL="0" distR="0">
            <wp:extent cx="2520000" cy="4842651"/>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20000" cy="4842651"/>
                    </a:xfrm>
                    <a:prstGeom prst="rect">
                      <a:avLst/>
                    </a:prstGeom>
                  </pic:spPr>
                </pic:pic>
              </a:graphicData>
            </a:graphic>
          </wp:inline>
        </w:drawing>
      </w:r>
    </w:p>
    <w:p>
      <w:pPr>
        <w:pStyle w:val="CorpoAltF0"/>
      </w:pPr>
    </w:p>
    <w:p>
      <w:pPr>
        <w:pStyle w:val="CorpoAltF0"/>
      </w:pPr>
      <w:r>
        <w:t>A titolo esemplificativo si riporta il dettaglio del primo gruppo di campi.</w:t>
      </w:r>
    </w:p>
    <w:p>
      <w:pPr>
        <w:pStyle w:val="CorpoAltF0"/>
      </w:pPr>
    </w:p>
    <w:tbl>
      <w:tblPr>
        <w:tblW w:w="9747" w:type="dxa"/>
        <w:tblLook w:val="04A0" w:firstRow="1" w:lastRow="0" w:firstColumn="1" w:lastColumn="0" w:noHBand="0" w:noVBand="1"/>
      </w:tblPr>
      <w:tblGrid>
        <w:gridCol w:w="2835"/>
        <w:gridCol w:w="6912"/>
      </w:tblGrid>
      <w:tr>
        <w:tc>
          <w:tcPr>
            <w:tcW w:w="2835" w:type="dxa"/>
            <w:shd w:val="clear" w:color="auto" w:fill="auto"/>
          </w:tcPr>
          <w:p>
            <w:pPr>
              <w:pStyle w:val="CorpoAltF0"/>
              <w:rPr>
                <w:i/>
              </w:rPr>
            </w:pPr>
            <w:r>
              <w:rPr>
                <w:i/>
              </w:rPr>
              <w:t>LV_RecuperoFSNAnno1</w:t>
            </w:r>
          </w:p>
        </w:tc>
        <w:tc>
          <w:tcPr>
            <w:tcW w:w="6912" w:type="dxa"/>
            <w:shd w:val="clear" w:color="auto" w:fill="auto"/>
          </w:tcPr>
          <w:p>
            <w:pPr>
              <w:pStyle w:val="CorpoAltF0"/>
            </w:pPr>
            <w:r>
              <w:t>Anno relativo al primo periodo di recupero.</w:t>
            </w:r>
          </w:p>
          <w:p>
            <w:pPr>
              <w:pStyle w:val="CorpoAltF0"/>
            </w:pPr>
          </w:p>
        </w:tc>
      </w:tr>
      <w:tr>
        <w:tc>
          <w:tcPr>
            <w:tcW w:w="2835" w:type="dxa"/>
            <w:shd w:val="clear" w:color="auto" w:fill="auto"/>
          </w:tcPr>
          <w:p>
            <w:pPr>
              <w:pStyle w:val="CorpoAltF0"/>
              <w:rPr>
                <w:i/>
              </w:rPr>
            </w:pPr>
            <w:r>
              <w:rPr>
                <w:i/>
              </w:rPr>
              <w:t>LV_RecuperoFSNMese1</w:t>
            </w:r>
          </w:p>
        </w:tc>
        <w:tc>
          <w:tcPr>
            <w:tcW w:w="6912" w:type="dxa"/>
            <w:shd w:val="clear" w:color="auto" w:fill="auto"/>
          </w:tcPr>
          <w:p>
            <w:pPr>
              <w:pStyle w:val="CorpoAltF0"/>
            </w:pPr>
            <w:r>
              <w:t>Mese relativo al primo periodo di recupero.</w:t>
            </w:r>
          </w:p>
          <w:p>
            <w:pPr>
              <w:pStyle w:val="CorpoAltF0"/>
            </w:pPr>
          </w:p>
        </w:tc>
      </w:tr>
      <w:tr>
        <w:tc>
          <w:tcPr>
            <w:tcW w:w="2835" w:type="dxa"/>
            <w:shd w:val="clear" w:color="auto" w:fill="auto"/>
          </w:tcPr>
          <w:p>
            <w:pPr>
              <w:pStyle w:val="CorpoAltF0"/>
              <w:rPr>
                <w:i/>
              </w:rPr>
            </w:pPr>
            <w:r>
              <w:rPr>
                <w:i/>
              </w:rPr>
              <w:t>LV_RecuperoFSNImporto1</w:t>
            </w:r>
          </w:p>
        </w:tc>
        <w:tc>
          <w:tcPr>
            <w:tcW w:w="6912" w:type="dxa"/>
            <w:shd w:val="clear" w:color="auto" w:fill="auto"/>
          </w:tcPr>
          <w:p>
            <w:pPr>
              <w:pStyle w:val="CorpoAltF0"/>
            </w:pPr>
            <w:r>
              <w:t>Importo recupero SANEDIL relativo al periodo 1.</w:t>
            </w:r>
          </w:p>
        </w:tc>
      </w:tr>
    </w:tbl>
    <w:p>
      <w:pPr>
        <w:pStyle w:val="Ignora"/>
      </w:pPr>
      <w:r>
        <w:br w:type="page"/>
      </w:r>
    </w:p>
    <w:p>
      <w:pPr>
        <w:pStyle w:val="CorpoAltF0"/>
      </w:pPr>
    </w:p>
    <w:p>
      <w:pPr>
        <w:pStyle w:val="CorpoAltF0"/>
      </w:pPr>
      <w:r>
        <w:rPr>
          <w:i/>
        </w:rPr>
        <w:t>Esempio di compilazione.</w:t>
      </w:r>
    </w:p>
    <w:p>
      <w:pPr>
        <w:pStyle w:val="CorpoAltF0"/>
        <w:spacing w:before="60"/>
        <w:rPr>
          <w:i/>
        </w:rPr>
      </w:pPr>
      <w:r>
        <w:rPr>
          <w:i/>
        </w:rPr>
        <w:t>Recupero contribuzione FSN Febbraio 2019 pari a € 4,50:</w:t>
      </w:r>
    </w:p>
    <w:p>
      <w:pPr>
        <w:pStyle w:val="CorpoAltF0"/>
        <w:spacing w:before="60"/>
        <w:rPr>
          <w:i/>
        </w:rPr>
      </w:pPr>
      <w:r>
        <w:rPr>
          <w:i/>
        </w:rPr>
        <w:t>&lt;LV_RecuperoFSNAnno1&gt; = 2019</w:t>
      </w:r>
    </w:p>
    <w:p>
      <w:pPr>
        <w:pStyle w:val="CorpoAltF0"/>
        <w:spacing w:before="60"/>
        <w:rPr>
          <w:i/>
        </w:rPr>
      </w:pPr>
      <w:r>
        <w:rPr>
          <w:i/>
        </w:rPr>
        <w:t>&lt;LV_RecuperoFSNMese1&gt; = 2</w:t>
      </w:r>
    </w:p>
    <w:p>
      <w:pPr>
        <w:pStyle w:val="CorpoAltF0"/>
        <w:spacing w:before="60"/>
        <w:rPr>
          <w:i/>
        </w:rPr>
      </w:pPr>
      <w:r>
        <w:rPr>
          <w:i/>
        </w:rPr>
        <w:t>&lt;LV_RecuperoFSNImporto1&gt; = 4,5</w:t>
      </w:r>
    </w:p>
    <w:p>
      <w:pPr>
        <w:pStyle w:val="CorpoAltF0"/>
      </w:pPr>
    </w:p>
    <w:p>
      <w:pPr>
        <w:pStyle w:val="CorpoAltF0"/>
      </w:pPr>
      <w:r>
        <w:t xml:space="preserve">Il programma compila tali campi in presenza, nel cedolino del mese di denuncia, della voce </w:t>
      </w:r>
      <w:r>
        <w:rPr>
          <w:b/>
        </w:rPr>
        <w:t>9621</w:t>
      </w:r>
      <w:r>
        <w:t xml:space="preserve"> calcolata e generata dal comando </w:t>
      </w:r>
      <w:r>
        <w:rPr>
          <w:b/>
        </w:rPr>
        <w:t>UTY1818A</w:t>
      </w:r>
      <w:r>
        <w:t>, inserendo come recupero l’importo della voce e prelevando il mese dal valore esposto come quantità.</w:t>
      </w:r>
    </w:p>
    <w:p>
      <w:pPr>
        <w:pStyle w:val="CorpoAltF0"/>
        <w:spacing w:before="120"/>
      </w:pPr>
      <w:r>
        <w:t>Nel nodo &lt;</w:t>
      </w:r>
      <w:proofErr w:type="spellStart"/>
      <w:r>
        <w:t>CNCE_Riepilogo</w:t>
      </w:r>
      <w:proofErr w:type="spellEnd"/>
      <w:r>
        <w:t>&gt; è stato inserito un nuovo elemento denominato &lt;</w:t>
      </w:r>
      <w:proofErr w:type="spellStart"/>
      <w:r>
        <w:t>Arretrati_Recuperi</w:t>
      </w:r>
      <w:proofErr w:type="spellEnd"/>
      <w:r>
        <w:t>&gt;, caratterizzato da 12 gruppi facoltativi di campi anno, mese, tipo importo e importo recupero, per indicare fino a 12 periodi (mesi) di recupero dei contributi al Fondo prepensionamenti e al Fondo incentivo all’occupazione.</w:t>
      </w:r>
    </w:p>
    <w:p>
      <w:pPr>
        <w:pStyle w:val="CorpoAltF0"/>
      </w:pPr>
    </w:p>
    <w:p>
      <w:pPr>
        <w:pStyle w:val="CorpoAltF0"/>
        <w:jc w:val="center"/>
      </w:pPr>
      <w:r>
        <w:rPr>
          <w:noProof/>
        </w:rPr>
        <w:drawing>
          <wp:inline distT="0" distB="0" distL="0" distR="0">
            <wp:extent cx="2520000" cy="5774644"/>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520000" cy="5774644"/>
                    </a:xfrm>
                    <a:prstGeom prst="rect">
                      <a:avLst/>
                    </a:prstGeom>
                  </pic:spPr>
                </pic:pic>
              </a:graphicData>
            </a:graphic>
          </wp:inline>
        </w:drawing>
      </w:r>
    </w:p>
    <w:p>
      <w:pPr>
        <w:pStyle w:val="CorpoAltF0"/>
      </w:pPr>
    </w:p>
    <w:p>
      <w:pPr>
        <w:pStyle w:val="CorpoAltF0"/>
      </w:pPr>
      <w:r>
        <w:t>A titolo esemplificativo si riporta il dettaglio del primo gruppo di campi.</w:t>
      </w:r>
    </w:p>
    <w:p>
      <w:pPr>
        <w:pStyle w:val="CorpoAltF0"/>
      </w:pPr>
    </w:p>
    <w:tbl>
      <w:tblPr>
        <w:tblW w:w="9747" w:type="dxa"/>
        <w:tblLook w:val="04A0" w:firstRow="1" w:lastRow="0" w:firstColumn="1" w:lastColumn="0" w:noHBand="0" w:noVBand="1"/>
      </w:tblPr>
      <w:tblGrid>
        <w:gridCol w:w="2835"/>
        <w:gridCol w:w="6912"/>
      </w:tblGrid>
      <w:tr>
        <w:tc>
          <w:tcPr>
            <w:tcW w:w="2835" w:type="dxa"/>
            <w:shd w:val="clear" w:color="auto" w:fill="auto"/>
          </w:tcPr>
          <w:p>
            <w:pPr>
              <w:pStyle w:val="CorpoAltF0"/>
              <w:rPr>
                <w:i/>
              </w:rPr>
            </w:pPr>
            <w:r>
              <w:rPr>
                <w:i/>
              </w:rPr>
              <w:t>RI_RecuperoAnno1</w:t>
            </w:r>
          </w:p>
        </w:tc>
        <w:tc>
          <w:tcPr>
            <w:tcW w:w="6912" w:type="dxa"/>
            <w:shd w:val="clear" w:color="auto" w:fill="auto"/>
          </w:tcPr>
          <w:p>
            <w:pPr>
              <w:pStyle w:val="CorpoAltF0"/>
            </w:pPr>
            <w:r>
              <w:t>Anno relativo al primo periodo di recupero.</w:t>
            </w:r>
          </w:p>
          <w:p>
            <w:pPr>
              <w:pStyle w:val="CorpoAltF0"/>
            </w:pPr>
          </w:p>
        </w:tc>
      </w:tr>
      <w:tr>
        <w:tc>
          <w:tcPr>
            <w:tcW w:w="2835" w:type="dxa"/>
            <w:shd w:val="clear" w:color="auto" w:fill="auto"/>
          </w:tcPr>
          <w:p>
            <w:pPr>
              <w:pStyle w:val="CorpoAltF0"/>
              <w:rPr>
                <w:i/>
              </w:rPr>
            </w:pPr>
            <w:r>
              <w:rPr>
                <w:i/>
              </w:rPr>
              <w:t>RI_RecuperoMese1</w:t>
            </w:r>
          </w:p>
        </w:tc>
        <w:tc>
          <w:tcPr>
            <w:tcW w:w="6912" w:type="dxa"/>
            <w:shd w:val="clear" w:color="auto" w:fill="auto"/>
          </w:tcPr>
          <w:p>
            <w:pPr>
              <w:pStyle w:val="CorpoAltF0"/>
            </w:pPr>
            <w:r>
              <w:t>Mese relativo al primo periodo di recupero.</w:t>
            </w:r>
          </w:p>
          <w:p>
            <w:pPr>
              <w:pStyle w:val="CorpoAltF0"/>
            </w:pPr>
          </w:p>
        </w:tc>
      </w:tr>
    </w:tbl>
    <w:p>
      <w:pPr>
        <w:pStyle w:val="Ignora"/>
      </w:pPr>
      <w:r>
        <w:br w:type="page"/>
      </w:r>
    </w:p>
    <w:p>
      <w:pPr>
        <w:pStyle w:val="Ignora"/>
      </w:pPr>
    </w:p>
    <w:tbl>
      <w:tblPr>
        <w:tblW w:w="9747" w:type="dxa"/>
        <w:tblLook w:val="04A0" w:firstRow="1" w:lastRow="0" w:firstColumn="1" w:lastColumn="0" w:noHBand="0" w:noVBand="1"/>
      </w:tblPr>
      <w:tblGrid>
        <w:gridCol w:w="2835"/>
        <w:gridCol w:w="6912"/>
      </w:tblGrid>
      <w:tr>
        <w:tc>
          <w:tcPr>
            <w:tcW w:w="2835" w:type="dxa"/>
            <w:shd w:val="clear" w:color="auto" w:fill="auto"/>
          </w:tcPr>
          <w:p>
            <w:pPr>
              <w:pStyle w:val="CorpoAltF0"/>
              <w:rPr>
                <w:i/>
              </w:rPr>
            </w:pPr>
            <w:r>
              <w:rPr>
                <w:i/>
              </w:rPr>
              <w:t>RI_RecuperoTipo1</w:t>
            </w:r>
          </w:p>
        </w:tc>
        <w:tc>
          <w:tcPr>
            <w:tcW w:w="6912" w:type="dxa"/>
            <w:shd w:val="clear" w:color="auto" w:fill="auto"/>
          </w:tcPr>
          <w:p>
            <w:pPr>
              <w:pStyle w:val="CorpoAltF0"/>
            </w:pPr>
            <w:r>
              <w:t>Tipologia di importo o contributo di recupero.</w:t>
            </w:r>
          </w:p>
          <w:p>
            <w:pPr>
              <w:pStyle w:val="CorpoAltF0"/>
              <w:spacing w:before="60"/>
            </w:pPr>
            <w:r>
              <w:t>Accetta i seguenti valori:</w:t>
            </w:r>
          </w:p>
        </w:tc>
      </w:tr>
      <w:tr>
        <w:tc>
          <w:tcPr>
            <w:tcW w:w="2835" w:type="dxa"/>
            <w:shd w:val="clear" w:color="auto" w:fill="auto"/>
          </w:tcPr>
          <w:p>
            <w:pPr>
              <w:pStyle w:val="CorpoAltF0"/>
              <w:spacing w:before="60"/>
              <w:jc w:val="right"/>
              <w:rPr>
                <w:b/>
              </w:rPr>
            </w:pPr>
            <w:r>
              <w:rPr>
                <w:b/>
              </w:rPr>
              <w:t>P</w:t>
            </w:r>
          </w:p>
        </w:tc>
        <w:tc>
          <w:tcPr>
            <w:tcW w:w="6912" w:type="dxa"/>
            <w:shd w:val="clear" w:color="auto" w:fill="auto"/>
          </w:tcPr>
          <w:p>
            <w:pPr>
              <w:pStyle w:val="CorpoAltF0"/>
              <w:spacing w:before="60"/>
              <w:rPr>
                <w:i/>
              </w:rPr>
            </w:pPr>
            <w:r>
              <w:rPr>
                <w:i/>
              </w:rPr>
              <w:t>Fondo Prepensionamento</w:t>
            </w:r>
          </w:p>
        </w:tc>
      </w:tr>
      <w:tr>
        <w:tc>
          <w:tcPr>
            <w:tcW w:w="2835" w:type="dxa"/>
            <w:shd w:val="clear" w:color="auto" w:fill="auto"/>
          </w:tcPr>
          <w:p>
            <w:pPr>
              <w:pStyle w:val="CorpoAltF0"/>
              <w:spacing w:before="60"/>
              <w:jc w:val="right"/>
              <w:rPr>
                <w:b/>
              </w:rPr>
            </w:pPr>
            <w:r>
              <w:rPr>
                <w:b/>
              </w:rPr>
              <w:t>O</w:t>
            </w:r>
          </w:p>
        </w:tc>
        <w:tc>
          <w:tcPr>
            <w:tcW w:w="6912" w:type="dxa"/>
            <w:shd w:val="clear" w:color="auto" w:fill="auto"/>
          </w:tcPr>
          <w:p>
            <w:pPr>
              <w:pStyle w:val="CorpoAltF0"/>
              <w:spacing w:before="60"/>
              <w:rPr>
                <w:i/>
              </w:rPr>
            </w:pPr>
            <w:r>
              <w:rPr>
                <w:i/>
              </w:rPr>
              <w:t>Fondo Occupazione</w:t>
            </w:r>
          </w:p>
          <w:p>
            <w:pPr>
              <w:pStyle w:val="CorpoAltF0"/>
            </w:pPr>
          </w:p>
        </w:tc>
      </w:tr>
      <w:tr>
        <w:tc>
          <w:tcPr>
            <w:tcW w:w="2835" w:type="dxa"/>
            <w:shd w:val="clear" w:color="auto" w:fill="auto"/>
          </w:tcPr>
          <w:p>
            <w:pPr>
              <w:pStyle w:val="CorpoAltF0"/>
              <w:rPr>
                <w:i/>
              </w:rPr>
            </w:pPr>
            <w:r>
              <w:rPr>
                <w:i/>
              </w:rPr>
              <w:t>RI_RecuperoImporto1:</w:t>
            </w:r>
          </w:p>
        </w:tc>
        <w:tc>
          <w:tcPr>
            <w:tcW w:w="6912" w:type="dxa"/>
            <w:shd w:val="clear" w:color="auto" w:fill="auto"/>
          </w:tcPr>
          <w:p>
            <w:pPr>
              <w:pStyle w:val="CorpoAltF0"/>
            </w:pPr>
            <w:r>
              <w:t>Importo recupero del contributo relativo al periodo 1 e tipo 1.</w:t>
            </w:r>
          </w:p>
        </w:tc>
      </w:tr>
    </w:tbl>
    <w:p>
      <w:pPr>
        <w:pStyle w:val="CorpoAltF0"/>
        <w:jc w:val="center"/>
      </w:pPr>
    </w:p>
    <w:p>
      <w:pPr>
        <w:pStyle w:val="CorpoAltF0"/>
      </w:pPr>
      <w:r>
        <w:rPr>
          <w:i/>
        </w:rPr>
        <w:t>Esempio di compilazione.</w:t>
      </w:r>
    </w:p>
    <w:p>
      <w:pPr>
        <w:pStyle w:val="CorpoAltF0"/>
        <w:spacing w:before="60"/>
        <w:rPr>
          <w:i/>
        </w:rPr>
      </w:pPr>
      <w:r>
        <w:rPr>
          <w:i/>
        </w:rPr>
        <w:t>Recupero contribuzione Fondo Prepensionamento Febbraio 2019 pari a € 18,60 e recupero contribuzione Fondo Occupazione Febbraio 2019 pari a € 21,80:</w:t>
      </w:r>
    </w:p>
    <w:p>
      <w:pPr>
        <w:pStyle w:val="CorpoAltF0"/>
        <w:spacing w:before="60"/>
        <w:rPr>
          <w:i/>
        </w:rPr>
      </w:pPr>
      <w:r>
        <w:rPr>
          <w:i/>
        </w:rPr>
        <w:t>&lt;RI_RecuperoAnno1&gt; = 2019</w:t>
      </w:r>
    </w:p>
    <w:p>
      <w:pPr>
        <w:pStyle w:val="CorpoAltF0"/>
        <w:spacing w:before="60"/>
        <w:rPr>
          <w:i/>
        </w:rPr>
      </w:pPr>
      <w:r>
        <w:rPr>
          <w:i/>
        </w:rPr>
        <w:t>&lt;RI_RecuperoMese1&gt; = 2</w:t>
      </w:r>
    </w:p>
    <w:p>
      <w:pPr>
        <w:pStyle w:val="CorpoAltF0"/>
        <w:spacing w:before="60"/>
        <w:rPr>
          <w:i/>
        </w:rPr>
      </w:pPr>
      <w:r>
        <w:rPr>
          <w:i/>
        </w:rPr>
        <w:t>&lt;RI_RecuperoTipo1&gt; = P</w:t>
      </w:r>
    </w:p>
    <w:p>
      <w:pPr>
        <w:pStyle w:val="CorpoAltF0"/>
        <w:spacing w:before="60"/>
        <w:rPr>
          <w:i/>
        </w:rPr>
      </w:pPr>
      <w:r>
        <w:rPr>
          <w:i/>
        </w:rPr>
        <w:t>&lt;RI_RecuperoImporto1&gt; = 18,6</w:t>
      </w:r>
    </w:p>
    <w:p>
      <w:pPr>
        <w:pStyle w:val="CorpoAltF0"/>
        <w:spacing w:before="120"/>
        <w:rPr>
          <w:i/>
        </w:rPr>
      </w:pPr>
      <w:r>
        <w:rPr>
          <w:i/>
        </w:rPr>
        <w:t>&lt;RI_RecuperoAnno2&gt; = 2019</w:t>
      </w:r>
    </w:p>
    <w:p>
      <w:pPr>
        <w:pStyle w:val="CorpoAltF0"/>
        <w:spacing w:before="60"/>
        <w:rPr>
          <w:i/>
        </w:rPr>
      </w:pPr>
      <w:r>
        <w:rPr>
          <w:i/>
        </w:rPr>
        <w:t>&lt;RI_RecuperoMese2&gt; = 2</w:t>
      </w:r>
    </w:p>
    <w:p>
      <w:pPr>
        <w:pStyle w:val="CorpoAltF0"/>
        <w:spacing w:before="60"/>
        <w:rPr>
          <w:i/>
        </w:rPr>
      </w:pPr>
      <w:r>
        <w:rPr>
          <w:i/>
        </w:rPr>
        <w:t>&lt;RI_RecuperoTipo2&gt; = O</w:t>
      </w:r>
    </w:p>
    <w:p>
      <w:pPr>
        <w:pStyle w:val="CorpoAltF0"/>
        <w:spacing w:before="60"/>
        <w:rPr>
          <w:i/>
        </w:rPr>
      </w:pPr>
      <w:r>
        <w:rPr>
          <w:i/>
        </w:rPr>
        <w:t>&lt;RI_RecuperoImporto2&gt; = 21,80</w:t>
      </w:r>
    </w:p>
    <w:p>
      <w:pPr>
        <w:pStyle w:val="CorpoAltF0"/>
        <w:spacing w:before="120"/>
      </w:pPr>
      <w:r>
        <w:t xml:space="preserve">Il programma compila tali campi in presenza, nel cedolino del mese di denuncia, della voce </w:t>
      </w:r>
      <w:r>
        <w:rPr>
          <w:b/>
        </w:rPr>
        <w:t>9622</w:t>
      </w:r>
      <w:r>
        <w:t xml:space="preserve"> calcolata e generata dal comando </w:t>
      </w:r>
      <w:r>
        <w:rPr>
          <w:b/>
        </w:rPr>
        <w:t>UTY1818A</w:t>
      </w:r>
      <w:r>
        <w:t>, inserendo come recupero l’importo diviso 2 della voce e prelevando il mese dal valore esposto come quantità.</w:t>
      </w:r>
    </w:p>
    <w:p>
      <w:pPr>
        <w:pStyle w:val="CorpoAltF0"/>
      </w:pPr>
    </w:p>
    <w:p>
      <w:pPr>
        <w:pStyle w:val="CorpoAltF0"/>
      </w:pPr>
      <w:r>
        <w:t>Se non valorizzati i nuovi campi, sia del nodo &lt;</w:t>
      </w:r>
      <w:proofErr w:type="spellStart"/>
      <w:r>
        <w:t>CNCE_Lavoratore</w:t>
      </w:r>
      <w:proofErr w:type="spellEnd"/>
      <w:r>
        <w:t>&gt; che del nodo &lt;</w:t>
      </w:r>
      <w:proofErr w:type="spellStart"/>
      <w:r>
        <w:t>CNCE_Riepilogo</w:t>
      </w:r>
      <w:proofErr w:type="spellEnd"/>
      <w:r>
        <w:t>&gt;, non vengono esposti.</w:t>
      </w:r>
    </w:p>
    <w:p>
      <w:pPr>
        <w:pStyle w:val="CorpoAltF0"/>
      </w:pPr>
    </w:p>
    <w:bookmarkEnd w:id="94"/>
    <w:bookmarkEnd w:id="95"/>
    <w:bookmarkEnd w:id="96"/>
    <w:bookmarkEnd w:id="97"/>
    <w:bookmarkEnd w:id="98"/>
    <w:p>
      <w:pPr>
        <w:pStyle w:val="CorpoAltF0"/>
      </w:pPr>
      <w:r>
        <w:t>I periodi non possono essere duplicati, né essere precedenti febbraio 2019.</w:t>
      </w:r>
    </w:p>
    <w:p>
      <w:pPr>
        <w:pStyle w:val="CorpoAltF0"/>
      </w:pPr>
    </w:p>
    <w:p>
      <w:pPr>
        <w:pStyle w:val="CorpoAltF0"/>
      </w:pPr>
      <w:r>
        <w:t>Nelle specifiche MUT viene precisato che i nuovi gruppi di informazioni vengono attivati solo nei modelli di denuncia delle Casse Edili che ne fanno richiesta.</w:t>
      </w:r>
    </w:p>
    <w:p>
      <w:pPr>
        <w:pStyle w:val="CorpoAltF0"/>
        <w:spacing w:before="60"/>
      </w:pPr>
      <w:r>
        <w:t>Alla data del presente rilascio non risultano Casse Edili che abbiano previsto tali campi.</w:t>
      </w:r>
    </w:p>
    <w:p>
      <w:pPr>
        <w:pStyle w:val="CorpoAltF0"/>
        <w:spacing w:before="60"/>
      </w:pPr>
      <w:r>
        <w:t xml:space="preserve">Si sottolinea cmq che il comando </w:t>
      </w:r>
      <w:r>
        <w:rPr>
          <w:b/>
        </w:rPr>
        <w:t>UTY1818A</w:t>
      </w:r>
      <w:r>
        <w:t xml:space="preserve"> risulta già allineato dalla versione PAGHE 2019.1.1 per calcolare la contribuzione arretrata in esame anche per i mesi successivi a gennaio 2019, sia nel caso di aziende del settore industria e cooperative che dell’artigianato.</w:t>
      </w:r>
    </w:p>
    <w:p>
      <w:pPr>
        <w:pStyle w:val="CorpoAltF0"/>
      </w:pPr>
      <w:r>
        <w:br w:type="page"/>
      </w:r>
    </w:p>
    <w:p>
      <w:pPr>
        <w:pStyle w:val="CorpoAltF0"/>
      </w:pPr>
      <w:bookmarkStart w:id="99" w:name="_Hlk5186724"/>
    </w:p>
    <w:p>
      <w:pPr>
        <w:pStyle w:val="WWNewPage"/>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4A0" w:firstRow="1" w:lastRow="0" w:firstColumn="1" w:lastColumn="0" w:noHBand="0" w:noVBand="1"/>
      </w:tblPr>
      <w:tblGrid>
        <w:gridCol w:w="6782"/>
        <w:gridCol w:w="2857"/>
      </w:tblGrid>
      <w:tr>
        <w:trPr>
          <w:trHeight w:val="558"/>
        </w:trPr>
        <w:tc>
          <w:tcPr>
            <w:tcW w:w="6874" w:type="dxa"/>
            <w:tcBorders>
              <w:top w:val="nil"/>
              <w:left w:val="nil"/>
              <w:bottom w:val="single" w:sz="12" w:space="0" w:color="auto"/>
              <w:right w:val="nil"/>
            </w:tcBorders>
            <w:vAlign w:val="center"/>
            <w:hideMark/>
          </w:tcPr>
          <w:p>
            <w:pPr>
              <w:pStyle w:val="TS-titolo-01"/>
              <w:outlineLvl w:val="0"/>
            </w:pPr>
            <w:bookmarkStart w:id="100" w:name="_Toc6299247"/>
            <w:bookmarkStart w:id="101" w:name="_Toc6334257"/>
            <w:r>
              <w:t>Archivi di base</w:t>
            </w:r>
            <w:bookmarkEnd w:id="100"/>
            <w:bookmarkEnd w:id="101"/>
          </w:p>
        </w:tc>
        <w:tc>
          <w:tcPr>
            <w:tcW w:w="2901" w:type="dxa"/>
            <w:tcBorders>
              <w:top w:val="single" w:sz="4" w:space="0" w:color="auto"/>
              <w:left w:val="nil"/>
              <w:bottom w:val="single" w:sz="4" w:space="0" w:color="auto"/>
              <w:right w:val="nil"/>
            </w:tcBorders>
            <w:shd w:val="clear" w:color="auto" w:fill="000000"/>
            <w:vAlign w:val="center"/>
          </w:tcPr>
          <w:p>
            <w:pPr>
              <w:pStyle w:val="TS-titolo-02"/>
              <w:outlineLvl w:val="0"/>
            </w:pPr>
          </w:p>
        </w:tc>
      </w:tr>
    </w:tbl>
    <w:p>
      <w:pPr>
        <w:pStyle w:val="CorpoAltF0"/>
        <w:rPr>
          <w:sz w:val="10"/>
          <w:szCs w:val="10"/>
        </w:rPr>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6769"/>
        <w:gridCol w:w="2870"/>
      </w:tblGrid>
      <w:tr>
        <w:trPr>
          <w:trHeight w:val="545"/>
        </w:trPr>
        <w:tc>
          <w:tcPr>
            <w:tcW w:w="6874" w:type="dxa"/>
            <w:tcBorders>
              <w:top w:val="single" w:sz="12" w:space="0" w:color="auto"/>
              <w:left w:val="nil"/>
              <w:bottom w:val="nil"/>
              <w:right w:val="nil"/>
            </w:tcBorders>
          </w:tcPr>
          <w:p>
            <w:pPr>
              <w:pStyle w:val="Intestazione"/>
              <w:outlineLvl w:val="1"/>
              <w:rPr>
                <w:rFonts w:ascii="Arial" w:hAnsi="Arial" w:cs="Arial"/>
                <w:b/>
                <w:i/>
                <w:sz w:val="24"/>
                <w:szCs w:val="24"/>
              </w:rPr>
            </w:pPr>
            <w:r>
              <w:rPr>
                <w:rFonts w:ascii="Arial" w:hAnsi="Arial" w:cs="Arial"/>
                <w:b/>
                <w:i/>
                <w:sz w:val="24"/>
                <w:szCs w:val="24"/>
              </w:rPr>
              <w:t>Tabelle procedura &gt; Tabelle Inail</w:t>
            </w:r>
          </w:p>
        </w:tc>
        <w:tc>
          <w:tcPr>
            <w:tcW w:w="2901" w:type="dxa"/>
            <w:tcBorders>
              <w:top w:val="single" w:sz="4" w:space="0" w:color="auto"/>
              <w:left w:val="nil"/>
              <w:bottom w:val="nil"/>
              <w:right w:val="nil"/>
            </w:tcBorders>
            <w:shd w:val="clear" w:color="auto" w:fill="D9D9D9" w:themeFill="background1" w:themeFillShade="D9"/>
            <w:vAlign w:val="center"/>
          </w:tcPr>
          <w:p>
            <w:pPr>
              <w:pStyle w:val="TS-titolo-Comando"/>
              <w:outlineLvl w:val="1"/>
            </w:pPr>
            <w:bookmarkStart w:id="102" w:name="_Toc6333231"/>
            <w:bookmarkStart w:id="103" w:name="_Toc6334258"/>
            <w:r>
              <w:t>TB0703</w:t>
            </w:r>
            <w:bookmarkEnd w:id="102"/>
            <w:bookmarkEnd w:id="103"/>
          </w:p>
        </w:tc>
      </w:tr>
    </w:tbl>
    <w:p>
      <w:pPr>
        <w:pStyle w:val="TS-titolo-04"/>
      </w:pPr>
      <w:bookmarkStart w:id="104" w:name="_Toc6333232"/>
      <w:bookmarkStart w:id="105" w:name="_Toc6334259"/>
      <w:r>
        <w:t>Tabella retribuzioni convenzionali INAIL</w:t>
      </w:r>
      <w:bookmarkEnd w:id="104"/>
      <w:bookmarkEnd w:id="105"/>
    </w:p>
    <w:p>
      <w:pPr>
        <w:pStyle w:val="CorpoAltF0"/>
        <w:spacing w:before="120"/>
      </w:pPr>
      <w:r>
        <w:t xml:space="preserve">Con l’installazione del presente aggiornamento, la tabella in oggetto relativa al </w:t>
      </w:r>
      <w:r>
        <w:rPr>
          <w:b/>
        </w:rPr>
        <w:t>2019</w:t>
      </w:r>
      <w:r>
        <w:t xml:space="preserve"> è stata aggiornata come di seguito descritto:</w:t>
      </w:r>
    </w:p>
    <w:p>
      <w:pPr>
        <w:pStyle w:val="CorpoAltF0"/>
        <w:spacing w:before="120"/>
        <w:jc w:val="center"/>
      </w:pPr>
      <w:r>
        <w:rPr>
          <w:noProof/>
        </w:rPr>
        <w:drawing>
          <wp:inline distT="0" distB="0" distL="0" distR="0">
            <wp:extent cx="6120765" cy="2957195"/>
            <wp:effectExtent l="0" t="0" r="0"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120765" cy="2957195"/>
                    </a:xfrm>
                    <a:prstGeom prst="rect">
                      <a:avLst/>
                    </a:prstGeom>
                  </pic:spPr>
                </pic:pic>
              </a:graphicData>
            </a:graphic>
          </wp:inline>
        </w:drawing>
      </w:r>
    </w:p>
    <w:p>
      <w:pPr>
        <w:pStyle w:val="CorpoAltF0"/>
      </w:pPr>
    </w:p>
    <w:p>
      <w:pPr>
        <w:pStyle w:val="CorpoAltF0"/>
        <w:numPr>
          <w:ilvl w:val="0"/>
          <w:numId w:val="31"/>
        </w:numPr>
        <w:ind w:left="425" w:hanging="357"/>
      </w:pPr>
      <w:r>
        <w:t xml:space="preserve">Aggiornati gli importi di premio previsti a partire dal 2019 per le diverse classi di rischio (Allegato 1, </w:t>
      </w:r>
      <w:proofErr w:type="spellStart"/>
      <w:r>
        <w:t>Tab</w:t>
      </w:r>
      <w:proofErr w:type="spellEnd"/>
      <w:r>
        <w:t>. 2, del Decreto interministeriale del 27.02.2019 relativo ai soggetti autonomi artigiani);</w:t>
      </w:r>
    </w:p>
    <w:p>
      <w:pPr>
        <w:pStyle w:val="CorpoAltF0"/>
        <w:ind w:left="425"/>
      </w:pPr>
    </w:p>
    <w:p>
      <w:pPr>
        <w:pStyle w:val="CorpoAltF0"/>
        <w:numPr>
          <w:ilvl w:val="0"/>
          <w:numId w:val="31"/>
        </w:numPr>
        <w:ind w:left="425" w:hanging="357"/>
      </w:pPr>
      <w:r>
        <w:t>Aggiornata la retribuzione convenzionale annua per i soggetti autonomi artigiani (campo “</w:t>
      </w:r>
      <w:r>
        <w:rPr>
          <w:i/>
        </w:rPr>
        <w:t>Retribuzione annua soci artigiani</w:t>
      </w:r>
      <w:r>
        <w:t>”) in funzione del corrispondente importo indicato nella Guida all’Autoliquidazione 2018/2019 e nelle basi di calcolo fornite dall’INAIL, che differisce dal valore indicato nel suddetto Decreto interministeriale.</w:t>
      </w:r>
    </w:p>
    <w:p>
      <w:pPr>
        <w:pStyle w:val="CorpoAltF0"/>
        <w:ind w:left="425"/>
      </w:pPr>
    </w:p>
    <w:p>
      <w:pPr>
        <w:pStyle w:val="CorpoAltF0"/>
        <w:numPr>
          <w:ilvl w:val="0"/>
          <w:numId w:val="31"/>
        </w:numPr>
        <w:ind w:left="425" w:hanging="357"/>
      </w:pPr>
      <w:r>
        <w:t>Aggiornata la percentuale di riduzione dei premi INAIL ex L. 147/13 (campo “</w:t>
      </w:r>
      <w:r>
        <w:rPr>
          <w:i/>
        </w:rPr>
        <w:t>Sconto L. 147/13 su regolazione</w:t>
      </w:r>
      <w:r>
        <w:t>”) fissata per il 2019 nella misura del 15,24%.</w:t>
      </w:r>
    </w:p>
    <w:p>
      <w:pPr>
        <w:pStyle w:val="CorpoAltF0"/>
        <w:ind w:left="425"/>
      </w:pPr>
      <w:r>
        <w:t>Come indicato nella relativa Determina del Presidente INAIL n. 356/2018, tale riduzione è applicabile nel 2019 ai soli settori/gestioni per i quali il procedimento di revisione delle tariffe non è stato completato (ad esempio settore agricolo, escluso dal versamento dei premi INAIL tramite Autoliquidazione).</w:t>
      </w:r>
    </w:p>
    <w:p>
      <w:pPr>
        <w:pStyle w:val="CorpoAltF0"/>
      </w:pPr>
      <w:r>
        <w:br w:type="page"/>
      </w:r>
    </w:p>
    <w:p>
      <w:pPr>
        <w:pStyle w:val="CorpoAltF0"/>
      </w:pPr>
    </w:p>
    <w:p>
      <w:pPr>
        <w:pStyle w:val="WWNewPage"/>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4A0" w:firstRow="1" w:lastRow="0" w:firstColumn="1" w:lastColumn="0" w:noHBand="0" w:noVBand="1"/>
      </w:tblPr>
      <w:tblGrid>
        <w:gridCol w:w="6775"/>
        <w:gridCol w:w="2864"/>
      </w:tblGrid>
      <w:tr>
        <w:trPr>
          <w:trHeight w:val="545"/>
        </w:trPr>
        <w:tc>
          <w:tcPr>
            <w:tcW w:w="6874" w:type="dxa"/>
            <w:tcBorders>
              <w:top w:val="single" w:sz="12" w:space="0" w:color="auto"/>
              <w:left w:val="nil"/>
              <w:bottom w:val="nil"/>
              <w:right w:val="nil"/>
            </w:tcBorders>
            <w:hideMark/>
          </w:tcPr>
          <w:p>
            <w:pPr>
              <w:pStyle w:val="Intestazione"/>
              <w:outlineLvl w:val="1"/>
              <w:rPr>
                <w:rFonts w:ascii="Arial" w:hAnsi="Arial" w:cs="Arial"/>
                <w:b/>
                <w:i/>
                <w:sz w:val="24"/>
                <w:szCs w:val="24"/>
              </w:rPr>
            </w:pPr>
            <w:r>
              <w:rPr>
                <w:rFonts w:ascii="Arial" w:hAnsi="Arial" w:cs="Arial"/>
                <w:b/>
                <w:i/>
                <w:sz w:val="24"/>
                <w:szCs w:val="24"/>
              </w:rPr>
              <w:t>Anagrafiche e gestioni</w:t>
            </w:r>
          </w:p>
        </w:tc>
        <w:tc>
          <w:tcPr>
            <w:tcW w:w="2901" w:type="dxa"/>
            <w:tcBorders>
              <w:top w:val="single" w:sz="4" w:space="0" w:color="auto"/>
              <w:left w:val="nil"/>
              <w:bottom w:val="nil"/>
              <w:right w:val="nil"/>
            </w:tcBorders>
            <w:shd w:val="clear" w:color="auto" w:fill="D9D9D9" w:themeFill="background1" w:themeFillShade="D9"/>
            <w:vAlign w:val="center"/>
            <w:hideMark/>
          </w:tcPr>
          <w:p>
            <w:pPr>
              <w:pStyle w:val="TS-titolo-Comando"/>
              <w:outlineLvl w:val="1"/>
            </w:pPr>
            <w:bookmarkStart w:id="106" w:name="_Toc6299248"/>
            <w:bookmarkStart w:id="107" w:name="_Toc6334260"/>
            <w:r>
              <w:t>DIPE</w:t>
            </w:r>
            <w:bookmarkEnd w:id="106"/>
            <w:bookmarkEnd w:id="107"/>
          </w:p>
        </w:tc>
      </w:tr>
    </w:tbl>
    <w:p>
      <w:pPr>
        <w:pStyle w:val="TS-titolo-04"/>
      </w:pPr>
      <w:bookmarkStart w:id="108" w:name="_Toc6299249"/>
      <w:bookmarkStart w:id="109" w:name="_Toc6334261"/>
      <w:r>
        <w:t>Mesi tassazione</w:t>
      </w:r>
      <w:bookmarkEnd w:id="108"/>
      <w:bookmarkEnd w:id="109"/>
      <w:r>
        <w:t xml:space="preserve"> </w:t>
      </w:r>
    </w:p>
    <w:p>
      <w:pPr>
        <w:pStyle w:val="CorpoAltF0"/>
        <w:spacing w:before="120"/>
      </w:pPr>
      <w:r>
        <w:t>Nel pulsante “</w:t>
      </w:r>
      <w:r>
        <w:rPr>
          <w:i/>
        </w:rPr>
        <w:t>Funzioni</w:t>
      </w:r>
      <w:r>
        <w:t>” &gt; “</w:t>
      </w:r>
      <w:r>
        <w:rPr>
          <w:i/>
        </w:rPr>
        <w:t>Tassazione</w:t>
      </w:r>
      <w:r>
        <w:t>” dei “</w:t>
      </w:r>
      <w:r>
        <w:rPr>
          <w:i/>
        </w:rPr>
        <w:t>Progressivi</w:t>
      </w:r>
      <w:r>
        <w:t xml:space="preserve"> &gt; </w:t>
      </w:r>
      <w:r>
        <w:rPr>
          <w:i/>
        </w:rPr>
        <w:t>Indennità anzianità</w:t>
      </w:r>
      <w:r>
        <w:t xml:space="preserve">” di </w:t>
      </w:r>
      <w:r>
        <w:rPr>
          <w:b/>
        </w:rPr>
        <w:t>DIPE</w:t>
      </w:r>
      <w:r>
        <w:t xml:space="preserve"> è stata modificata la visualizzazione dei mesi interessati da un’erogazione del trattamento di fine rapporto.</w:t>
      </w:r>
    </w:p>
    <w:p>
      <w:pPr>
        <w:pStyle w:val="CorpoAltF0"/>
        <w:spacing w:before="60"/>
      </w:pPr>
      <w:r>
        <w:t>A tal fine, con riferimento a ciascun mese dell’anno è stata inserita una casella che risulterà contrassegnata in presenza di erogazioni per lo specifico mese.</w:t>
      </w:r>
    </w:p>
    <w:p>
      <w:pPr>
        <w:pStyle w:val="CorpoAltF0"/>
        <w:spacing w:before="120"/>
        <w:jc w:val="center"/>
      </w:pPr>
      <w:r>
        <w:rPr>
          <w:noProof/>
        </w:rPr>
        <w:drawing>
          <wp:inline distT="0" distB="0" distL="0" distR="0">
            <wp:extent cx="5762625" cy="2533650"/>
            <wp:effectExtent l="0" t="0" r="9525"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2625" cy="2533650"/>
                    </a:xfrm>
                    <a:prstGeom prst="rect">
                      <a:avLst/>
                    </a:prstGeom>
                    <a:noFill/>
                    <a:ln>
                      <a:noFill/>
                    </a:ln>
                  </pic:spPr>
                </pic:pic>
              </a:graphicData>
            </a:graphic>
          </wp:inline>
        </w:drawing>
      </w:r>
    </w:p>
    <w:p>
      <w:pPr>
        <w:pStyle w:val="CorpoAltF0"/>
      </w:pPr>
    </w:p>
    <w:p>
      <w:pPr>
        <w:pStyle w:val="CorpoAltF0"/>
      </w:pPr>
      <w:r>
        <w:br w:type="page"/>
      </w:r>
    </w:p>
    <w:p>
      <w:pPr>
        <w:pStyle w:val="CorpoAltF0"/>
      </w:pPr>
    </w:p>
    <w:p>
      <w:pPr>
        <w:pStyle w:val="WWNewPage"/>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4A0" w:firstRow="1" w:lastRow="0" w:firstColumn="1" w:lastColumn="0" w:noHBand="0" w:noVBand="1"/>
      </w:tblPr>
      <w:tblGrid>
        <w:gridCol w:w="6780"/>
        <w:gridCol w:w="2859"/>
      </w:tblGrid>
      <w:tr>
        <w:trPr>
          <w:trHeight w:val="558"/>
        </w:trPr>
        <w:tc>
          <w:tcPr>
            <w:tcW w:w="6874" w:type="dxa"/>
            <w:tcBorders>
              <w:top w:val="nil"/>
              <w:left w:val="nil"/>
              <w:bottom w:val="single" w:sz="12" w:space="0" w:color="auto"/>
              <w:right w:val="nil"/>
            </w:tcBorders>
            <w:vAlign w:val="center"/>
            <w:hideMark/>
          </w:tcPr>
          <w:p>
            <w:pPr>
              <w:pStyle w:val="TS-titolo-01"/>
              <w:outlineLvl w:val="0"/>
            </w:pPr>
            <w:bookmarkStart w:id="110" w:name="_Toc6299250"/>
            <w:bookmarkStart w:id="111" w:name="_Toc6334262"/>
            <w:r>
              <w:t>Altri enti</w:t>
            </w:r>
            <w:bookmarkEnd w:id="110"/>
            <w:bookmarkEnd w:id="111"/>
          </w:p>
        </w:tc>
        <w:tc>
          <w:tcPr>
            <w:tcW w:w="2901" w:type="dxa"/>
            <w:tcBorders>
              <w:top w:val="single" w:sz="4" w:space="0" w:color="auto"/>
              <w:left w:val="nil"/>
              <w:bottom w:val="single" w:sz="4" w:space="0" w:color="auto"/>
              <w:right w:val="nil"/>
            </w:tcBorders>
            <w:shd w:val="clear" w:color="auto" w:fill="000000"/>
            <w:vAlign w:val="center"/>
          </w:tcPr>
          <w:p>
            <w:pPr>
              <w:pStyle w:val="TS-titolo-02"/>
              <w:outlineLvl w:val="0"/>
            </w:pPr>
          </w:p>
        </w:tc>
      </w:tr>
    </w:tbl>
    <w:p>
      <w:pPr>
        <w:pStyle w:val="CorpoAltF0"/>
        <w:rPr>
          <w:sz w:val="10"/>
          <w:szCs w:val="10"/>
        </w:rPr>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4A0" w:firstRow="1" w:lastRow="0" w:firstColumn="1" w:lastColumn="0" w:noHBand="0" w:noVBand="1"/>
      </w:tblPr>
      <w:tblGrid>
        <w:gridCol w:w="6756"/>
        <w:gridCol w:w="2883"/>
      </w:tblGrid>
      <w:tr>
        <w:trPr>
          <w:trHeight w:val="545"/>
        </w:trPr>
        <w:tc>
          <w:tcPr>
            <w:tcW w:w="6874" w:type="dxa"/>
            <w:tcBorders>
              <w:top w:val="single" w:sz="12" w:space="0" w:color="auto"/>
              <w:left w:val="nil"/>
              <w:bottom w:val="nil"/>
              <w:right w:val="nil"/>
            </w:tcBorders>
          </w:tcPr>
          <w:p>
            <w:pPr>
              <w:pStyle w:val="Intestazione"/>
              <w:outlineLvl w:val="1"/>
              <w:rPr>
                <w:rFonts w:ascii="Arial" w:hAnsi="Arial" w:cs="Arial"/>
                <w:b/>
                <w:i/>
                <w:sz w:val="24"/>
                <w:szCs w:val="24"/>
              </w:rPr>
            </w:pPr>
          </w:p>
        </w:tc>
        <w:tc>
          <w:tcPr>
            <w:tcW w:w="2901" w:type="dxa"/>
            <w:tcBorders>
              <w:top w:val="single" w:sz="4" w:space="0" w:color="auto"/>
              <w:left w:val="nil"/>
              <w:bottom w:val="nil"/>
              <w:right w:val="nil"/>
            </w:tcBorders>
            <w:shd w:val="clear" w:color="auto" w:fill="D9D9D9" w:themeFill="background1" w:themeFillShade="D9"/>
            <w:vAlign w:val="center"/>
            <w:hideMark/>
          </w:tcPr>
          <w:p>
            <w:pPr>
              <w:pStyle w:val="TS-titolo-Comando"/>
              <w:outlineLvl w:val="1"/>
            </w:pPr>
            <w:bookmarkStart w:id="112" w:name="SANIMODA"/>
            <w:bookmarkStart w:id="113" w:name="_Toc6299251"/>
            <w:bookmarkStart w:id="114" w:name="_Toc6334263"/>
            <w:bookmarkEnd w:id="112"/>
            <w:r>
              <w:t>SANIMODA</w:t>
            </w:r>
            <w:bookmarkEnd w:id="113"/>
            <w:bookmarkEnd w:id="114"/>
          </w:p>
        </w:tc>
      </w:tr>
    </w:tbl>
    <w:p>
      <w:pPr>
        <w:pStyle w:val="TS-titolo-04"/>
      </w:pPr>
      <w:bookmarkStart w:id="115" w:name="_Toc6299252"/>
      <w:bookmarkStart w:id="116" w:name="_Toc6334264"/>
      <w:r>
        <w:t>Aziende che applicano il CCNL Calzature</w:t>
      </w:r>
      <w:bookmarkEnd w:id="115"/>
      <w:bookmarkEnd w:id="116"/>
    </w:p>
    <w:bookmarkEnd w:id="99"/>
    <w:p>
      <w:pPr>
        <w:pStyle w:val="CorpoAltF0"/>
        <w:spacing w:before="120"/>
      </w:pPr>
      <w:r>
        <w:t>Per le aziende che applicano il CCNL Calzature aderenti ad ASSOCALZATURIFICI, dal 1° maggio 2019, è attiva la copertura sanitaria del Fondo SANIMODA.</w:t>
      </w:r>
    </w:p>
    <w:p>
      <w:pPr>
        <w:pStyle w:val="CorpoAltF0"/>
        <w:spacing w:before="60"/>
      </w:pPr>
      <w:r>
        <w:t xml:space="preserve">Tali aziende, entro il 31 marzo 2019, sono tenute a iscrivere i propri dipendenti, non in prova, con contratto a tempo indeterminato (compresi gli apprendisti) e quelli con contratto a tempo determinato di durata pari o superiore a 12 mesi, con decorrenza dal </w:t>
      </w:r>
      <w:proofErr w:type="gramStart"/>
      <w:r>
        <w:t>13°</w:t>
      </w:r>
      <w:proofErr w:type="gramEnd"/>
      <w:r>
        <w:t xml:space="preserve"> mese, al Fondo in oggetto.</w:t>
      </w:r>
    </w:p>
    <w:p>
      <w:pPr>
        <w:pStyle w:val="CorpoAltF0"/>
        <w:spacing w:before="60"/>
      </w:pPr>
      <w:r>
        <w:t>La contribuzione al Fondo è trimestrale anticipata, nella misura di 36 euro a trimestre (12 euro al mese).</w:t>
      </w:r>
    </w:p>
    <w:p>
      <w:pPr>
        <w:pStyle w:val="CorpoAltF0"/>
        <w:spacing w:before="60"/>
      </w:pPr>
      <w:r>
        <w:rPr>
          <w:u w:val="single"/>
        </w:rPr>
        <w:t>Esclusivamente in questa fase di prima applicazione, le aziende procederanno al versamento di 40 euro per ogni iscritto</w:t>
      </w:r>
      <w:r>
        <w:t>, entro il 20 aprile 2019.</w:t>
      </w:r>
    </w:p>
    <w:p>
      <w:pPr>
        <w:pStyle w:val="CorpoAltF0"/>
        <w:spacing w:before="60"/>
      </w:pPr>
      <w:r>
        <w:t xml:space="preserve">Tale quota è così composta: 12 euro di maggio, 12 euro di giugno e 16 euro </w:t>
      </w:r>
      <w:r>
        <w:rPr>
          <w:i/>
        </w:rPr>
        <w:t>una tantum</w:t>
      </w:r>
      <w:r>
        <w:t xml:space="preserve">. La quota </w:t>
      </w:r>
      <w:r>
        <w:rPr>
          <w:i/>
        </w:rPr>
        <w:t>una tantum</w:t>
      </w:r>
      <w:r>
        <w:t xml:space="preserve"> è necessaria per attivare, da subito, la copertura sanitaria per i dipendenti, escludendo, solo in questo caso, il trimestre di carenza previsto dal Regolamento del Fondo.</w:t>
      </w:r>
    </w:p>
    <w:p>
      <w:pPr>
        <w:pStyle w:val="CorpoAltF0"/>
        <w:spacing w:before="60"/>
      </w:pPr>
      <w:r>
        <w:t>Successivamente alla contribuzione di avvio, la contribuzione seguirà le regolari trimestralità, come da regolamento del Fondo, di seguito evidenziate:</w:t>
      </w:r>
    </w:p>
    <w:p>
      <w:pPr>
        <w:pStyle w:val="CorpoAltF0"/>
        <w:numPr>
          <w:ilvl w:val="0"/>
          <w:numId w:val="25"/>
        </w:numPr>
        <w:spacing w:before="60"/>
        <w:ind w:left="284" w:hanging="284"/>
      </w:pPr>
      <w:r>
        <w:t>20 gennaio (per il trimestre 1° gennaio – 31 marzo);</w:t>
      </w:r>
    </w:p>
    <w:p>
      <w:pPr>
        <w:pStyle w:val="CorpoAltF0"/>
        <w:numPr>
          <w:ilvl w:val="0"/>
          <w:numId w:val="25"/>
        </w:numPr>
        <w:spacing w:before="60"/>
        <w:ind w:left="284" w:hanging="284"/>
      </w:pPr>
      <w:r>
        <w:t>20 aprile (per il trimestre 1° aprile – 30 giugno);</w:t>
      </w:r>
    </w:p>
    <w:p>
      <w:pPr>
        <w:pStyle w:val="CorpoAltF0"/>
        <w:numPr>
          <w:ilvl w:val="0"/>
          <w:numId w:val="25"/>
        </w:numPr>
        <w:spacing w:before="60"/>
        <w:ind w:left="284" w:hanging="284"/>
      </w:pPr>
      <w:r>
        <w:t>20 luglio (per il trimestre 1° luglio – 30 settembre);</w:t>
      </w:r>
    </w:p>
    <w:p>
      <w:pPr>
        <w:pStyle w:val="CorpoAltF0"/>
        <w:numPr>
          <w:ilvl w:val="0"/>
          <w:numId w:val="25"/>
        </w:numPr>
        <w:spacing w:before="60"/>
        <w:ind w:left="284" w:hanging="284"/>
      </w:pPr>
      <w:r>
        <w:t>20 ottobre (per il trimestre 1° ottobre – 31 dicembre).</w:t>
      </w:r>
    </w:p>
    <w:p>
      <w:pPr>
        <w:pStyle w:val="CorpoAltF0"/>
      </w:pPr>
    </w:p>
    <w:p>
      <w:pPr>
        <w:pStyle w:val="CorpoAltF0"/>
      </w:pPr>
      <w:r>
        <w:t>Per ciascuna contribuzione, si dovranno tenere in considerazione i dipendenti in forza presso l’azienda nel primo giorno lavorativo del trimestre di riferimento.</w:t>
      </w:r>
    </w:p>
    <w:p>
      <w:pPr>
        <w:pStyle w:val="CorpoAltF0"/>
      </w:pPr>
    </w:p>
    <w:p>
      <w:pPr>
        <w:pStyle w:val="CorpoAltF0"/>
      </w:pPr>
    </w:p>
    <w:p>
      <w:pPr>
        <w:pStyle w:val="TS-titolo-05"/>
      </w:pPr>
      <w:bookmarkStart w:id="117" w:name="_Toc6299253"/>
      <w:bookmarkStart w:id="118" w:name="_Toc6334265"/>
      <w:r>
        <w:t>TB0306 – Tabella contributi altri enti</w:t>
      </w:r>
      <w:bookmarkEnd w:id="117"/>
      <w:bookmarkEnd w:id="118"/>
    </w:p>
    <w:p>
      <w:pPr>
        <w:pStyle w:val="CorpoAltF0"/>
        <w:spacing w:before="120"/>
      </w:pPr>
      <w:r>
        <w:t>Per l’applicazione del calcolo e versamento del contributo è necessario creare e collegare al dipendente una specifica tabella “</w:t>
      </w:r>
      <w:r>
        <w:rPr>
          <w:i/>
        </w:rPr>
        <w:t>Contributi altri enti azienda/dipendente</w:t>
      </w:r>
      <w:r>
        <w:t>” (</w:t>
      </w:r>
      <w:r>
        <w:rPr>
          <w:b/>
        </w:rPr>
        <w:t>TB0306</w:t>
      </w:r>
      <w:r>
        <w:t>) contenente un rigo di contribuzione ad importo, pari ad € 12,00, associato ad una tabella “</w:t>
      </w:r>
      <w:r>
        <w:rPr>
          <w:i/>
        </w:rPr>
        <w:t>Descrizioni altri enti</w:t>
      </w:r>
      <w:r>
        <w:t>” (</w:t>
      </w:r>
      <w:r>
        <w:rPr>
          <w:b/>
        </w:rPr>
        <w:t>TB0305</w:t>
      </w:r>
      <w:r>
        <w:t>) relativa all’ente SANIMODA.</w:t>
      </w:r>
    </w:p>
    <w:p>
      <w:pPr>
        <w:pStyle w:val="CorpoAltF0"/>
        <w:spacing w:before="60"/>
      </w:pPr>
      <w:r>
        <w:t xml:space="preserve">La tabella </w:t>
      </w:r>
      <w:r>
        <w:rPr>
          <w:b/>
        </w:rPr>
        <w:t>TB0305</w:t>
      </w:r>
      <w:r>
        <w:t xml:space="preserve"> in oggetto dovrà presentare le seguenti caratteristiche:</w:t>
      </w:r>
    </w:p>
    <w:p>
      <w:pPr>
        <w:pStyle w:val="CorpoAltF0"/>
        <w:numPr>
          <w:ilvl w:val="0"/>
          <w:numId w:val="26"/>
        </w:numPr>
        <w:spacing w:before="60"/>
        <w:ind w:left="284" w:hanging="289"/>
      </w:pPr>
      <w:r>
        <w:t>valore “</w:t>
      </w:r>
      <w:r>
        <w:rPr>
          <w:i/>
        </w:rPr>
        <w:t>Si</w:t>
      </w:r>
      <w:r>
        <w:t>” al campo “</w:t>
      </w:r>
      <w:r>
        <w:rPr>
          <w:i/>
        </w:rPr>
        <w:t>Calcolo solidarietà</w:t>
      </w:r>
      <w:r>
        <w:t>”;</w:t>
      </w:r>
    </w:p>
    <w:p>
      <w:pPr>
        <w:pStyle w:val="CorpoAltF0"/>
        <w:numPr>
          <w:ilvl w:val="0"/>
          <w:numId w:val="26"/>
        </w:numPr>
        <w:spacing w:before="60"/>
        <w:ind w:left="284" w:hanging="289"/>
      </w:pPr>
      <w:r>
        <w:t>valorizzazione delle mensilità di gennaio, aprile, luglio e ottobre nella sezione “</w:t>
      </w:r>
      <w:r>
        <w:rPr>
          <w:i/>
        </w:rPr>
        <w:t>Mesi di versamento</w:t>
      </w:r>
      <w:r>
        <w:t>”;</w:t>
      </w:r>
    </w:p>
    <w:p>
      <w:pPr>
        <w:pStyle w:val="CorpoAltF0"/>
        <w:numPr>
          <w:ilvl w:val="0"/>
          <w:numId w:val="26"/>
        </w:numPr>
        <w:spacing w:before="60"/>
        <w:ind w:left="284" w:hanging="289"/>
      </w:pPr>
      <w:r>
        <w:t>compilazione del campo “</w:t>
      </w:r>
      <w:r>
        <w:rPr>
          <w:i/>
        </w:rPr>
        <w:t>Versamento immediato solidarietà</w:t>
      </w:r>
      <w:r>
        <w:t>”.</w:t>
      </w:r>
    </w:p>
    <w:p>
      <w:pPr>
        <w:pStyle w:val="CorpoAltF0"/>
      </w:pPr>
    </w:p>
    <w:p>
      <w:pPr>
        <w:pStyle w:val="CorpoAltF0"/>
      </w:pPr>
    </w:p>
    <w:p>
      <w:pPr>
        <w:pStyle w:val="TS-titolo-05"/>
      </w:pPr>
      <w:bookmarkStart w:id="119" w:name="_Toc6299254"/>
      <w:bookmarkStart w:id="120" w:name="_Toc6334266"/>
      <w:r>
        <w:t>CEDOL - QUADR</w:t>
      </w:r>
      <w:bookmarkEnd w:id="119"/>
      <w:bookmarkEnd w:id="120"/>
    </w:p>
    <w:p>
      <w:pPr>
        <w:pStyle w:val="CorpoAltF0"/>
        <w:spacing w:before="120"/>
      </w:pPr>
      <w:r>
        <w:t xml:space="preserve">Il programma calcola la contribuzione da versare al SANIMODA (codice ente interno </w:t>
      </w:r>
      <w:r>
        <w:rPr>
          <w:b/>
        </w:rPr>
        <w:t>130</w:t>
      </w:r>
      <w:r>
        <w:t>) per i dipendenti solo se in forza il primo giorno del trimestre di riferimento (1° gennaio, 1° aprile, 1° luglio, 1° ottobre).</w:t>
      </w:r>
    </w:p>
    <w:p>
      <w:pPr>
        <w:pStyle w:val="CorpoAltF0"/>
        <w:spacing w:before="60"/>
      </w:pPr>
      <w:r>
        <w:t>Con l’esecuzione della quadratura del primo mese di ciascun trimestre:</w:t>
      </w:r>
    </w:p>
    <w:p>
      <w:pPr>
        <w:pStyle w:val="CorpoAltF0"/>
        <w:numPr>
          <w:ilvl w:val="0"/>
          <w:numId w:val="27"/>
        </w:numPr>
        <w:spacing w:before="60"/>
        <w:ind w:left="284" w:hanging="284"/>
      </w:pPr>
      <w:r>
        <w:t>ai fini del calcolo del contributo di solidarietà del 10%, il programma provvede a memorizzare nella sezione “</w:t>
      </w:r>
      <w:r>
        <w:rPr>
          <w:i/>
        </w:rPr>
        <w:t>Progressivi</w:t>
      </w:r>
      <w:r>
        <w:t xml:space="preserve"> &gt; </w:t>
      </w:r>
      <w:r>
        <w:rPr>
          <w:i/>
        </w:rPr>
        <w:t>Contributi solidarietà</w:t>
      </w:r>
      <w:r>
        <w:t xml:space="preserve">” di </w:t>
      </w:r>
      <w:r>
        <w:rPr>
          <w:b/>
        </w:rPr>
        <w:t>AZIE</w:t>
      </w:r>
      <w:r>
        <w:t xml:space="preserve"> la contribuzione a carico azienda dell’intero trimestre;</w:t>
      </w:r>
    </w:p>
    <w:p>
      <w:pPr>
        <w:pStyle w:val="CorpoAltF0"/>
        <w:numPr>
          <w:ilvl w:val="0"/>
          <w:numId w:val="27"/>
        </w:numPr>
        <w:spacing w:before="60"/>
        <w:ind w:left="284" w:hanging="284"/>
      </w:pPr>
      <w:r>
        <w:t>il programma provvede a memorizzare nella sezione “</w:t>
      </w:r>
      <w:r>
        <w:rPr>
          <w:i/>
        </w:rPr>
        <w:t>Altri dati</w:t>
      </w:r>
      <w:r>
        <w:t xml:space="preserve"> &gt; </w:t>
      </w:r>
      <w:r>
        <w:rPr>
          <w:i/>
        </w:rPr>
        <w:t>Solidarietà/versamenti</w:t>
      </w:r>
      <w:r>
        <w:t xml:space="preserve">” di </w:t>
      </w:r>
      <w:r>
        <w:rPr>
          <w:b/>
        </w:rPr>
        <w:t>DIPE</w:t>
      </w:r>
      <w:r>
        <w:t xml:space="preserve"> la contribuzione dell’intero trimestre, con periodo versamento pari al primo mese del trimestre.</w:t>
      </w:r>
    </w:p>
    <w:p>
      <w:pPr>
        <w:pStyle w:val="CorpoAltF0"/>
        <w:spacing w:before="120"/>
      </w:pPr>
      <w:r>
        <w:t>Al fine di memorizzare per il secondo trimestre 2019 (aprile – giugno) nell’anagrafica azienda e dipendente la contribuzione di 40 euro, in luogo dei 36 euro, è possibile utilizzare nel cedolino di aprile un’apposita voce di calcolo caratterizzata dal “</w:t>
      </w:r>
      <w:r>
        <w:rPr>
          <w:i/>
        </w:rPr>
        <w:t>Cod. quadrature e DM10</w:t>
      </w:r>
      <w:r>
        <w:t xml:space="preserve">” </w:t>
      </w:r>
      <w:r>
        <w:rPr>
          <w:b/>
        </w:rPr>
        <w:t>402</w:t>
      </w:r>
      <w:r>
        <w:t xml:space="preserve"> e dal codice di tabella </w:t>
      </w:r>
      <w:r>
        <w:rPr>
          <w:b/>
        </w:rPr>
        <w:t>TB0305</w:t>
      </w:r>
      <w:r>
        <w:t xml:space="preserve"> relativa all’ente SANIMODA, con importo pari a € 4,00.</w:t>
      </w:r>
    </w:p>
    <w:p>
      <w:pPr>
        <w:rPr>
          <w:rFonts w:ascii="Arial" w:hAnsi="Arial"/>
          <w:sz w:val="20"/>
          <w:szCs w:val="20"/>
        </w:rPr>
      </w:pPr>
      <w:r>
        <w:rPr>
          <w:rFonts w:ascii="Arial" w:hAnsi="Arial"/>
          <w:sz w:val="20"/>
          <w:szCs w:val="20"/>
        </w:rPr>
        <w:br w:type="page"/>
      </w:r>
    </w:p>
    <w:p>
      <w:pPr>
        <w:rPr>
          <w:rFonts w:ascii="Arial" w:hAnsi="Arial"/>
          <w:sz w:val="20"/>
          <w:szCs w:val="20"/>
        </w:rPr>
      </w:pPr>
    </w:p>
    <w:p>
      <w:pPr>
        <w:pStyle w:val="TS-titolo-05"/>
      </w:pPr>
      <w:bookmarkStart w:id="121" w:name="_Toc6299255"/>
      <w:bookmarkStart w:id="122" w:name="_Toc6334267"/>
      <w:r>
        <w:t>Generazione telematico</w:t>
      </w:r>
      <w:bookmarkEnd w:id="121"/>
      <w:bookmarkEnd w:id="122"/>
    </w:p>
    <w:p>
      <w:pPr>
        <w:pStyle w:val="CorpoAltF0"/>
        <w:spacing w:before="120"/>
      </w:pPr>
      <w:r>
        <w:t xml:space="preserve">Con riferimento al secondo trimestre 2019 il comando </w:t>
      </w:r>
      <w:r>
        <w:rPr>
          <w:b/>
        </w:rPr>
        <w:t>SANIMODA</w:t>
      </w:r>
      <w:r>
        <w:t xml:space="preserve"> è stato implementato al fine di riportare nel file telematico l’importo dei contributi da versare a tale ente pari a 40 euro anziché 36 euro, sia nel caso in cui il cedolino di aprile risulti elaborato che in caso contrario.</w:t>
      </w:r>
    </w:p>
    <w:p>
      <w:pPr>
        <w:pStyle w:val="CorpoAltF0"/>
        <w:spacing w:before="60"/>
      </w:pPr>
      <w:r>
        <w:t>A tal fine, per le aziende che applicano il CCNL Calzature, sarà necessario contrassegnare all’interno del pulsante “</w:t>
      </w:r>
      <w:r>
        <w:rPr>
          <w:i/>
        </w:rPr>
        <w:t>Funzioni</w:t>
      </w:r>
      <w:r>
        <w:t xml:space="preserve"> &gt; </w:t>
      </w:r>
      <w:r>
        <w:rPr>
          <w:i/>
        </w:rPr>
        <w:t>Opzioni</w:t>
      </w:r>
      <w:r>
        <w:t>” il nuovo campo “</w:t>
      </w:r>
      <w:proofErr w:type="gramStart"/>
      <w:r>
        <w:rPr>
          <w:b/>
          <w:i/>
        </w:rPr>
        <w:t>2°</w:t>
      </w:r>
      <w:proofErr w:type="gramEnd"/>
      <w:r>
        <w:rPr>
          <w:b/>
          <w:i/>
        </w:rPr>
        <w:t xml:space="preserve"> trimestre 2019 del CCNL CALZATURE</w:t>
      </w:r>
      <w:r>
        <w:t>”:</w:t>
      </w:r>
    </w:p>
    <w:p>
      <w:pPr>
        <w:pStyle w:val="CorpoAltF0"/>
        <w:spacing w:before="120"/>
        <w:jc w:val="center"/>
      </w:pPr>
      <w:r>
        <w:rPr>
          <w:noProof/>
        </w:rPr>
        <w:drawing>
          <wp:inline distT="0" distB="0" distL="0" distR="0">
            <wp:extent cx="5038725" cy="1752600"/>
            <wp:effectExtent l="0" t="0" r="9525"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38725" cy="1752600"/>
                    </a:xfrm>
                    <a:prstGeom prst="rect">
                      <a:avLst/>
                    </a:prstGeom>
                    <a:noFill/>
                    <a:ln>
                      <a:noFill/>
                    </a:ln>
                  </pic:spPr>
                </pic:pic>
              </a:graphicData>
            </a:graphic>
          </wp:inline>
        </w:drawing>
      </w:r>
    </w:p>
    <w:p>
      <w:pPr>
        <w:pStyle w:val="CorpoAltF0"/>
      </w:pPr>
    </w:p>
    <w:p>
      <w:pPr>
        <w:pStyle w:val="CorpoAltF0"/>
      </w:pPr>
      <w:r>
        <w:t>Se valorizzato, consentirà al programma di riportare nel file per i dipendenti che risultano in forza il primo aprile 2019 e ai quali risulta collegata una tabella “</w:t>
      </w:r>
      <w:r>
        <w:rPr>
          <w:i/>
        </w:rPr>
        <w:t>Contributi altri enti azienda/dipendente</w:t>
      </w:r>
      <w:r>
        <w:t>” (</w:t>
      </w:r>
      <w:r>
        <w:rPr>
          <w:b/>
        </w:rPr>
        <w:t>TB0306</w:t>
      </w:r>
      <w:r>
        <w:t xml:space="preserve">) con un rigo di contribuzione a importo abbinato al codice ente interno </w:t>
      </w:r>
      <w:r>
        <w:rPr>
          <w:b/>
        </w:rPr>
        <w:t>130</w:t>
      </w:r>
      <w:r>
        <w:t>, l’importo di 40 euro.</w:t>
      </w:r>
    </w:p>
    <w:p>
      <w:pPr>
        <w:pStyle w:val="CorpoAltF0"/>
        <w:spacing w:before="60"/>
      </w:pPr>
      <w:r>
        <w:t>Per i lavoratori assunti successivamente al primo aprile il calcolo della contribuzione inizierà dal mese di luglio 2019.</w:t>
      </w:r>
    </w:p>
    <w:p>
      <w:pPr>
        <w:pStyle w:val="CorpoAltF0"/>
        <w:spacing w:before="60"/>
      </w:pPr>
      <w:r>
        <w:t>Il nuovo campo deve essere utilizzato in concomitanza del valore “</w:t>
      </w:r>
      <w:r>
        <w:rPr>
          <w:i/>
        </w:rPr>
        <w:t>Si</w:t>
      </w:r>
      <w:r>
        <w:t>” al campo “</w:t>
      </w:r>
      <w:r>
        <w:rPr>
          <w:i/>
        </w:rPr>
        <w:t>Genera da dati anagrafici</w:t>
      </w:r>
      <w:r>
        <w:t>”, altrimenti il programma in fase di elaborazione evidenzierà il messaggio di seguito esposto non effettuando la generazione del telematico:</w:t>
      </w:r>
    </w:p>
    <w:p>
      <w:pPr>
        <w:pStyle w:val="CorpoAltF0"/>
        <w:spacing w:before="120"/>
        <w:jc w:val="center"/>
      </w:pPr>
      <w:r>
        <w:rPr>
          <w:noProof/>
        </w:rPr>
        <w:drawing>
          <wp:inline distT="0" distB="0" distL="0" distR="0">
            <wp:extent cx="3600450" cy="1800225"/>
            <wp:effectExtent l="0" t="0" r="0" b="9525"/>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0450" cy="1800225"/>
                    </a:xfrm>
                    <a:prstGeom prst="rect">
                      <a:avLst/>
                    </a:prstGeom>
                    <a:noFill/>
                    <a:ln>
                      <a:noFill/>
                    </a:ln>
                  </pic:spPr>
                </pic:pic>
              </a:graphicData>
            </a:graphic>
          </wp:inline>
        </w:drawing>
      </w:r>
    </w:p>
    <w:p>
      <w:pPr>
        <w:pStyle w:val="CorpoAltF0"/>
      </w:pPr>
    </w:p>
    <w:p>
      <w:pPr>
        <w:pStyle w:val="CorpoAltF0"/>
      </w:pPr>
    </w:p>
    <w:p>
      <w:pPr>
        <w:pStyle w:val="CorpoAltF0"/>
      </w:pPr>
    </w:p>
    <w:p>
      <w:pPr>
        <w:pStyle w:val="CorpoAltF0"/>
      </w:pPr>
    </w:p>
    <w:p>
      <w:pPr>
        <w:pStyle w:val="CorpoAltF0"/>
        <w:spacing w:before="60"/>
      </w:pPr>
    </w:p>
    <w:sectPr>
      <w:headerReference w:type="default" r:id="rId26"/>
      <w:footerReference w:type="default" r:id="rId27"/>
      <w:pgSz w:w="11907" w:h="16840" w:code="9"/>
      <w:pgMar w:top="567" w:right="1134" w:bottom="1134" w:left="1134" w:header="397" w:footer="397" w:gutter="0"/>
      <w:pgNumType w:chapStyle="1" w:chapSep="period"/>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
        <w:separator/>
      </w:r>
    </w:p>
  </w:endnote>
  <w:endnote w:type="continuationSeparator" w:id="0">
    <w:p>
      <w:r>
        <w:continuationSeparator/>
      </w:r>
    </w:p>
  </w:endnote>
  <w:endnote w:type="continuationNotice" w:id="1">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erlin Sans FB">
    <w:panose1 w:val="020E0602020502020306"/>
    <w:charset w:val="00"/>
    <w:family w:val="swiss"/>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pPr>
      <w:pStyle w:val="CorpoAltF0"/>
      <w:jc w:val="center"/>
      <w:rPr>
        <w:sz w:val="10"/>
        <w:szCs w:val="10"/>
      </w:rPr>
    </w:pPr>
    <w:r>
      <w:rPr>
        <w:noProof/>
        <w:sz w:val="10"/>
        <w:szCs w:val="10"/>
      </w:rPr>
      <w:drawing>
        <wp:inline distT="0" distB="0" distL="0" distR="0">
          <wp:extent cx="6120000" cy="36000"/>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000" cy="36000"/>
                  </a:xfrm>
                  <a:prstGeom prst="rect">
                    <a:avLst/>
                  </a:prstGeom>
                  <a:noFill/>
                  <a:ln>
                    <a:noFill/>
                  </a:ln>
                </pic:spPr>
              </pic:pic>
            </a:graphicData>
          </a:graphic>
        </wp:inline>
      </w:drawing>
    </w:r>
  </w:p>
  <w:tbl>
    <w:tblPr>
      <w:tblW w:w="9639" w:type="dxa"/>
      <w:jc w:val="center"/>
      <w:tblLayout w:type="fixed"/>
      <w:tblCellMar>
        <w:left w:w="70" w:type="dxa"/>
        <w:right w:w="70" w:type="dxa"/>
      </w:tblCellMar>
      <w:tblLook w:val="0000" w:firstRow="0" w:lastRow="0" w:firstColumn="0" w:lastColumn="0" w:noHBand="0" w:noVBand="0"/>
    </w:tblPr>
    <w:tblGrid>
      <w:gridCol w:w="2977"/>
      <w:gridCol w:w="4961"/>
      <w:gridCol w:w="1701"/>
    </w:tblGrid>
    <w:tr>
      <w:trPr>
        <w:trHeight w:hRule="exact" w:val="567"/>
        <w:jc w:val="center"/>
      </w:trPr>
      <w:tc>
        <w:tcPr>
          <w:tcW w:w="2977" w:type="dxa"/>
          <w:tcMar>
            <w:left w:w="0" w:type="dxa"/>
          </w:tcMar>
          <w:vAlign w:val="center"/>
        </w:tcPr>
        <w:p>
          <w:pPr>
            <w:spacing w:line="240" w:lineRule="atLeast"/>
            <w:ind w:right="360"/>
            <w:rPr>
              <w:rStyle w:val="Numeropagina"/>
              <w:rFonts w:ascii="Courier" w:hAnsi="Courier"/>
              <w:b/>
            </w:rPr>
          </w:pPr>
        </w:p>
      </w:tc>
      <w:tc>
        <w:tcPr>
          <w:tcW w:w="4961" w:type="dxa"/>
        </w:tcPr>
        <w:p>
          <w:pPr>
            <w:spacing w:line="240" w:lineRule="atLeast"/>
            <w:jc w:val="center"/>
            <w:rPr>
              <w:rStyle w:val="Numeropagina"/>
              <w:rFonts w:ascii="Arial" w:hAnsi="Arial" w:cs="Arial"/>
              <w:i/>
              <w:sz w:val="20"/>
            </w:rPr>
          </w:pPr>
          <w:r>
            <w:rPr>
              <w:rStyle w:val="Numeropagina"/>
              <w:rFonts w:ascii="Arial" w:hAnsi="Arial" w:cs="Arial"/>
              <w:i/>
              <w:sz w:val="20"/>
            </w:rPr>
            <w:t>Integrazione alla guida utente</w:t>
          </w:r>
        </w:p>
        <w:p>
          <w:pPr>
            <w:jc w:val="center"/>
            <w:rPr>
              <w:rFonts w:ascii="Arial" w:hAnsi="Arial" w:cs="Arial"/>
              <w:i/>
              <w:sz w:val="20"/>
              <w:szCs w:val="20"/>
            </w:rPr>
          </w:pPr>
          <w:r>
            <w:rPr>
              <w:rFonts w:ascii="Arial" w:hAnsi="Arial" w:cs="Arial"/>
              <w:i/>
              <w:sz w:val="20"/>
              <w:szCs w:val="20"/>
            </w:rPr>
            <w:t>PAGHE 2019.1.2</w:t>
          </w:r>
        </w:p>
      </w:tc>
      <w:tc>
        <w:tcPr>
          <w:tcW w:w="1701" w:type="dxa"/>
        </w:tcPr>
        <w:p>
          <w:pPr>
            <w:spacing w:line="240" w:lineRule="atLeast"/>
            <w:ind w:right="141"/>
            <w:jc w:val="right"/>
            <w:rPr>
              <w:rStyle w:val="Numeropagina"/>
              <w:rFonts w:ascii="Arial" w:hAnsi="Arial" w:cs="Arial"/>
              <w:sz w:val="20"/>
            </w:rPr>
          </w:pPr>
          <w:r>
            <w:rPr>
              <w:rStyle w:val="Numeropagina"/>
              <w:rFonts w:ascii="Arial" w:hAnsi="Arial" w:cs="Arial"/>
              <w:sz w:val="20"/>
            </w:rPr>
            <w:fldChar w:fldCharType="begin"/>
          </w:r>
          <w:r>
            <w:rPr>
              <w:rStyle w:val="Numeropagina"/>
              <w:rFonts w:ascii="Arial" w:hAnsi="Arial" w:cs="Arial"/>
              <w:sz w:val="20"/>
            </w:rPr>
            <w:instrText xml:space="preserve"> PAGE </w:instrText>
          </w:r>
          <w:r>
            <w:rPr>
              <w:rStyle w:val="Numeropagina"/>
              <w:rFonts w:ascii="Arial" w:hAnsi="Arial" w:cs="Arial"/>
              <w:sz w:val="20"/>
            </w:rPr>
            <w:fldChar w:fldCharType="separate"/>
          </w:r>
          <w:r>
            <w:rPr>
              <w:rStyle w:val="Numeropagina"/>
              <w:rFonts w:ascii="Arial" w:hAnsi="Arial" w:cs="Arial"/>
              <w:noProof/>
              <w:sz w:val="20"/>
            </w:rPr>
            <w:t>1</w:t>
          </w:r>
          <w:r>
            <w:rPr>
              <w:rStyle w:val="Numeropagina"/>
              <w:rFonts w:ascii="Arial" w:hAnsi="Arial" w:cs="Arial"/>
              <w:sz w:val="20"/>
            </w:rPr>
            <w:fldChar w:fldCharType="end"/>
          </w:r>
        </w:p>
      </w:tc>
    </w:tr>
  </w:tbl>
  <w:p>
    <w:pPr>
      <w:pStyle w:val="corpoAltF"/>
      <w:rPr>
        <w:sz w:val="10"/>
        <w:szCs w:val="1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pPr>
      <w:pStyle w:val="CorpoAltF0"/>
      <w:jc w:val="center"/>
      <w:rPr>
        <w:sz w:val="10"/>
        <w:szCs w:val="10"/>
      </w:rPr>
    </w:pPr>
    <w:r>
      <w:rPr>
        <w:noProof/>
        <w:sz w:val="10"/>
        <w:szCs w:val="10"/>
      </w:rPr>
      <w:drawing>
        <wp:inline distT="0" distB="0" distL="0" distR="0">
          <wp:extent cx="6120000" cy="36000"/>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000" cy="36000"/>
                  </a:xfrm>
                  <a:prstGeom prst="rect">
                    <a:avLst/>
                  </a:prstGeom>
                  <a:noFill/>
                  <a:ln>
                    <a:noFill/>
                  </a:ln>
                </pic:spPr>
              </pic:pic>
            </a:graphicData>
          </a:graphic>
        </wp:inline>
      </w:drawing>
    </w:r>
  </w:p>
  <w:tbl>
    <w:tblPr>
      <w:tblW w:w="9639" w:type="dxa"/>
      <w:jc w:val="center"/>
      <w:tblLayout w:type="fixed"/>
      <w:tblCellMar>
        <w:left w:w="70" w:type="dxa"/>
        <w:right w:w="70" w:type="dxa"/>
      </w:tblCellMar>
      <w:tblLook w:val="0000" w:firstRow="0" w:lastRow="0" w:firstColumn="0" w:lastColumn="0" w:noHBand="0" w:noVBand="0"/>
    </w:tblPr>
    <w:tblGrid>
      <w:gridCol w:w="2977"/>
      <w:gridCol w:w="4961"/>
      <w:gridCol w:w="1701"/>
    </w:tblGrid>
    <w:tr>
      <w:trPr>
        <w:trHeight w:hRule="exact" w:val="567"/>
        <w:jc w:val="center"/>
      </w:trPr>
      <w:tc>
        <w:tcPr>
          <w:tcW w:w="2977" w:type="dxa"/>
          <w:tcMar>
            <w:left w:w="0" w:type="dxa"/>
          </w:tcMar>
          <w:vAlign w:val="center"/>
        </w:tcPr>
        <w:p>
          <w:pPr>
            <w:spacing w:line="240" w:lineRule="atLeast"/>
            <w:ind w:right="360"/>
            <w:rPr>
              <w:rStyle w:val="Numeropagina"/>
              <w:rFonts w:ascii="Courier" w:hAnsi="Courier"/>
              <w:b/>
            </w:rPr>
          </w:pPr>
          <w:r>
            <w:rPr>
              <w:rFonts w:ascii="Courier" w:hAnsi="Courier"/>
              <w:b/>
              <w:noProof/>
            </w:rPr>
            <w:drawing>
              <wp:inline distT="0" distB="0" distL="0" distR="0">
                <wp:extent cx="1612800" cy="349200"/>
                <wp:effectExtent l="0" t="0" r="0" b="0"/>
                <wp:docPr id="12" name="Immagine 12" descr="Logo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ogo_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12800" cy="349200"/>
                        </a:xfrm>
                        <a:prstGeom prst="rect">
                          <a:avLst/>
                        </a:prstGeom>
                        <a:noFill/>
                        <a:ln>
                          <a:noFill/>
                        </a:ln>
                      </pic:spPr>
                    </pic:pic>
                  </a:graphicData>
                </a:graphic>
              </wp:inline>
            </w:drawing>
          </w:r>
        </w:p>
      </w:tc>
      <w:tc>
        <w:tcPr>
          <w:tcW w:w="4961" w:type="dxa"/>
        </w:tcPr>
        <w:p>
          <w:pPr>
            <w:spacing w:line="240" w:lineRule="atLeast"/>
            <w:jc w:val="center"/>
            <w:rPr>
              <w:rStyle w:val="Numeropagina"/>
              <w:rFonts w:ascii="Arial" w:hAnsi="Arial" w:cs="Arial"/>
              <w:i/>
              <w:sz w:val="20"/>
            </w:rPr>
          </w:pPr>
          <w:r>
            <w:rPr>
              <w:rStyle w:val="Numeropagina"/>
              <w:rFonts w:ascii="Arial" w:hAnsi="Arial" w:cs="Arial"/>
              <w:i/>
              <w:sz w:val="20"/>
            </w:rPr>
            <w:t>Integrazione alla guida utente</w:t>
          </w:r>
        </w:p>
        <w:p>
          <w:pPr>
            <w:jc w:val="center"/>
            <w:rPr>
              <w:rFonts w:ascii="Arial" w:hAnsi="Arial" w:cs="Arial"/>
              <w:i/>
              <w:sz w:val="20"/>
              <w:szCs w:val="20"/>
            </w:rPr>
          </w:pPr>
          <w:r>
            <w:rPr>
              <w:rFonts w:ascii="Arial" w:hAnsi="Arial" w:cs="Arial"/>
              <w:i/>
              <w:sz w:val="20"/>
              <w:szCs w:val="20"/>
            </w:rPr>
            <w:t>PAGHE 2019.1.2</w:t>
          </w:r>
        </w:p>
      </w:tc>
      <w:tc>
        <w:tcPr>
          <w:tcW w:w="1701" w:type="dxa"/>
        </w:tcPr>
        <w:p>
          <w:pPr>
            <w:spacing w:line="240" w:lineRule="atLeast"/>
            <w:ind w:right="213"/>
            <w:jc w:val="right"/>
            <w:rPr>
              <w:rStyle w:val="Numeropagina"/>
              <w:rFonts w:ascii="Arial" w:hAnsi="Arial" w:cs="Arial"/>
              <w:sz w:val="20"/>
            </w:rPr>
          </w:pPr>
          <w:r>
            <w:rPr>
              <w:rStyle w:val="Numeropagina"/>
              <w:rFonts w:ascii="Arial" w:hAnsi="Arial" w:cs="Arial"/>
              <w:sz w:val="20"/>
            </w:rPr>
            <w:fldChar w:fldCharType="begin"/>
          </w:r>
          <w:r>
            <w:rPr>
              <w:rStyle w:val="Numeropagina"/>
              <w:rFonts w:ascii="Arial" w:hAnsi="Arial" w:cs="Arial"/>
              <w:sz w:val="20"/>
            </w:rPr>
            <w:instrText xml:space="preserve"> PAGE </w:instrText>
          </w:r>
          <w:r>
            <w:rPr>
              <w:rStyle w:val="Numeropagina"/>
              <w:rFonts w:ascii="Arial" w:hAnsi="Arial" w:cs="Arial"/>
              <w:sz w:val="20"/>
            </w:rPr>
            <w:fldChar w:fldCharType="separate"/>
          </w:r>
          <w:r>
            <w:rPr>
              <w:rStyle w:val="Numeropagina"/>
              <w:rFonts w:ascii="Arial" w:hAnsi="Arial" w:cs="Arial"/>
              <w:noProof/>
              <w:sz w:val="20"/>
            </w:rPr>
            <w:t>3</w:t>
          </w:r>
          <w:r>
            <w:rPr>
              <w:rStyle w:val="Numeropagina"/>
              <w:rFonts w:ascii="Arial" w:hAnsi="Arial" w:cs="Arial"/>
              <w:sz w:val="20"/>
            </w:rPr>
            <w:fldChar w:fldCharType="end"/>
          </w:r>
        </w:p>
        <w:p>
          <w:pPr>
            <w:spacing w:line="240" w:lineRule="atLeast"/>
            <w:jc w:val="right"/>
            <w:rPr>
              <w:rStyle w:val="Numeropagina"/>
              <w:rFonts w:ascii="Arial" w:hAnsi="Arial" w:cs="Arial"/>
              <w:sz w:val="20"/>
            </w:rPr>
          </w:pPr>
          <w:r>
            <w:rPr>
              <w:rStyle w:val="Numeropagina"/>
              <w:rFonts w:ascii="Arial" w:hAnsi="Arial" w:cs="Arial"/>
              <w:noProof/>
              <w:sz w:val="20"/>
            </w:rPr>
            <mc:AlternateContent>
              <mc:Choice Requires="wps">
                <w:drawing>
                  <wp:inline distT="0" distB="0" distL="0" distR="0">
                    <wp:extent cx="871220" cy="158115"/>
                    <wp:effectExtent l="9525" t="9525" r="5080" b="13335"/>
                    <wp:docPr id="1"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1220" cy="158115"/>
                            </a:xfrm>
                            <a:prstGeom prst="roundRect">
                              <a:avLst>
                                <a:gd name="adj" fmla="val 16667"/>
                              </a:avLst>
                            </a:prstGeom>
                            <a:noFill/>
                            <a:ln w="9525">
                              <a:solidFill>
                                <a:schemeClr val="accent1">
                                  <a:lumMod val="75000"/>
                                  <a:lumOff val="0"/>
                                </a:schemeClr>
                              </a:solidFill>
                              <a:round/>
                              <a:headEnd/>
                              <a:tailEnd/>
                            </a:ln>
                            <a:extLst>
                              <a:ext uri="{909E8E84-426E-40DD-AFC4-6F175D3DCCD1}">
                                <a14:hiddenFill xmlns:a14="http://schemas.microsoft.com/office/drawing/2010/main">
                                  <a:solidFill>
                                    <a:srgbClr val="365F91"/>
                                  </a:solidFill>
                                </a14:hiddenFill>
                              </a:ext>
                            </a:extLst>
                          </wps:spPr>
                          <wps:txbx>
                            <w:txbxContent>
                              <w:p>
                                <w:pPr>
                                  <w:jc w:val="center"/>
                                  <w:rPr>
                                    <w:rFonts w:ascii="Verdana" w:hAnsi="Verdana"/>
                                    <w:b/>
                                    <w:color w:val="365F91"/>
                                    <w:sz w:val="12"/>
                                    <w:szCs w:val="12"/>
                                  </w:rPr>
                                </w:pPr>
                                <w:hyperlink w:anchor="INDICE" w:history="1">
                                  <w:r>
                                    <w:rPr>
                                      <w:rStyle w:val="Collegamentoipertestuale"/>
                                      <w:rFonts w:ascii="Verdana" w:hAnsi="Verdana"/>
                                      <w:b/>
                                      <w:color w:val="365F91"/>
                                      <w:sz w:val="12"/>
                                      <w:szCs w:val="12"/>
                                    </w:rPr>
                                    <w:t>Torna all’indice</w:t>
                                  </w:r>
                                </w:hyperlink>
                              </w:p>
                            </w:txbxContent>
                          </wps:txbx>
                          <wps:bodyPr rot="0" vert="horz" wrap="square" lIns="91440" tIns="10800" rIns="91440" bIns="10800" anchor="t" anchorCtr="0" upright="1">
                            <a:noAutofit/>
                          </wps:bodyPr>
                        </wps:wsp>
                      </a:graphicData>
                    </a:graphic>
                  </wp:inline>
                </w:drawing>
              </mc:Choice>
              <mc:Fallback>
                <w:pict>
                  <v:roundrect id="AutoShape 1" o:spid="_x0000_s1026" style="width:68.6pt;height:12.4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" filled="f" fillcolor="#365f91" strokecolor="#365f91 [2404]">
                    <v:textbox inset=",.3mm,,.3mm">
                      <w:txbxContent>
                        <w:p>
                          <w:pPr>
                            <w:jc w:val="center"/>
                            <w:rPr>
                              <w:rFonts w:ascii="Verdana" w:hAnsi="Verdana"/>
                              <w:b/>
                              <w:color w:val="365F91"/>
                              <w:sz w:val="12"/>
                              <w:szCs w:val="12"/>
                            </w:rPr>
                          </w:pPr>
                          <w:hyperlink w:anchor="INDICE" w:history="1">
                            <w:r>
                              <w:rPr>
                                <w:rStyle w:val="Collegamentoipertestuale"/>
                                <w:rFonts w:ascii="Verdana" w:hAnsi="Verdana"/>
                                <w:b/>
                                <w:color w:val="365F91"/>
                                <w:sz w:val="12"/>
                                <w:szCs w:val="12"/>
                              </w:rPr>
                              <w:t>Torna all’indice</w:t>
                            </w:r>
                          </w:hyperlink>
                        </w:p>
                      </w:txbxContent>
                    </v:textbox>
                    <w10:anchorlock/>
                  </v:roundrect>
                </w:pict>
              </mc:Fallback>
            </mc:AlternateContent>
          </w:r>
        </w:p>
      </w:tc>
    </w:tr>
  </w:tbl>
  <w:p>
    <w:pPr>
      <w:pStyle w:val="corpoAltF"/>
      <w:rPr>
        <w:sz w:val="10"/>
        <w:szCs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
        <w:separator/>
      </w:r>
    </w:p>
  </w:footnote>
  <w:footnote w:type="continuationSeparator" w:id="0">
    <w:p>
      <w:r>
        <w:continuationSeparator/>
      </w:r>
    </w:p>
  </w:footnote>
  <w:footnote w:type="continuationNotice" w:id="1">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0" w:type="dxa"/>
        <w:bottom w:w="28" w:type="dxa"/>
        <w:right w:w="0" w:type="dxa"/>
      </w:tblCellMar>
      <w:tblLook w:val="0000" w:firstRow="0" w:lastRow="0" w:firstColumn="0" w:lastColumn="0" w:noHBand="0" w:noVBand="0"/>
    </w:tblPr>
    <w:tblGrid>
      <w:gridCol w:w="2835"/>
      <w:gridCol w:w="4663"/>
      <w:gridCol w:w="2141"/>
    </w:tblGrid>
    <w:tr>
      <w:trPr>
        <w:cantSplit/>
      </w:trPr>
      <w:tc>
        <w:tcPr>
          <w:tcW w:w="2835" w:type="dxa"/>
          <w:tcBorders>
            <w:top w:val="nil"/>
            <w:left w:val="nil"/>
            <w:bottom w:val="single" w:sz="4" w:space="0" w:color="auto"/>
            <w:right w:val="nil"/>
          </w:tcBorders>
        </w:tcPr>
        <w:p>
          <w:pPr>
            <w:pStyle w:val="Intestazione"/>
            <w:spacing w:before="20" w:after="20"/>
            <w:rPr>
              <w:rFonts w:ascii="Courier" w:hAnsi="Courier"/>
              <w:b/>
            </w:rPr>
          </w:pPr>
          <w:r>
            <w:rPr>
              <w:rFonts w:ascii="Courier" w:hAnsi="Courier"/>
              <w:b/>
              <w:noProof/>
            </w:rPr>
            <w:drawing>
              <wp:inline distT="0" distB="0" distL="0" distR="0">
                <wp:extent cx="1693545" cy="367030"/>
                <wp:effectExtent l="0" t="0" r="1905" b="0"/>
                <wp:docPr id="7" name="Immagine 7" descr="Logo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3545" cy="367030"/>
                        </a:xfrm>
                        <a:prstGeom prst="rect">
                          <a:avLst/>
                        </a:prstGeom>
                        <a:noFill/>
                        <a:ln>
                          <a:noFill/>
                        </a:ln>
                      </pic:spPr>
                    </pic:pic>
                  </a:graphicData>
                </a:graphic>
              </wp:inline>
            </w:drawing>
          </w:r>
        </w:p>
      </w:tc>
      <w:tc>
        <w:tcPr>
          <w:tcW w:w="4663" w:type="dxa"/>
          <w:tcBorders>
            <w:top w:val="nil"/>
            <w:left w:val="nil"/>
            <w:bottom w:val="single" w:sz="4" w:space="0" w:color="auto"/>
            <w:right w:val="nil"/>
          </w:tcBorders>
          <w:vAlign w:val="bottom"/>
        </w:tcPr>
        <w:p>
          <w:pPr>
            <w:pStyle w:val="Intestazione"/>
            <w:jc w:val="center"/>
            <w:rPr>
              <w:rFonts w:ascii="Arial" w:hAnsi="Arial" w:cs="Arial"/>
              <w:b/>
              <w:bCs/>
              <w:sz w:val="18"/>
            </w:rPr>
          </w:pPr>
          <w:r>
            <w:rPr>
              <w:rFonts w:ascii="Arial" w:hAnsi="Arial" w:cs="Arial"/>
              <w:b/>
              <w:bCs/>
              <w:color w:val="000080"/>
            </w:rPr>
            <w:t>NOTE OPERATIVE DI RELEASE</w:t>
          </w:r>
        </w:p>
      </w:tc>
      <w:tc>
        <w:tcPr>
          <w:tcW w:w="2141" w:type="dxa"/>
          <w:tcBorders>
            <w:top w:val="nil"/>
            <w:left w:val="nil"/>
            <w:bottom w:val="single" w:sz="4" w:space="0" w:color="auto"/>
            <w:right w:val="nil"/>
          </w:tcBorders>
          <w:vAlign w:val="bottom"/>
        </w:tcPr>
        <w:p>
          <w:pPr>
            <w:pStyle w:val="Intestazione"/>
            <w:jc w:val="right"/>
            <w:rPr>
              <w:rFonts w:ascii="Arial" w:hAnsi="Arial" w:cs="Arial"/>
            </w:rPr>
          </w:pPr>
        </w:p>
      </w:tc>
    </w:tr>
    <w:tr>
      <w:trPr>
        <w:cantSplit/>
      </w:trPr>
      <w:tc>
        <w:tcPr>
          <w:tcW w:w="9639" w:type="dxa"/>
          <w:gridSpan w:val="3"/>
          <w:tcBorders>
            <w:top w:val="single" w:sz="4" w:space="0" w:color="auto"/>
            <w:left w:val="nil"/>
            <w:bottom w:val="nil"/>
            <w:right w:val="nil"/>
          </w:tcBorders>
          <w:vAlign w:val="bottom"/>
        </w:tcPr>
        <w:p>
          <w:pPr>
            <w:pStyle w:val="Intestazione"/>
            <w:jc w:val="center"/>
            <w:rPr>
              <w:rFonts w:ascii="Arial" w:hAnsi="Arial" w:cs="Arial"/>
              <w:color w:val="000080"/>
              <w:sz w:val="12"/>
            </w:rPr>
          </w:pPr>
        </w:p>
        <w:p>
          <w:pPr>
            <w:pStyle w:val="Intestazione"/>
            <w:jc w:val="center"/>
            <w:rPr>
              <w:rFonts w:ascii="Arial" w:hAnsi="Arial" w:cs="Arial"/>
              <w:color w:val="000080"/>
              <w:sz w:val="16"/>
            </w:rPr>
          </w:pPr>
          <w:r>
            <w:rPr>
              <w:rFonts w:ascii="Arial" w:hAnsi="Arial" w:cs="Arial"/>
              <w:color w:val="000080"/>
              <w:sz w:val="16"/>
            </w:rPr>
            <w:t>Il presente documento costituisce un’integrazione al manuale utente del prodotto ed evidenzia le variazioni apportate con la release.</w:t>
          </w:r>
        </w:p>
        <w:p>
          <w:pPr>
            <w:pStyle w:val="Intestazione"/>
            <w:rPr>
              <w:rFonts w:ascii="Arial" w:hAnsi="Arial" w:cs="Arial"/>
              <w:b/>
              <w:bCs/>
              <w:color w:val="000080"/>
              <w:sz w:val="10"/>
              <w:szCs w:val="10"/>
            </w:rPr>
          </w:pPr>
        </w:p>
      </w:tc>
    </w:tr>
  </w:tbl>
  <w:p>
    <w:pPr>
      <w:pStyle w:val="CorpoAltF0"/>
      <w:rPr>
        <w:sz w:val="1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639" w:type="dxa"/>
      <w:tblInd w:w="70" w:type="dxa"/>
      <w:tblBorders>
        <w:bottom w:val="single" w:sz="12" w:space="0" w:color="auto"/>
      </w:tblBorders>
      <w:tblCellMar>
        <w:left w:w="70" w:type="dxa"/>
        <w:right w:w="70" w:type="dxa"/>
      </w:tblCellMar>
      <w:tblLook w:val="0000" w:firstRow="0" w:lastRow="0" w:firstColumn="0" w:lastColumn="0" w:noHBand="0" w:noVBand="0"/>
    </w:tblPr>
    <w:tblGrid>
      <w:gridCol w:w="9639"/>
    </w:tblGrid>
    <w:tr>
      <w:trPr>
        <w:trHeight w:hRule="exact" w:val="567"/>
      </w:trPr>
      <w:tc>
        <w:tcPr>
          <w:tcW w:w="9639" w:type="dxa"/>
        </w:tcPr>
        <w:p>
          <w:pPr>
            <w:pStyle w:val="TS-testata-01"/>
            <w:tabs>
              <w:tab w:val="clear" w:pos="9638"/>
            </w:tabs>
            <w:rPr>
              <w:b w:val="0"/>
              <w:color w:val="FFFFFF"/>
              <w:sz w:val="32"/>
            </w:rPr>
          </w:pPr>
          <w:r>
            <w:t>PAGHE – IMPLEMENTAZIONI</w:t>
          </w:r>
        </w:p>
      </w:tc>
    </w:tr>
  </w:tbl>
  <w:p>
    <w:pPr>
      <w:pStyle w:val="corpoAltF"/>
      <w:rPr>
        <w:sz w:val="10"/>
        <w:szCs w:val="1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C6E2A"/>
    <w:multiLevelType w:val="hybridMultilevel"/>
    <w:tmpl w:val="7F86A352"/>
    <w:lvl w:ilvl="0" w:tplc="4358F4A8">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CD91007"/>
    <w:multiLevelType w:val="hybridMultilevel"/>
    <w:tmpl w:val="3F589400"/>
    <w:lvl w:ilvl="0" w:tplc="0410000B">
      <w:start w:val="1"/>
      <w:numFmt w:val="bullet"/>
      <w:lvlText w:val=""/>
      <w:lvlJc w:val="left"/>
      <w:pPr>
        <w:tabs>
          <w:tab w:val="num" w:pos="1276"/>
        </w:tabs>
        <w:ind w:left="1276" w:hanging="360"/>
      </w:pPr>
      <w:rPr>
        <w:rFonts w:ascii="Wingdings" w:hAnsi="Wingdings" w:hint="default"/>
      </w:rPr>
    </w:lvl>
    <w:lvl w:ilvl="1" w:tplc="04100003" w:tentative="1">
      <w:start w:val="1"/>
      <w:numFmt w:val="bullet"/>
      <w:lvlText w:val="o"/>
      <w:lvlJc w:val="left"/>
      <w:pPr>
        <w:tabs>
          <w:tab w:val="num" w:pos="1996"/>
        </w:tabs>
        <w:ind w:left="1996" w:hanging="360"/>
      </w:pPr>
      <w:rPr>
        <w:rFonts w:ascii="Courier New" w:hAnsi="Courier New" w:cs="Courier New" w:hint="default"/>
      </w:rPr>
    </w:lvl>
    <w:lvl w:ilvl="2" w:tplc="04100005" w:tentative="1">
      <w:start w:val="1"/>
      <w:numFmt w:val="bullet"/>
      <w:lvlText w:val=""/>
      <w:lvlJc w:val="left"/>
      <w:pPr>
        <w:tabs>
          <w:tab w:val="num" w:pos="2716"/>
        </w:tabs>
        <w:ind w:left="2716" w:hanging="360"/>
      </w:pPr>
      <w:rPr>
        <w:rFonts w:ascii="Wingdings" w:hAnsi="Wingdings" w:hint="default"/>
      </w:rPr>
    </w:lvl>
    <w:lvl w:ilvl="3" w:tplc="04100001" w:tentative="1">
      <w:start w:val="1"/>
      <w:numFmt w:val="bullet"/>
      <w:lvlText w:val=""/>
      <w:lvlJc w:val="left"/>
      <w:pPr>
        <w:tabs>
          <w:tab w:val="num" w:pos="3436"/>
        </w:tabs>
        <w:ind w:left="3436" w:hanging="360"/>
      </w:pPr>
      <w:rPr>
        <w:rFonts w:ascii="Symbol" w:hAnsi="Symbol" w:hint="default"/>
      </w:rPr>
    </w:lvl>
    <w:lvl w:ilvl="4" w:tplc="04100003" w:tentative="1">
      <w:start w:val="1"/>
      <w:numFmt w:val="bullet"/>
      <w:lvlText w:val="o"/>
      <w:lvlJc w:val="left"/>
      <w:pPr>
        <w:tabs>
          <w:tab w:val="num" w:pos="4156"/>
        </w:tabs>
        <w:ind w:left="4156" w:hanging="360"/>
      </w:pPr>
      <w:rPr>
        <w:rFonts w:ascii="Courier New" w:hAnsi="Courier New" w:cs="Courier New" w:hint="default"/>
      </w:rPr>
    </w:lvl>
    <w:lvl w:ilvl="5" w:tplc="04100005" w:tentative="1">
      <w:start w:val="1"/>
      <w:numFmt w:val="bullet"/>
      <w:lvlText w:val=""/>
      <w:lvlJc w:val="left"/>
      <w:pPr>
        <w:tabs>
          <w:tab w:val="num" w:pos="4876"/>
        </w:tabs>
        <w:ind w:left="4876" w:hanging="360"/>
      </w:pPr>
      <w:rPr>
        <w:rFonts w:ascii="Wingdings" w:hAnsi="Wingdings" w:hint="default"/>
      </w:rPr>
    </w:lvl>
    <w:lvl w:ilvl="6" w:tplc="04100001" w:tentative="1">
      <w:start w:val="1"/>
      <w:numFmt w:val="bullet"/>
      <w:lvlText w:val=""/>
      <w:lvlJc w:val="left"/>
      <w:pPr>
        <w:tabs>
          <w:tab w:val="num" w:pos="5596"/>
        </w:tabs>
        <w:ind w:left="5596" w:hanging="360"/>
      </w:pPr>
      <w:rPr>
        <w:rFonts w:ascii="Symbol" w:hAnsi="Symbol" w:hint="default"/>
      </w:rPr>
    </w:lvl>
    <w:lvl w:ilvl="7" w:tplc="04100003" w:tentative="1">
      <w:start w:val="1"/>
      <w:numFmt w:val="bullet"/>
      <w:lvlText w:val="o"/>
      <w:lvlJc w:val="left"/>
      <w:pPr>
        <w:tabs>
          <w:tab w:val="num" w:pos="6316"/>
        </w:tabs>
        <w:ind w:left="6316" w:hanging="360"/>
      </w:pPr>
      <w:rPr>
        <w:rFonts w:ascii="Courier New" w:hAnsi="Courier New" w:cs="Courier New" w:hint="default"/>
      </w:rPr>
    </w:lvl>
    <w:lvl w:ilvl="8" w:tplc="04100005" w:tentative="1">
      <w:start w:val="1"/>
      <w:numFmt w:val="bullet"/>
      <w:lvlText w:val=""/>
      <w:lvlJc w:val="left"/>
      <w:pPr>
        <w:tabs>
          <w:tab w:val="num" w:pos="7036"/>
        </w:tabs>
        <w:ind w:left="7036" w:hanging="360"/>
      </w:pPr>
      <w:rPr>
        <w:rFonts w:ascii="Wingdings" w:hAnsi="Wingdings" w:hint="default"/>
      </w:rPr>
    </w:lvl>
  </w:abstractNum>
  <w:abstractNum w:abstractNumId="2" w15:restartNumberingAfterBreak="0">
    <w:nsid w:val="101E7BB3"/>
    <w:multiLevelType w:val="hybridMultilevel"/>
    <w:tmpl w:val="B5E6DA8C"/>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6F976F0"/>
    <w:multiLevelType w:val="hybridMultilevel"/>
    <w:tmpl w:val="3B8CEA28"/>
    <w:lvl w:ilvl="0" w:tplc="7520EAF0">
      <w:start w:val="1"/>
      <w:numFmt w:val="bullet"/>
      <w:lvlText w:val=""/>
      <w:lvlJc w:val="left"/>
      <w:pPr>
        <w:tabs>
          <w:tab w:val="num" w:pos="720"/>
        </w:tabs>
        <w:ind w:left="720" w:hanging="360"/>
      </w:pPr>
      <w:rPr>
        <w:rFonts w:ascii="Symbol" w:hAnsi="Symbol" w:hint="default"/>
        <w:sz w:val="20"/>
        <w:szCs w:val="20"/>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7B82C70"/>
    <w:multiLevelType w:val="hybridMultilevel"/>
    <w:tmpl w:val="73FC2366"/>
    <w:lvl w:ilvl="0" w:tplc="77EC24BC">
      <w:start w:val="1"/>
      <w:numFmt w:val="decimal"/>
      <w:lvlText w:val="%1."/>
      <w:lvlJc w:val="left"/>
      <w:pPr>
        <w:tabs>
          <w:tab w:val="num" w:pos="720"/>
        </w:tabs>
        <w:ind w:left="720" w:hanging="360"/>
      </w:pPr>
      <w:rPr>
        <w:rFonts w:hint="default"/>
        <w:b/>
        <w:sz w:val="20"/>
        <w:szCs w:val="20"/>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800756B"/>
    <w:multiLevelType w:val="multilevel"/>
    <w:tmpl w:val="5F76A6EE"/>
    <w:lvl w:ilvl="0">
      <w:start w:val="1"/>
      <w:numFmt w:val="decimal"/>
      <w:pStyle w:val="Titolo1"/>
      <w:suff w:val="space"/>
      <w:lvlText w:val="%1"/>
      <w:lvlJc w:val="left"/>
      <w:pPr>
        <w:ind w:left="432" w:hanging="432"/>
      </w:pPr>
    </w:lvl>
    <w:lvl w:ilvl="1">
      <w:start w:val="1"/>
      <w:numFmt w:val="decimal"/>
      <w:suff w:val="space"/>
      <w:lvlText w:val="%1.%2"/>
      <w:lvlJc w:val="left"/>
      <w:pPr>
        <w:ind w:left="576" w:hanging="576"/>
      </w:pPr>
    </w:lvl>
    <w:lvl w:ilvl="2">
      <w:start w:val="1"/>
      <w:numFmt w:val="decimal"/>
      <w:suff w:val="space"/>
      <w:lvlText w:val="%1.%2.%3"/>
      <w:lvlJc w:val="left"/>
      <w:pPr>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Titolo6"/>
      <w:lvlText w:val="%1.%2.%3.%4.%5.%6"/>
      <w:lvlJc w:val="left"/>
      <w:pPr>
        <w:tabs>
          <w:tab w:val="num" w:pos="1152"/>
        </w:tabs>
        <w:ind w:left="1152" w:hanging="1152"/>
      </w:pPr>
    </w:lvl>
    <w:lvl w:ilvl="6">
      <w:start w:val="1"/>
      <w:numFmt w:val="decimal"/>
      <w:pStyle w:val="Titolo7"/>
      <w:lvlText w:val="%1.%2.%3.%4.%5.%6.%7"/>
      <w:lvlJc w:val="left"/>
      <w:pPr>
        <w:tabs>
          <w:tab w:val="num" w:pos="1296"/>
        </w:tabs>
        <w:ind w:left="1296" w:hanging="1296"/>
      </w:pPr>
    </w:lvl>
    <w:lvl w:ilvl="7">
      <w:start w:val="1"/>
      <w:numFmt w:val="decimal"/>
      <w:pStyle w:val="Titolo8"/>
      <w:lvlText w:val="%1.%2.%3.%4.%5.%6.%7.%8"/>
      <w:lvlJc w:val="left"/>
      <w:pPr>
        <w:tabs>
          <w:tab w:val="num" w:pos="1440"/>
        </w:tabs>
        <w:ind w:left="1440" w:hanging="1440"/>
      </w:pPr>
    </w:lvl>
    <w:lvl w:ilvl="8">
      <w:start w:val="1"/>
      <w:numFmt w:val="decimal"/>
      <w:pStyle w:val="Titolo9"/>
      <w:lvlText w:val="%1.%2.%3.%4.%5.%6.%7.%8.%9"/>
      <w:lvlJc w:val="left"/>
      <w:pPr>
        <w:tabs>
          <w:tab w:val="num" w:pos="1584"/>
        </w:tabs>
        <w:ind w:left="1584" w:hanging="1584"/>
      </w:pPr>
    </w:lvl>
  </w:abstractNum>
  <w:abstractNum w:abstractNumId="6" w15:restartNumberingAfterBreak="0">
    <w:nsid w:val="1AFA318D"/>
    <w:multiLevelType w:val="hybridMultilevel"/>
    <w:tmpl w:val="3B5A4A8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220A24BE"/>
    <w:multiLevelType w:val="hybridMultilevel"/>
    <w:tmpl w:val="4D1A6E1C"/>
    <w:lvl w:ilvl="0" w:tplc="04100001">
      <w:start w:val="1"/>
      <w:numFmt w:val="bullet"/>
      <w:lvlText w:val=""/>
      <w:lvlJc w:val="left"/>
      <w:pPr>
        <w:ind w:left="3240" w:hanging="360"/>
      </w:pPr>
      <w:rPr>
        <w:rFonts w:ascii="Symbol" w:hAnsi="Symbol" w:hint="default"/>
      </w:rPr>
    </w:lvl>
    <w:lvl w:ilvl="1" w:tplc="04100003" w:tentative="1">
      <w:start w:val="1"/>
      <w:numFmt w:val="bullet"/>
      <w:lvlText w:val="o"/>
      <w:lvlJc w:val="left"/>
      <w:pPr>
        <w:ind w:left="3960" w:hanging="360"/>
      </w:pPr>
      <w:rPr>
        <w:rFonts w:ascii="Courier New" w:hAnsi="Courier New" w:cs="Courier New" w:hint="default"/>
      </w:rPr>
    </w:lvl>
    <w:lvl w:ilvl="2" w:tplc="04100005" w:tentative="1">
      <w:start w:val="1"/>
      <w:numFmt w:val="bullet"/>
      <w:lvlText w:val=""/>
      <w:lvlJc w:val="left"/>
      <w:pPr>
        <w:ind w:left="4680" w:hanging="360"/>
      </w:pPr>
      <w:rPr>
        <w:rFonts w:ascii="Wingdings" w:hAnsi="Wingdings" w:hint="default"/>
      </w:rPr>
    </w:lvl>
    <w:lvl w:ilvl="3" w:tplc="04100001" w:tentative="1">
      <w:start w:val="1"/>
      <w:numFmt w:val="bullet"/>
      <w:lvlText w:val=""/>
      <w:lvlJc w:val="left"/>
      <w:pPr>
        <w:ind w:left="5400" w:hanging="360"/>
      </w:pPr>
      <w:rPr>
        <w:rFonts w:ascii="Symbol" w:hAnsi="Symbol" w:hint="default"/>
      </w:rPr>
    </w:lvl>
    <w:lvl w:ilvl="4" w:tplc="04100003" w:tentative="1">
      <w:start w:val="1"/>
      <w:numFmt w:val="bullet"/>
      <w:lvlText w:val="o"/>
      <w:lvlJc w:val="left"/>
      <w:pPr>
        <w:ind w:left="6120" w:hanging="360"/>
      </w:pPr>
      <w:rPr>
        <w:rFonts w:ascii="Courier New" w:hAnsi="Courier New" w:cs="Courier New" w:hint="default"/>
      </w:rPr>
    </w:lvl>
    <w:lvl w:ilvl="5" w:tplc="04100005" w:tentative="1">
      <w:start w:val="1"/>
      <w:numFmt w:val="bullet"/>
      <w:lvlText w:val=""/>
      <w:lvlJc w:val="left"/>
      <w:pPr>
        <w:ind w:left="6840" w:hanging="360"/>
      </w:pPr>
      <w:rPr>
        <w:rFonts w:ascii="Wingdings" w:hAnsi="Wingdings" w:hint="default"/>
      </w:rPr>
    </w:lvl>
    <w:lvl w:ilvl="6" w:tplc="04100001" w:tentative="1">
      <w:start w:val="1"/>
      <w:numFmt w:val="bullet"/>
      <w:lvlText w:val=""/>
      <w:lvlJc w:val="left"/>
      <w:pPr>
        <w:ind w:left="7560" w:hanging="360"/>
      </w:pPr>
      <w:rPr>
        <w:rFonts w:ascii="Symbol" w:hAnsi="Symbol" w:hint="default"/>
      </w:rPr>
    </w:lvl>
    <w:lvl w:ilvl="7" w:tplc="04100003" w:tentative="1">
      <w:start w:val="1"/>
      <w:numFmt w:val="bullet"/>
      <w:lvlText w:val="o"/>
      <w:lvlJc w:val="left"/>
      <w:pPr>
        <w:ind w:left="8280" w:hanging="360"/>
      </w:pPr>
      <w:rPr>
        <w:rFonts w:ascii="Courier New" w:hAnsi="Courier New" w:cs="Courier New" w:hint="default"/>
      </w:rPr>
    </w:lvl>
    <w:lvl w:ilvl="8" w:tplc="04100005" w:tentative="1">
      <w:start w:val="1"/>
      <w:numFmt w:val="bullet"/>
      <w:lvlText w:val=""/>
      <w:lvlJc w:val="left"/>
      <w:pPr>
        <w:ind w:left="9000" w:hanging="360"/>
      </w:pPr>
      <w:rPr>
        <w:rFonts w:ascii="Wingdings" w:hAnsi="Wingdings" w:hint="default"/>
      </w:rPr>
    </w:lvl>
  </w:abstractNum>
  <w:abstractNum w:abstractNumId="8" w15:restartNumberingAfterBreak="0">
    <w:nsid w:val="22C87FE6"/>
    <w:multiLevelType w:val="hybridMultilevel"/>
    <w:tmpl w:val="ECEE0E72"/>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 w15:restartNumberingAfterBreak="0">
    <w:nsid w:val="24980FB8"/>
    <w:multiLevelType w:val="hybridMultilevel"/>
    <w:tmpl w:val="71506B1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2B2B5CA0"/>
    <w:multiLevelType w:val="hybridMultilevel"/>
    <w:tmpl w:val="AE34AE38"/>
    <w:lvl w:ilvl="0" w:tplc="0410000B">
      <w:start w:val="1"/>
      <w:numFmt w:val="bullet"/>
      <w:lvlText w:val=""/>
      <w:lvlJc w:val="left"/>
      <w:pPr>
        <w:tabs>
          <w:tab w:val="num" w:pos="360"/>
        </w:tabs>
        <w:ind w:left="36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1F07527"/>
    <w:multiLevelType w:val="hybridMultilevel"/>
    <w:tmpl w:val="39AC0430"/>
    <w:lvl w:ilvl="0" w:tplc="433CD00A">
      <w:start w:val="1"/>
      <w:numFmt w:val="bullet"/>
      <w:lvlText w:val=""/>
      <w:lvlJc w:val="left"/>
      <w:pPr>
        <w:tabs>
          <w:tab w:val="num" w:pos="1276"/>
        </w:tabs>
        <w:ind w:left="1276" w:hanging="397"/>
      </w:pPr>
      <w:rPr>
        <w:rFonts w:ascii="Wingdings" w:hAnsi="Wingdings" w:hint="default"/>
      </w:rPr>
    </w:lvl>
    <w:lvl w:ilvl="1" w:tplc="04100003" w:tentative="1">
      <w:start w:val="1"/>
      <w:numFmt w:val="bullet"/>
      <w:lvlText w:val="o"/>
      <w:lvlJc w:val="left"/>
      <w:pPr>
        <w:tabs>
          <w:tab w:val="num" w:pos="2149"/>
        </w:tabs>
        <w:ind w:left="2149" w:hanging="360"/>
      </w:pPr>
      <w:rPr>
        <w:rFonts w:ascii="Courier New" w:hAnsi="Courier New" w:cs="Courier New" w:hint="default"/>
      </w:rPr>
    </w:lvl>
    <w:lvl w:ilvl="2" w:tplc="04100005" w:tentative="1">
      <w:start w:val="1"/>
      <w:numFmt w:val="bullet"/>
      <w:lvlText w:val=""/>
      <w:lvlJc w:val="left"/>
      <w:pPr>
        <w:tabs>
          <w:tab w:val="num" w:pos="2869"/>
        </w:tabs>
        <w:ind w:left="2869" w:hanging="360"/>
      </w:pPr>
      <w:rPr>
        <w:rFonts w:ascii="Wingdings" w:hAnsi="Wingdings" w:hint="default"/>
      </w:rPr>
    </w:lvl>
    <w:lvl w:ilvl="3" w:tplc="04100001" w:tentative="1">
      <w:start w:val="1"/>
      <w:numFmt w:val="bullet"/>
      <w:lvlText w:val=""/>
      <w:lvlJc w:val="left"/>
      <w:pPr>
        <w:tabs>
          <w:tab w:val="num" w:pos="3589"/>
        </w:tabs>
        <w:ind w:left="3589" w:hanging="360"/>
      </w:pPr>
      <w:rPr>
        <w:rFonts w:ascii="Symbol" w:hAnsi="Symbol" w:hint="default"/>
      </w:rPr>
    </w:lvl>
    <w:lvl w:ilvl="4" w:tplc="04100003" w:tentative="1">
      <w:start w:val="1"/>
      <w:numFmt w:val="bullet"/>
      <w:lvlText w:val="o"/>
      <w:lvlJc w:val="left"/>
      <w:pPr>
        <w:tabs>
          <w:tab w:val="num" w:pos="4309"/>
        </w:tabs>
        <w:ind w:left="4309" w:hanging="360"/>
      </w:pPr>
      <w:rPr>
        <w:rFonts w:ascii="Courier New" w:hAnsi="Courier New" w:cs="Courier New" w:hint="default"/>
      </w:rPr>
    </w:lvl>
    <w:lvl w:ilvl="5" w:tplc="04100005" w:tentative="1">
      <w:start w:val="1"/>
      <w:numFmt w:val="bullet"/>
      <w:lvlText w:val=""/>
      <w:lvlJc w:val="left"/>
      <w:pPr>
        <w:tabs>
          <w:tab w:val="num" w:pos="5029"/>
        </w:tabs>
        <w:ind w:left="5029" w:hanging="360"/>
      </w:pPr>
      <w:rPr>
        <w:rFonts w:ascii="Wingdings" w:hAnsi="Wingdings" w:hint="default"/>
      </w:rPr>
    </w:lvl>
    <w:lvl w:ilvl="6" w:tplc="04100001" w:tentative="1">
      <w:start w:val="1"/>
      <w:numFmt w:val="bullet"/>
      <w:lvlText w:val=""/>
      <w:lvlJc w:val="left"/>
      <w:pPr>
        <w:tabs>
          <w:tab w:val="num" w:pos="5749"/>
        </w:tabs>
        <w:ind w:left="5749" w:hanging="360"/>
      </w:pPr>
      <w:rPr>
        <w:rFonts w:ascii="Symbol" w:hAnsi="Symbol" w:hint="default"/>
      </w:rPr>
    </w:lvl>
    <w:lvl w:ilvl="7" w:tplc="04100003" w:tentative="1">
      <w:start w:val="1"/>
      <w:numFmt w:val="bullet"/>
      <w:lvlText w:val="o"/>
      <w:lvlJc w:val="left"/>
      <w:pPr>
        <w:tabs>
          <w:tab w:val="num" w:pos="6469"/>
        </w:tabs>
        <w:ind w:left="6469" w:hanging="360"/>
      </w:pPr>
      <w:rPr>
        <w:rFonts w:ascii="Courier New" w:hAnsi="Courier New" w:cs="Courier New" w:hint="default"/>
      </w:rPr>
    </w:lvl>
    <w:lvl w:ilvl="8" w:tplc="04100005" w:tentative="1">
      <w:start w:val="1"/>
      <w:numFmt w:val="bullet"/>
      <w:lvlText w:val=""/>
      <w:lvlJc w:val="left"/>
      <w:pPr>
        <w:tabs>
          <w:tab w:val="num" w:pos="7189"/>
        </w:tabs>
        <w:ind w:left="7189" w:hanging="360"/>
      </w:pPr>
      <w:rPr>
        <w:rFonts w:ascii="Wingdings" w:hAnsi="Wingdings" w:hint="default"/>
      </w:rPr>
    </w:lvl>
  </w:abstractNum>
  <w:abstractNum w:abstractNumId="12" w15:restartNumberingAfterBreak="0">
    <w:nsid w:val="35246351"/>
    <w:multiLevelType w:val="hybridMultilevel"/>
    <w:tmpl w:val="BC28EA1E"/>
    <w:lvl w:ilvl="0" w:tplc="0410000B">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3" w15:restartNumberingAfterBreak="0">
    <w:nsid w:val="354A1615"/>
    <w:multiLevelType w:val="hybridMultilevel"/>
    <w:tmpl w:val="8E0E26E2"/>
    <w:lvl w:ilvl="0" w:tplc="04100005">
      <w:start w:val="1"/>
      <w:numFmt w:val="bullet"/>
      <w:lvlText w:val=""/>
      <w:lvlJc w:val="left"/>
      <w:pPr>
        <w:tabs>
          <w:tab w:val="num" w:pos="1047"/>
        </w:tabs>
        <w:ind w:left="1047" w:hanging="360"/>
      </w:pPr>
      <w:rPr>
        <w:rFonts w:ascii="Wingdings" w:hAnsi="Wingdings" w:hint="default"/>
      </w:rPr>
    </w:lvl>
    <w:lvl w:ilvl="1" w:tplc="04100003" w:tentative="1">
      <w:start w:val="1"/>
      <w:numFmt w:val="bullet"/>
      <w:lvlText w:val="o"/>
      <w:lvlJc w:val="left"/>
      <w:pPr>
        <w:tabs>
          <w:tab w:val="num" w:pos="1767"/>
        </w:tabs>
        <w:ind w:left="1767" w:hanging="360"/>
      </w:pPr>
      <w:rPr>
        <w:rFonts w:ascii="Courier New" w:hAnsi="Courier New" w:cs="Courier New" w:hint="default"/>
      </w:rPr>
    </w:lvl>
    <w:lvl w:ilvl="2" w:tplc="04100005" w:tentative="1">
      <w:start w:val="1"/>
      <w:numFmt w:val="bullet"/>
      <w:lvlText w:val=""/>
      <w:lvlJc w:val="left"/>
      <w:pPr>
        <w:tabs>
          <w:tab w:val="num" w:pos="2487"/>
        </w:tabs>
        <w:ind w:left="2487" w:hanging="360"/>
      </w:pPr>
      <w:rPr>
        <w:rFonts w:ascii="Wingdings" w:hAnsi="Wingdings" w:hint="default"/>
      </w:rPr>
    </w:lvl>
    <w:lvl w:ilvl="3" w:tplc="04100001" w:tentative="1">
      <w:start w:val="1"/>
      <w:numFmt w:val="bullet"/>
      <w:lvlText w:val=""/>
      <w:lvlJc w:val="left"/>
      <w:pPr>
        <w:tabs>
          <w:tab w:val="num" w:pos="3207"/>
        </w:tabs>
        <w:ind w:left="3207" w:hanging="360"/>
      </w:pPr>
      <w:rPr>
        <w:rFonts w:ascii="Symbol" w:hAnsi="Symbol" w:hint="default"/>
      </w:rPr>
    </w:lvl>
    <w:lvl w:ilvl="4" w:tplc="04100003" w:tentative="1">
      <w:start w:val="1"/>
      <w:numFmt w:val="bullet"/>
      <w:lvlText w:val="o"/>
      <w:lvlJc w:val="left"/>
      <w:pPr>
        <w:tabs>
          <w:tab w:val="num" w:pos="3927"/>
        </w:tabs>
        <w:ind w:left="3927" w:hanging="360"/>
      </w:pPr>
      <w:rPr>
        <w:rFonts w:ascii="Courier New" w:hAnsi="Courier New" w:cs="Courier New" w:hint="default"/>
      </w:rPr>
    </w:lvl>
    <w:lvl w:ilvl="5" w:tplc="04100005" w:tentative="1">
      <w:start w:val="1"/>
      <w:numFmt w:val="bullet"/>
      <w:lvlText w:val=""/>
      <w:lvlJc w:val="left"/>
      <w:pPr>
        <w:tabs>
          <w:tab w:val="num" w:pos="4647"/>
        </w:tabs>
        <w:ind w:left="4647" w:hanging="360"/>
      </w:pPr>
      <w:rPr>
        <w:rFonts w:ascii="Wingdings" w:hAnsi="Wingdings" w:hint="default"/>
      </w:rPr>
    </w:lvl>
    <w:lvl w:ilvl="6" w:tplc="04100001" w:tentative="1">
      <w:start w:val="1"/>
      <w:numFmt w:val="bullet"/>
      <w:lvlText w:val=""/>
      <w:lvlJc w:val="left"/>
      <w:pPr>
        <w:tabs>
          <w:tab w:val="num" w:pos="5367"/>
        </w:tabs>
        <w:ind w:left="5367" w:hanging="360"/>
      </w:pPr>
      <w:rPr>
        <w:rFonts w:ascii="Symbol" w:hAnsi="Symbol" w:hint="default"/>
      </w:rPr>
    </w:lvl>
    <w:lvl w:ilvl="7" w:tplc="04100003" w:tentative="1">
      <w:start w:val="1"/>
      <w:numFmt w:val="bullet"/>
      <w:lvlText w:val="o"/>
      <w:lvlJc w:val="left"/>
      <w:pPr>
        <w:tabs>
          <w:tab w:val="num" w:pos="6087"/>
        </w:tabs>
        <w:ind w:left="6087" w:hanging="360"/>
      </w:pPr>
      <w:rPr>
        <w:rFonts w:ascii="Courier New" w:hAnsi="Courier New" w:cs="Courier New" w:hint="default"/>
      </w:rPr>
    </w:lvl>
    <w:lvl w:ilvl="8" w:tplc="04100005" w:tentative="1">
      <w:start w:val="1"/>
      <w:numFmt w:val="bullet"/>
      <w:lvlText w:val=""/>
      <w:lvlJc w:val="left"/>
      <w:pPr>
        <w:tabs>
          <w:tab w:val="num" w:pos="6807"/>
        </w:tabs>
        <w:ind w:left="6807" w:hanging="360"/>
      </w:pPr>
      <w:rPr>
        <w:rFonts w:ascii="Wingdings" w:hAnsi="Wingdings" w:hint="default"/>
      </w:rPr>
    </w:lvl>
  </w:abstractNum>
  <w:abstractNum w:abstractNumId="14" w15:restartNumberingAfterBreak="0">
    <w:nsid w:val="37D76C6D"/>
    <w:multiLevelType w:val="hybridMultilevel"/>
    <w:tmpl w:val="6A581CF2"/>
    <w:lvl w:ilvl="0" w:tplc="EC8E9DC8">
      <w:start w:val="1"/>
      <w:numFmt w:val="decimal"/>
      <w:lvlText w:val="%1."/>
      <w:lvlJc w:val="left"/>
      <w:pPr>
        <w:tabs>
          <w:tab w:val="num" w:pos="720"/>
        </w:tabs>
        <w:ind w:left="720" w:hanging="360"/>
      </w:pPr>
      <w:rPr>
        <w:rFonts w:hint="default"/>
        <w:b/>
        <w:i w:val="0"/>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5" w15:restartNumberingAfterBreak="0">
    <w:nsid w:val="38141485"/>
    <w:multiLevelType w:val="hybridMultilevel"/>
    <w:tmpl w:val="A8427894"/>
    <w:lvl w:ilvl="0" w:tplc="0410000B">
      <w:start w:val="1"/>
      <w:numFmt w:val="bullet"/>
      <w:lvlText w:val=""/>
      <w:lvlJc w:val="left"/>
      <w:pPr>
        <w:tabs>
          <w:tab w:val="num" w:pos="720"/>
        </w:tabs>
        <w:ind w:left="720" w:hanging="360"/>
      </w:pPr>
      <w:rPr>
        <w:rFonts w:ascii="Wingdings" w:hAnsi="Wingdings" w:hint="default"/>
        <w:b/>
        <w:sz w:val="20"/>
        <w:szCs w:val="20"/>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4AA72E8"/>
    <w:multiLevelType w:val="hybridMultilevel"/>
    <w:tmpl w:val="127A46A4"/>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494B0315"/>
    <w:multiLevelType w:val="hybridMultilevel"/>
    <w:tmpl w:val="6D166D24"/>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49A335F4"/>
    <w:multiLevelType w:val="hybridMultilevel"/>
    <w:tmpl w:val="247052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4E4C7850"/>
    <w:multiLevelType w:val="hybridMultilevel"/>
    <w:tmpl w:val="4B3E1308"/>
    <w:lvl w:ilvl="0" w:tplc="0410000B">
      <w:start w:val="1"/>
      <w:numFmt w:val="bullet"/>
      <w:lvlText w:val=""/>
      <w:lvlJc w:val="left"/>
      <w:pPr>
        <w:tabs>
          <w:tab w:val="num" w:pos="720"/>
        </w:tabs>
        <w:ind w:left="720" w:hanging="360"/>
      </w:pPr>
      <w:rPr>
        <w:rFonts w:ascii="Wingdings" w:hAnsi="Wingdings" w:hint="default"/>
      </w:rPr>
    </w:lvl>
    <w:lvl w:ilvl="1" w:tplc="105AB2E8">
      <w:numFmt w:val="bullet"/>
      <w:lvlText w:val="-"/>
      <w:lvlJc w:val="left"/>
      <w:pPr>
        <w:tabs>
          <w:tab w:val="num" w:pos="1440"/>
        </w:tabs>
        <w:ind w:left="1440" w:hanging="360"/>
      </w:pPr>
      <w:rPr>
        <w:rFonts w:ascii="Arial" w:eastAsia="Berlin Sans FB" w:hAnsi="Arial" w:cs="Arial"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FA8250C"/>
    <w:multiLevelType w:val="hybridMultilevel"/>
    <w:tmpl w:val="DEACF618"/>
    <w:lvl w:ilvl="0" w:tplc="0410000B">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21" w15:restartNumberingAfterBreak="0">
    <w:nsid w:val="4FDC0330"/>
    <w:multiLevelType w:val="hybridMultilevel"/>
    <w:tmpl w:val="E5327594"/>
    <w:lvl w:ilvl="0" w:tplc="77EC24BC">
      <w:start w:val="1"/>
      <w:numFmt w:val="decimal"/>
      <w:lvlText w:val="%1."/>
      <w:lvlJc w:val="left"/>
      <w:pPr>
        <w:tabs>
          <w:tab w:val="num" w:pos="720"/>
        </w:tabs>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5D95642E"/>
    <w:multiLevelType w:val="hybridMultilevel"/>
    <w:tmpl w:val="154093A0"/>
    <w:lvl w:ilvl="0" w:tplc="56149240">
      <w:numFmt w:val="bullet"/>
      <w:lvlText w:val="-"/>
      <w:lvlJc w:val="left"/>
      <w:pPr>
        <w:ind w:left="720" w:hanging="360"/>
      </w:pPr>
      <w:rPr>
        <w:rFonts w:ascii="Arial" w:eastAsia="Times New Roman" w:hAnsi="Arial" w:cs="Aria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23" w15:restartNumberingAfterBreak="0">
    <w:nsid w:val="65E603E9"/>
    <w:multiLevelType w:val="hybridMultilevel"/>
    <w:tmpl w:val="E6FE1D86"/>
    <w:lvl w:ilvl="0" w:tplc="DF288C4C">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68402136"/>
    <w:multiLevelType w:val="hybridMultilevel"/>
    <w:tmpl w:val="8BF6F99C"/>
    <w:lvl w:ilvl="0" w:tplc="77EC24BC">
      <w:start w:val="1"/>
      <w:numFmt w:val="decimal"/>
      <w:lvlText w:val="%1."/>
      <w:lvlJc w:val="left"/>
      <w:pPr>
        <w:ind w:left="720" w:hanging="360"/>
      </w:pPr>
      <w:rPr>
        <w:rFonts w:hint="default"/>
        <w:b/>
        <w:sz w:val="20"/>
        <w:szCs w:val="2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6ABD1D2E"/>
    <w:multiLevelType w:val="hybridMultilevel"/>
    <w:tmpl w:val="43FED836"/>
    <w:lvl w:ilvl="0" w:tplc="B7EA2A4E">
      <w:numFmt w:val="bullet"/>
      <w:lvlText w:val="-"/>
      <w:lvlJc w:val="left"/>
      <w:pPr>
        <w:ind w:left="720" w:hanging="360"/>
      </w:pPr>
      <w:rPr>
        <w:rFonts w:ascii="Arial" w:eastAsia="Berlin Sans FB" w:hAnsi="Arial" w:cs="Arial" w:hint="default"/>
        <w:b w:val="0"/>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6C3A30CB"/>
    <w:multiLevelType w:val="hybridMultilevel"/>
    <w:tmpl w:val="24B221C0"/>
    <w:lvl w:ilvl="0" w:tplc="41A017DC">
      <w:start w:val="1"/>
      <w:numFmt w:val="bullet"/>
      <w:lvlText w:val=""/>
      <w:lvlJc w:val="left"/>
      <w:pPr>
        <w:tabs>
          <w:tab w:val="num" w:pos="720"/>
        </w:tabs>
        <w:ind w:left="720" w:hanging="360"/>
      </w:pPr>
      <w:rPr>
        <w:rFonts w:ascii="Symbol" w:hAnsi="Symbol" w:hint="default"/>
        <w:b/>
        <w:sz w:val="20"/>
        <w:szCs w:val="20"/>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D010857"/>
    <w:multiLevelType w:val="hybridMultilevel"/>
    <w:tmpl w:val="455A0E3A"/>
    <w:lvl w:ilvl="0" w:tplc="43A2FFD0">
      <w:start w:val="1"/>
      <w:numFmt w:val="bullet"/>
      <w:lvlText w:val="-"/>
      <w:lvlJc w:val="left"/>
      <w:pPr>
        <w:tabs>
          <w:tab w:val="num" w:pos="720"/>
        </w:tabs>
        <w:ind w:left="720" w:hanging="360"/>
      </w:pPr>
      <w:rPr>
        <w:rFonts w:ascii="Times New Roman" w:hAnsi="Times New Roman"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32772EA"/>
    <w:multiLevelType w:val="hybridMultilevel"/>
    <w:tmpl w:val="7BA866B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791149CE"/>
    <w:multiLevelType w:val="hybridMultilevel"/>
    <w:tmpl w:val="3964F95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15:restartNumberingAfterBreak="0">
    <w:nsid w:val="7EE27A51"/>
    <w:multiLevelType w:val="hybridMultilevel"/>
    <w:tmpl w:val="8A0A2A22"/>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5"/>
  </w:num>
  <w:num w:numId="2">
    <w:abstractNumId w:val="4"/>
  </w:num>
  <w:num w:numId="3">
    <w:abstractNumId w:val="1"/>
  </w:num>
  <w:num w:numId="4">
    <w:abstractNumId w:val="26"/>
  </w:num>
  <w:num w:numId="5">
    <w:abstractNumId w:val="7"/>
  </w:num>
  <w:num w:numId="6">
    <w:abstractNumId w:val="21"/>
  </w:num>
  <w:num w:numId="7">
    <w:abstractNumId w:val="10"/>
  </w:num>
  <w:num w:numId="8">
    <w:abstractNumId w:val="13"/>
  </w:num>
  <w:num w:numId="9">
    <w:abstractNumId w:val="19"/>
  </w:num>
  <w:num w:numId="10">
    <w:abstractNumId w:val="8"/>
  </w:num>
  <w:num w:numId="11">
    <w:abstractNumId w:val="14"/>
  </w:num>
  <w:num w:numId="12">
    <w:abstractNumId w:val="11"/>
  </w:num>
  <w:num w:numId="13">
    <w:abstractNumId w:val="27"/>
  </w:num>
  <w:num w:numId="14">
    <w:abstractNumId w:val="3"/>
  </w:num>
  <w:num w:numId="15">
    <w:abstractNumId w:val="23"/>
  </w:num>
  <w:num w:numId="16">
    <w:abstractNumId w:val="25"/>
  </w:num>
  <w:num w:numId="17">
    <w:abstractNumId w:val="16"/>
  </w:num>
  <w:num w:numId="18">
    <w:abstractNumId w:val="30"/>
  </w:num>
  <w:num w:numId="19">
    <w:abstractNumId w:val="15"/>
  </w:num>
  <w:num w:numId="20">
    <w:abstractNumId w:val="28"/>
  </w:num>
  <w:num w:numId="21">
    <w:abstractNumId w:val="9"/>
  </w:num>
  <w:num w:numId="22">
    <w:abstractNumId w:val="17"/>
  </w:num>
  <w:num w:numId="23">
    <w:abstractNumId w:val="0"/>
  </w:num>
  <w:num w:numId="24">
    <w:abstractNumId w:val="2"/>
  </w:num>
  <w:num w:numId="25">
    <w:abstractNumId w:val="22"/>
  </w:num>
  <w:num w:numId="26">
    <w:abstractNumId w:val="20"/>
  </w:num>
  <w:num w:numId="27">
    <w:abstractNumId w:val="12"/>
  </w:num>
  <w:num w:numId="28">
    <w:abstractNumId w:val="6"/>
  </w:num>
  <w:num w:numId="29">
    <w:abstractNumId w:val="18"/>
  </w:num>
  <w:num w:numId="30">
    <w:abstractNumId w:val="29"/>
  </w:num>
  <w:num w:numId="31">
    <w:abstractNumId w:val="24"/>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59"/>
  <w:activeWritingStyle w:appName="MSWord" w:lang="it-IT" w:vendorID="3" w:dllVersion="517"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09"/>
  <w:hyphenationZone w:val="283"/>
  <w:drawingGridHorizontalSpacing w:val="120"/>
  <w:drawingGridVerticalSpacing w:val="163"/>
  <w:displayHorizontalDrawingGridEvery w:val="2"/>
  <w:displayVerticalDrawingGridEvery w:val="2"/>
  <w:noPunctuationKerning/>
  <w:characterSpacingControl w:val="doNotCompress"/>
  <w:hdrShapeDefaults>
    <o:shapedefaults v:ext="edit" spidmax="16385" fill="f" fillcolor="white" strokecolor="red">
      <v:fill color="white" on="f"/>
      <v:stroke color="red" weight="1.25pt"/>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fill="f" fillcolor="white" strokecolor="red">
      <v:fill color="white" on="f"/>
      <v:stroke color="red" weight="1.25pt"/>
    </o:shapedefaults>
    <o:shapelayout v:ext="edit">
      <o:idmap v:ext="edit" data="1"/>
    </o:shapelayout>
  </w:shapeDefaults>
  <w:decimalSymbol w:val=","/>
  <w:listSeparator w:val=";"/>
  <w15:docId w15:val="{55A3B7AF-C28A-40AB-B442-5AECFAA309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rPr>
      <w:sz w:val="24"/>
      <w:szCs w:val="24"/>
    </w:rPr>
  </w:style>
  <w:style w:type="paragraph" w:styleId="Titolo1">
    <w:name w:val="heading 1"/>
    <w:basedOn w:val="Normale"/>
    <w:next w:val="Normale"/>
    <w:pPr>
      <w:keepNext/>
      <w:numPr>
        <w:numId w:val="1"/>
      </w:numPr>
      <w:spacing w:after="360" w:line="0" w:lineRule="atLeast"/>
      <w:ind w:left="431" w:hanging="431"/>
      <w:outlineLvl w:val="0"/>
    </w:pPr>
    <w:rPr>
      <w:b/>
      <w:sz w:val="32"/>
      <w:szCs w:val="20"/>
    </w:rPr>
  </w:style>
  <w:style w:type="paragraph" w:styleId="Titolo2">
    <w:name w:val="heading 2"/>
    <w:basedOn w:val="Normale"/>
    <w:next w:val="Normale"/>
    <w:link w:val="Titolo2Carattere"/>
    <w:pPr>
      <w:keepNext/>
      <w:outlineLvl w:val="1"/>
    </w:pPr>
    <w:rPr>
      <w:rFonts w:ascii="Verdana" w:hAnsi="Verdana"/>
      <w:b/>
      <w:bCs/>
      <w:sz w:val="20"/>
    </w:rPr>
  </w:style>
  <w:style w:type="paragraph" w:styleId="Titolo3">
    <w:name w:val="heading 3"/>
    <w:basedOn w:val="Normale"/>
    <w:next w:val="Normale"/>
    <w:pPr>
      <w:keepNext/>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autoSpaceDE w:val="0"/>
      <w:autoSpaceDN w:val="0"/>
      <w:adjustRightInd w:val="0"/>
      <w:jc w:val="both"/>
      <w:outlineLvl w:val="2"/>
    </w:pPr>
    <w:rPr>
      <w:rFonts w:ascii="Arial" w:hAnsi="Arial" w:cs="Arial"/>
      <w:b/>
      <w:bCs/>
      <w:i/>
      <w:iCs/>
      <w:sz w:val="20"/>
    </w:rPr>
  </w:style>
  <w:style w:type="paragraph" w:styleId="Titolo4">
    <w:name w:val="heading 4"/>
    <w:basedOn w:val="Normale"/>
    <w:next w:val="Normale"/>
    <w:pPr>
      <w:keepNext/>
      <w:autoSpaceDE w:val="0"/>
      <w:autoSpaceDN w:val="0"/>
      <w:adjustRightInd w:val="0"/>
      <w:jc w:val="both"/>
      <w:outlineLvl w:val="3"/>
    </w:pPr>
    <w:rPr>
      <w:rFonts w:ascii="Arial" w:hAnsi="Arial" w:cs="Arial"/>
      <w:b/>
      <w:bCs/>
      <w:sz w:val="20"/>
      <w:szCs w:val="20"/>
    </w:rPr>
  </w:style>
  <w:style w:type="paragraph" w:styleId="Titolo5">
    <w:name w:val="heading 5"/>
    <w:basedOn w:val="Normale"/>
    <w:next w:val="Normale"/>
    <w:pPr>
      <w:spacing w:before="240" w:after="60"/>
      <w:outlineLvl w:val="4"/>
    </w:pPr>
    <w:rPr>
      <w:b/>
      <w:bCs/>
      <w:i/>
      <w:iCs/>
      <w:sz w:val="26"/>
      <w:szCs w:val="26"/>
    </w:rPr>
  </w:style>
  <w:style w:type="paragraph" w:styleId="Titolo6">
    <w:name w:val="heading 6"/>
    <w:basedOn w:val="Normale"/>
    <w:next w:val="Normale"/>
    <w:pPr>
      <w:numPr>
        <w:ilvl w:val="5"/>
        <w:numId w:val="1"/>
      </w:numPr>
      <w:spacing w:before="240" w:after="60"/>
      <w:outlineLvl w:val="5"/>
    </w:pPr>
    <w:rPr>
      <w:i/>
      <w:sz w:val="22"/>
      <w:szCs w:val="20"/>
    </w:rPr>
  </w:style>
  <w:style w:type="paragraph" w:styleId="Titolo7">
    <w:name w:val="heading 7"/>
    <w:basedOn w:val="Normale"/>
    <w:next w:val="Normale"/>
    <w:pPr>
      <w:numPr>
        <w:ilvl w:val="6"/>
        <w:numId w:val="1"/>
      </w:numPr>
      <w:spacing w:before="240" w:after="60"/>
      <w:outlineLvl w:val="6"/>
    </w:pPr>
    <w:rPr>
      <w:rFonts w:ascii="Arial" w:hAnsi="Arial"/>
      <w:sz w:val="20"/>
      <w:szCs w:val="20"/>
    </w:rPr>
  </w:style>
  <w:style w:type="paragraph" w:styleId="Titolo8">
    <w:name w:val="heading 8"/>
    <w:basedOn w:val="Normale"/>
    <w:next w:val="Normale"/>
    <w:pPr>
      <w:numPr>
        <w:ilvl w:val="7"/>
        <w:numId w:val="1"/>
      </w:numPr>
      <w:spacing w:before="240" w:after="60"/>
      <w:outlineLvl w:val="7"/>
    </w:pPr>
    <w:rPr>
      <w:rFonts w:ascii="Arial" w:hAnsi="Arial"/>
      <w:i/>
      <w:sz w:val="20"/>
      <w:szCs w:val="20"/>
    </w:rPr>
  </w:style>
  <w:style w:type="paragraph" w:styleId="Titolo9">
    <w:name w:val="heading 9"/>
    <w:basedOn w:val="Normale"/>
    <w:next w:val="Normale"/>
    <w:pPr>
      <w:numPr>
        <w:ilvl w:val="8"/>
        <w:numId w:val="1"/>
      </w:numPr>
      <w:spacing w:before="240" w:after="60"/>
      <w:outlineLvl w:val="8"/>
    </w:pPr>
    <w:rPr>
      <w:rFonts w:ascii="Arial" w:hAnsi="Arial"/>
      <w:b/>
      <w:i/>
      <w:sz w:val="18"/>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ComandoaltC">
    <w:name w:val="Comando(alt+C)"/>
    <w:basedOn w:val="Titolo1"/>
    <w:pPr>
      <w:numPr>
        <w:numId w:val="0"/>
      </w:numPr>
      <w:spacing w:after="0" w:line="240" w:lineRule="auto"/>
    </w:pPr>
    <w:rPr>
      <w:rFonts w:ascii="Arial" w:hAnsi="Arial"/>
    </w:rPr>
  </w:style>
  <w:style w:type="paragraph" w:customStyle="1" w:styleId="Vocedelmenaltu">
    <w:name w:val="Voce del menù(alt+u)"/>
    <w:basedOn w:val="Normale"/>
    <w:pPr>
      <w:tabs>
        <w:tab w:val="num" w:pos="360"/>
      </w:tabs>
      <w:spacing w:before="120" w:after="240" w:line="240" w:lineRule="atLeast"/>
      <w:ind w:left="357" w:hanging="357"/>
      <w:outlineLvl w:val="4"/>
    </w:pPr>
    <w:rPr>
      <w:b/>
      <w:sz w:val="28"/>
      <w:szCs w:val="20"/>
      <w:u w:val="thick"/>
    </w:rPr>
  </w:style>
  <w:style w:type="paragraph" w:customStyle="1" w:styleId="Stile1">
    <w:name w:val="Stile1"/>
    <w:basedOn w:val="Puntoelenco"/>
    <w:pPr>
      <w:tabs>
        <w:tab w:val="num" w:pos="720"/>
      </w:tabs>
      <w:ind w:left="720" w:hanging="360"/>
    </w:pPr>
    <w:rPr>
      <w:rFonts w:cs="Arial"/>
    </w:rPr>
  </w:style>
  <w:style w:type="paragraph" w:styleId="Puntoelenco">
    <w:name w:val="List Bullet"/>
    <w:basedOn w:val="Normale"/>
    <w:autoRedefine/>
    <w:pPr>
      <w:ind w:left="709"/>
      <w:jc w:val="both"/>
    </w:pPr>
    <w:rPr>
      <w:rFonts w:ascii="Arial" w:hAnsi="Arial"/>
      <w:sz w:val="20"/>
      <w:szCs w:val="20"/>
    </w:rPr>
  </w:style>
  <w:style w:type="paragraph" w:customStyle="1" w:styleId="Puntoelenco1">
    <w:name w:val="Punto elenco 1"/>
    <w:basedOn w:val="corpoAltF"/>
    <w:pPr>
      <w:tabs>
        <w:tab w:val="num" w:pos="720"/>
      </w:tabs>
      <w:ind w:left="720" w:hanging="360"/>
    </w:pPr>
  </w:style>
  <w:style w:type="paragraph" w:customStyle="1" w:styleId="corpoAltF">
    <w:name w:val="corpo (Alt+F)"/>
    <w:basedOn w:val="Normale"/>
    <w:link w:val="corpoAltFCarattere"/>
    <w:pPr>
      <w:jc w:val="both"/>
    </w:pPr>
    <w:rPr>
      <w:rFonts w:ascii="Arial" w:hAnsi="Arial" w:cs="Arial"/>
      <w:sz w:val="20"/>
      <w:szCs w:val="20"/>
    </w:rPr>
  </w:style>
  <w:style w:type="paragraph" w:styleId="Intestazione">
    <w:name w:val="header"/>
    <w:basedOn w:val="Normale"/>
    <w:link w:val="IntestazioneCarattere"/>
    <w:pPr>
      <w:tabs>
        <w:tab w:val="center" w:pos="4819"/>
        <w:tab w:val="right" w:pos="9638"/>
      </w:tabs>
    </w:pPr>
    <w:rPr>
      <w:sz w:val="20"/>
      <w:szCs w:val="20"/>
    </w:rPr>
  </w:style>
  <w:style w:type="paragraph" w:customStyle="1" w:styleId="comando">
    <w:name w:val="comando"/>
    <w:basedOn w:val="Normale"/>
    <w:pPr>
      <w:tabs>
        <w:tab w:val="right" w:leader="dot" w:pos="9639"/>
      </w:tabs>
    </w:pPr>
    <w:rPr>
      <w:rFonts w:ascii="Arial" w:hAnsi="Arial"/>
      <w:b/>
      <w:caps/>
    </w:rPr>
  </w:style>
  <w:style w:type="character" w:styleId="Collegamentoipertestuale">
    <w:name w:val="Hyperlink"/>
    <w:uiPriority w:val="99"/>
    <w:rPr>
      <w:color w:val="0000FF"/>
      <w:u w:val="single"/>
    </w:rPr>
  </w:style>
  <w:style w:type="paragraph" w:styleId="Sommario1">
    <w:name w:val="toc 1"/>
    <w:basedOn w:val="Normale"/>
    <w:next w:val="Normale"/>
    <w:autoRedefine/>
    <w:uiPriority w:val="39"/>
    <w:pPr>
      <w:pBdr>
        <w:top w:val="double" w:sz="4" w:space="1" w:color="365F91"/>
        <w:bottom w:val="double" w:sz="4" w:space="0" w:color="365F91"/>
      </w:pBdr>
      <w:shd w:val="clear" w:color="auto" w:fill="365F91"/>
      <w:tabs>
        <w:tab w:val="right" w:leader="dot" w:pos="9629"/>
      </w:tabs>
      <w:spacing w:before="180" w:after="60"/>
    </w:pPr>
    <w:rPr>
      <w:rFonts w:ascii="Arial" w:hAnsi="Arial" w:cs="Arial"/>
      <w:b/>
      <w:noProof/>
      <w:color w:val="FFFFFF"/>
      <w:sz w:val="20"/>
      <w:szCs w:val="40"/>
    </w:rPr>
  </w:style>
  <w:style w:type="paragraph" w:styleId="Sommario4">
    <w:name w:val="toc 4"/>
    <w:basedOn w:val="Normale"/>
    <w:next w:val="Normale"/>
    <w:autoRedefine/>
    <w:uiPriority w:val="39"/>
    <w:pPr>
      <w:tabs>
        <w:tab w:val="right" w:leader="dot" w:pos="9629"/>
      </w:tabs>
      <w:ind w:left="567"/>
    </w:pPr>
    <w:rPr>
      <w:rFonts w:ascii="Arial" w:hAnsi="Arial" w:cs="Arial"/>
      <w:i/>
      <w:noProof/>
      <w:sz w:val="20"/>
      <w:szCs w:val="20"/>
    </w:rPr>
  </w:style>
  <w:style w:type="paragraph" w:customStyle="1" w:styleId="TS-titolo-01">
    <w:name w:val="TS-titolo-01"/>
    <w:basedOn w:val="Intestazione"/>
    <w:link w:val="TS-titolo-01Carattere"/>
    <w:autoRedefine/>
    <w:qFormat/>
    <w:pPr>
      <w:tabs>
        <w:tab w:val="clear" w:pos="4819"/>
        <w:tab w:val="clear" w:pos="9638"/>
      </w:tabs>
    </w:pPr>
    <w:rPr>
      <w:rFonts w:ascii="Arial" w:hAnsi="Arial" w:cs="Arial"/>
      <w:b/>
      <w:i/>
      <w:sz w:val="28"/>
    </w:rPr>
  </w:style>
  <w:style w:type="paragraph" w:customStyle="1" w:styleId="TS-titolo-02">
    <w:name w:val="TS-titolo-02"/>
    <w:basedOn w:val="Intestazione"/>
    <w:autoRedefine/>
    <w:qFormat/>
    <w:pPr>
      <w:ind w:left="69"/>
      <w:jc w:val="center"/>
    </w:pPr>
    <w:rPr>
      <w:rFonts w:ascii="Arial" w:hAnsi="Arial" w:cs="Arial"/>
      <w:b/>
      <w:color w:val="FFFFFF"/>
      <w:sz w:val="32"/>
    </w:rPr>
  </w:style>
  <w:style w:type="paragraph" w:customStyle="1" w:styleId="TS-titolo-04">
    <w:name w:val="TS-titolo-04"/>
    <w:basedOn w:val="Titolo"/>
    <w:link w:val="TS-titolo-04Carattere"/>
    <w:autoRedefine/>
    <w:qFormat/>
    <w:pPr>
      <w:pBdr>
        <w:top w:val="single" w:sz="4" w:space="0" w:color="auto"/>
      </w:pBdr>
      <w:ind w:left="0"/>
      <w:jc w:val="both"/>
    </w:pPr>
    <w:rPr>
      <w:sz w:val="24"/>
      <w:szCs w:val="24"/>
    </w:rPr>
  </w:style>
  <w:style w:type="paragraph" w:styleId="Titolo">
    <w:name w:val="Title"/>
    <w:basedOn w:val="Normale"/>
    <w:pPr>
      <w:pBdr>
        <w:top w:val="single" w:sz="4" w:space="1" w:color="auto"/>
        <w:bottom w:val="single" w:sz="4" w:space="1" w:color="auto"/>
      </w:pBdr>
      <w:spacing w:before="240" w:after="60"/>
      <w:ind w:left="-284"/>
      <w:outlineLvl w:val="0"/>
    </w:pPr>
    <w:rPr>
      <w:rFonts w:ascii="Arial" w:hAnsi="Arial"/>
      <w:b/>
      <w:kern w:val="28"/>
      <w:sz w:val="32"/>
      <w:szCs w:val="20"/>
    </w:rPr>
  </w:style>
  <w:style w:type="paragraph" w:styleId="Titoloindice">
    <w:name w:val="index heading"/>
    <w:basedOn w:val="Normale"/>
    <w:next w:val="Indice1"/>
    <w:semiHidden/>
    <w:rPr>
      <w:sz w:val="20"/>
      <w:szCs w:val="20"/>
    </w:rPr>
  </w:style>
  <w:style w:type="paragraph" w:styleId="Indice1">
    <w:name w:val="index 1"/>
    <w:basedOn w:val="Normale"/>
    <w:next w:val="Normale"/>
    <w:autoRedefine/>
    <w:semiHidden/>
    <w:pPr>
      <w:ind w:left="200" w:hanging="200"/>
    </w:pPr>
    <w:rPr>
      <w:sz w:val="20"/>
      <w:szCs w:val="20"/>
    </w:rPr>
  </w:style>
  <w:style w:type="paragraph" w:customStyle="1" w:styleId="TS-titolo-03">
    <w:name w:val="TS-titolo-03"/>
    <w:basedOn w:val="Intestazione"/>
    <w:autoRedefine/>
    <w:pPr>
      <w:jc w:val="center"/>
    </w:pPr>
    <w:rPr>
      <w:rFonts w:ascii="Arial" w:hAnsi="Arial" w:cs="Arial"/>
      <w:b/>
      <w:color w:val="000000"/>
      <w:sz w:val="32"/>
    </w:rPr>
  </w:style>
  <w:style w:type="paragraph" w:styleId="Corpodeltesto3">
    <w:name w:val="Body Text 3"/>
    <w:basedOn w:val="Normale"/>
    <w:pPr>
      <w:jc w:val="both"/>
    </w:pPr>
    <w:rPr>
      <w:rFonts w:ascii="Arial" w:hAnsi="Arial"/>
      <w:b/>
      <w:sz w:val="20"/>
      <w:szCs w:val="20"/>
    </w:rPr>
  </w:style>
  <w:style w:type="paragraph" w:customStyle="1" w:styleId="Esempi">
    <w:name w:val="Esempi"/>
    <w:basedOn w:val="Normale"/>
    <w:pPr>
      <w:jc w:val="both"/>
    </w:pPr>
    <w:rPr>
      <w:rFonts w:ascii="Arial" w:hAnsi="Arial"/>
      <w:i/>
      <w:sz w:val="20"/>
      <w:szCs w:val="20"/>
    </w:rPr>
  </w:style>
  <w:style w:type="paragraph" w:customStyle="1" w:styleId="Funzionealth">
    <w:name w:val="Funzione(alt+h)"/>
    <w:basedOn w:val="Normale"/>
    <w:link w:val="FunzionealthCarattere1"/>
    <w:pPr>
      <w:tabs>
        <w:tab w:val="right" w:pos="3260"/>
        <w:tab w:val="left" w:pos="3402"/>
      </w:tabs>
      <w:spacing w:before="60"/>
      <w:ind w:left="3402" w:hanging="3402"/>
      <w:jc w:val="both"/>
    </w:pPr>
    <w:rPr>
      <w:rFonts w:ascii="Arial" w:hAnsi="Arial"/>
      <w:i/>
      <w:sz w:val="20"/>
      <w:szCs w:val="20"/>
    </w:rPr>
  </w:style>
  <w:style w:type="paragraph" w:styleId="Testonormale">
    <w:name w:val="Plain Text"/>
    <w:basedOn w:val="Normale"/>
    <w:rPr>
      <w:rFonts w:ascii="Courier New" w:hAnsi="Courier New"/>
      <w:sz w:val="20"/>
      <w:szCs w:val="20"/>
    </w:rPr>
  </w:style>
  <w:style w:type="paragraph" w:styleId="Soggettocommento">
    <w:name w:val="annotation subject"/>
    <w:basedOn w:val="Testocommento"/>
    <w:next w:val="Testocommento"/>
    <w:semiHidden/>
    <w:rPr>
      <w:b/>
      <w:bCs/>
    </w:rPr>
  </w:style>
  <w:style w:type="paragraph" w:styleId="Testocommento">
    <w:name w:val="annotation text"/>
    <w:basedOn w:val="Normale"/>
    <w:semiHidden/>
    <w:rPr>
      <w:sz w:val="20"/>
      <w:szCs w:val="20"/>
    </w:rPr>
  </w:style>
  <w:style w:type="paragraph" w:styleId="Corpodeltesto2">
    <w:name w:val="Body Text 2"/>
    <w:basedOn w:val="Normale"/>
    <w:pPr>
      <w:tabs>
        <w:tab w:val="left" w:pos="567"/>
        <w:tab w:val="left" w:pos="1134"/>
        <w:tab w:val="left" w:pos="2552"/>
      </w:tabs>
    </w:pPr>
    <w:rPr>
      <w:i/>
      <w:sz w:val="18"/>
      <w:szCs w:val="20"/>
    </w:rPr>
  </w:style>
  <w:style w:type="paragraph" w:customStyle="1" w:styleId="corpo">
    <w:name w:val="corpo"/>
    <w:basedOn w:val="Normale"/>
    <w:link w:val="corpoCarattere"/>
    <w:pPr>
      <w:jc w:val="both"/>
    </w:pPr>
    <w:rPr>
      <w:rFonts w:ascii="Arial" w:hAnsi="Arial" w:cs="Arial"/>
      <w:sz w:val="20"/>
      <w:szCs w:val="20"/>
    </w:rPr>
  </w:style>
  <w:style w:type="character" w:styleId="Numeropagina">
    <w:name w:val="page number"/>
    <w:basedOn w:val="Carpredefinitoparagrafo"/>
  </w:style>
  <w:style w:type="paragraph" w:styleId="Pidipagina">
    <w:name w:val="footer"/>
    <w:basedOn w:val="Normale"/>
    <w:pPr>
      <w:tabs>
        <w:tab w:val="center" w:pos="4819"/>
        <w:tab w:val="right" w:pos="9638"/>
      </w:tabs>
    </w:pPr>
    <w:rPr>
      <w:sz w:val="20"/>
      <w:szCs w:val="20"/>
    </w:rPr>
  </w:style>
  <w:style w:type="paragraph" w:customStyle="1" w:styleId="TS-testata-01">
    <w:name w:val="TS-testata-01"/>
    <w:basedOn w:val="Intestazione"/>
    <w:rPr>
      <w:rFonts w:ascii="Arial" w:hAnsi="Arial" w:cs="Arial"/>
      <w:b/>
      <w:i/>
      <w:sz w:val="28"/>
    </w:rPr>
  </w:style>
  <w:style w:type="paragraph" w:styleId="NormaleWeb">
    <w:name w:val="Normal (Web)"/>
    <w:basedOn w:val="Normale"/>
    <w:pPr>
      <w:spacing w:before="100" w:beforeAutospacing="1" w:after="100" w:afterAutospacing="1"/>
    </w:pPr>
  </w:style>
  <w:style w:type="paragraph" w:styleId="Rientrocorpodeltesto2">
    <w:name w:val="Body Text Indent 2"/>
    <w:basedOn w:val="Normale"/>
    <w:pPr>
      <w:ind w:left="180"/>
      <w:jc w:val="both"/>
    </w:pPr>
    <w:rPr>
      <w:rFonts w:ascii="Verdana" w:hAnsi="Verdana" w:cs="Arial"/>
      <w:sz w:val="20"/>
    </w:rPr>
  </w:style>
  <w:style w:type="paragraph" w:styleId="Corpotesto">
    <w:name w:val="Body Text"/>
    <w:basedOn w:val="Normale"/>
    <w:pPr>
      <w:jc w:val="both"/>
    </w:pPr>
    <w:rPr>
      <w:rFonts w:ascii="Verdana" w:hAnsi="Verdana" w:cs="Arial"/>
      <w:sz w:val="20"/>
    </w:rPr>
  </w:style>
  <w:style w:type="paragraph" w:styleId="Sommario8">
    <w:name w:val="toc 8"/>
    <w:basedOn w:val="Normale"/>
    <w:next w:val="Normale"/>
    <w:autoRedefine/>
    <w:semiHidden/>
    <w:pPr>
      <w:ind w:left="1680"/>
    </w:pPr>
  </w:style>
  <w:style w:type="paragraph" w:styleId="Sommario2">
    <w:name w:val="toc 2"/>
    <w:basedOn w:val="Sommario1"/>
    <w:next w:val="Normale"/>
    <w:autoRedefine/>
    <w:uiPriority w:val="39"/>
    <w:pPr>
      <w:pBdr>
        <w:top w:val="single" w:sz="4" w:space="1" w:color="365F91"/>
        <w:bottom w:val="single" w:sz="4" w:space="0" w:color="365F91"/>
      </w:pBdr>
      <w:shd w:val="clear" w:color="auto" w:fill="auto"/>
      <w:spacing w:before="120"/>
      <w:ind w:left="113"/>
    </w:pPr>
    <w:rPr>
      <w:color w:val="auto"/>
    </w:rPr>
  </w:style>
  <w:style w:type="paragraph" w:styleId="Sommario9">
    <w:name w:val="toc 9"/>
    <w:basedOn w:val="Normale"/>
    <w:next w:val="Normale"/>
    <w:autoRedefine/>
    <w:semiHidden/>
    <w:pPr>
      <w:ind w:left="1920"/>
    </w:pPr>
  </w:style>
  <w:style w:type="paragraph" w:styleId="Sommario3">
    <w:name w:val="toc 3"/>
    <w:basedOn w:val="Sommario2"/>
    <w:next w:val="CorpoAltF0"/>
    <w:autoRedefine/>
    <w:uiPriority w:val="39"/>
    <w:pPr>
      <w:pBdr>
        <w:top w:val="none" w:sz="0" w:space="0" w:color="auto"/>
        <w:bottom w:val="none" w:sz="0" w:space="0" w:color="auto"/>
      </w:pBdr>
      <w:shd w:val="clear" w:color="auto" w:fill="D9D9D9"/>
    </w:pPr>
  </w:style>
  <w:style w:type="paragraph" w:styleId="Sommario5">
    <w:name w:val="toc 5"/>
    <w:basedOn w:val="Normale"/>
    <w:next w:val="Normale"/>
    <w:autoRedefine/>
    <w:uiPriority w:val="39"/>
    <w:pPr>
      <w:ind w:left="1134"/>
    </w:pPr>
    <w:rPr>
      <w:rFonts w:ascii="Arial" w:hAnsi="Arial"/>
      <w:i/>
      <w:sz w:val="18"/>
    </w:rPr>
  </w:style>
  <w:style w:type="paragraph" w:customStyle="1" w:styleId="Default">
    <w:name w:val="Default"/>
    <w:pPr>
      <w:autoSpaceDE w:val="0"/>
      <w:autoSpaceDN w:val="0"/>
      <w:adjustRightInd w:val="0"/>
    </w:pPr>
    <w:rPr>
      <w:rFonts w:ascii="Verdana" w:hAnsi="Verdana"/>
    </w:rPr>
  </w:style>
  <w:style w:type="paragraph" w:styleId="Sommario6">
    <w:name w:val="toc 6"/>
    <w:basedOn w:val="Normale"/>
    <w:next w:val="Normale"/>
    <w:autoRedefine/>
    <w:semiHidden/>
    <w:pPr>
      <w:ind w:left="1200"/>
    </w:pPr>
  </w:style>
  <w:style w:type="paragraph" w:styleId="Sommario7">
    <w:name w:val="toc 7"/>
    <w:basedOn w:val="Normale"/>
    <w:next w:val="Normale"/>
    <w:autoRedefine/>
    <w:semiHidden/>
    <w:pPr>
      <w:ind w:left="1440"/>
    </w:pPr>
  </w:style>
  <w:style w:type="character" w:styleId="Enfasigrassetto">
    <w:name w:val="Strong"/>
    <w:rPr>
      <w:b/>
      <w:bCs/>
    </w:rPr>
  </w:style>
  <w:style w:type="character" w:styleId="Collegamentovisitato">
    <w:name w:val="FollowedHyperlink"/>
    <w:rPr>
      <w:color w:val="800080"/>
      <w:u w:val="single"/>
    </w:rPr>
  </w:style>
  <w:style w:type="paragraph" w:customStyle="1" w:styleId="TS-titolo-Comando">
    <w:name w:val="TS-titolo-Comando"/>
    <w:basedOn w:val="TS-titolo-01"/>
    <w:qFormat/>
    <w:pPr>
      <w:jc w:val="center"/>
    </w:pPr>
    <w:rPr>
      <w:rFonts w:cs="Times New Roman"/>
      <w:bCs/>
      <w:i w:val="0"/>
      <w:sz w:val="32"/>
    </w:rPr>
  </w:style>
  <w:style w:type="character" w:customStyle="1" w:styleId="corpoAltFCarattere">
    <w:name w:val="corpo (Alt+F) Carattere"/>
    <w:link w:val="corpoAltF"/>
    <w:rPr>
      <w:rFonts w:ascii="Arial" w:hAnsi="Arial" w:cs="Arial"/>
      <w:lang w:val="it-IT" w:eastAsia="it-IT" w:bidi="ar-SA"/>
    </w:rPr>
  </w:style>
  <w:style w:type="paragraph" w:styleId="Indice7">
    <w:name w:val="index 7"/>
    <w:basedOn w:val="Normale"/>
    <w:next w:val="Normale"/>
    <w:autoRedefine/>
    <w:semiHidden/>
    <w:pPr>
      <w:ind w:left="1400" w:hanging="200"/>
    </w:pPr>
    <w:rPr>
      <w:sz w:val="20"/>
      <w:szCs w:val="20"/>
    </w:rPr>
  </w:style>
  <w:style w:type="paragraph" w:customStyle="1" w:styleId="Paragrafoconcampialtp">
    <w:name w:val="Paragrafo con campi (alt+p)"/>
    <w:basedOn w:val="Normale"/>
    <w:pPr>
      <w:spacing w:after="120"/>
      <w:ind w:left="3402" w:hanging="3402"/>
      <w:jc w:val="both"/>
    </w:pPr>
    <w:rPr>
      <w:rFonts w:ascii="Arial" w:hAnsi="Arial"/>
      <w:i/>
      <w:sz w:val="20"/>
      <w:szCs w:val="20"/>
    </w:rPr>
  </w:style>
  <w:style w:type="paragraph" w:customStyle="1" w:styleId="Interlinafra2righeALTA">
    <w:name w:val="Interlina fra 2 righe (ALT+A)"/>
    <w:next w:val="Funzionealth"/>
    <w:pPr>
      <w:spacing w:line="120" w:lineRule="exact"/>
    </w:pPr>
    <w:rPr>
      <w:b/>
      <w:i/>
    </w:rPr>
  </w:style>
  <w:style w:type="paragraph" w:customStyle="1" w:styleId="CorpoCentrato">
    <w:name w:val="Corpo Centrato"/>
    <w:basedOn w:val="corpoAltF"/>
    <w:next w:val="corpoAltF"/>
    <w:pPr>
      <w:jc w:val="center"/>
    </w:pPr>
  </w:style>
  <w:style w:type="paragraph" w:customStyle="1" w:styleId="CorpoSpazioPrima">
    <w:name w:val="Corpo SpazioPrima"/>
    <w:basedOn w:val="corpoAltF"/>
    <w:next w:val="corpoAltF"/>
    <w:link w:val="CorpoSpazioPrimaCarattere"/>
    <w:pPr>
      <w:spacing w:before="120"/>
    </w:pPr>
  </w:style>
  <w:style w:type="paragraph" w:customStyle="1" w:styleId="TS-titolo-05">
    <w:name w:val="TS-titolo-05"/>
    <w:basedOn w:val="Normale"/>
    <w:next w:val="CorpoAltF0"/>
    <w:link w:val="TS-titolo-05Carattere"/>
    <w:qFormat/>
    <w:pPr>
      <w:pBdr>
        <w:top w:val="single" w:sz="4" w:space="1" w:color="auto"/>
        <w:bottom w:val="single" w:sz="4" w:space="1" w:color="auto"/>
      </w:pBdr>
      <w:spacing w:before="240" w:after="60"/>
    </w:pPr>
    <w:rPr>
      <w:rFonts w:ascii="Arial" w:hAnsi="Arial"/>
      <w:sz w:val="20"/>
    </w:rPr>
  </w:style>
  <w:style w:type="table" w:styleId="Grigliatabella">
    <w:name w:val="Table Grid"/>
    <w:basedOn w:val="Tabellanormale"/>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fumetto">
    <w:name w:val="Balloon Text"/>
    <w:basedOn w:val="Normale"/>
    <w:semiHidden/>
    <w:rPr>
      <w:rFonts w:ascii="Tahoma" w:hAnsi="Tahoma" w:cs="Tahoma"/>
      <w:sz w:val="16"/>
      <w:szCs w:val="16"/>
    </w:rPr>
  </w:style>
  <w:style w:type="paragraph" w:customStyle="1" w:styleId="SpazioPrimaAltS">
    <w:name w:val="SpazioPrima (Alt+S)"/>
    <w:basedOn w:val="corpoAltF"/>
    <w:next w:val="corpoAltF"/>
    <w:pPr>
      <w:spacing w:before="120"/>
    </w:pPr>
  </w:style>
  <w:style w:type="character" w:customStyle="1" w:styleId="TS-titolo-05Carattere">
    <w:name w:val="TS-titolo-05 Carattere"/>
    <w:link w:val="TS-titolo-05"/>
    <w:rPr>
      <w:rFonts w:ascii="Arial" w:hAnsi="Arial"/>
      <w:szCs w:val="24"/>
    </w:rPr>
  </w:style>
  <w:style w:type="character" w:customStyle="1" w:styleId="TS-titolo-04Carattere">
    <w:name w:val="TS-titolo-04 Carattere"/>
    <w:link w:val="TS-titolo-04"/>
    <w:rPr>
      <w:rFonts w:ascii="Arial" w:hAnsi="Arial"/>
      <w:b/>
      <w:kern w:val="28"/>
      <w:sz w:val="24"/>
      <w:szCs w:val="24"/>
    </w:rPr>
  </w:style>
  <w:style w:type="character" w:customStyle="1" w:styleId="CorpoSpazioPrimaCarattere">
    <w:name w:val="Corpo SpazioPrima Carattere"/>
    <w:basedOn w:val="corpoAltFCarattere"/>
    <w:link w:val="CorpoSpazioPrima"/>
    <w:rPr>
      <w:rFonts w:ascii="Arial" w:hAnsi="Arial" w:cs="Arial"/>
      <w:lang w:val="it-IT" w:eastAsia="it-IT" w:bidi="ar-SA"/>
    </w:rPr>
  </w:style>
  <w:style w:type="paragraph" w:customStyle="1" w:styleId="testo">
    <w:name w:val="testo"/>
    <w:basedOn w:val="Normale"/>
  </w:style>
  <w:style w:type="character" w:customStyle="1" w:styleId="corpoAltFCarattere1">
    <w:name w:val="corpo (Alt+F) Carattere1"/>
    <w:rPr>
      <w:rFonts w:ascii="Arial" w:hAnsi="Arial" w:cs="Arial"/>
      <w:lang w:val="it-IT" w:eastAsia="it-IT" w:bidi="ar-SA"/>
    </w:rPr>
  </w:style>
  <w:style w:type="character" w:customStyle="1" w:styleId="corpoCarattere">
    <w:name w:val="corpo Carattere"/>
    <w:link w:val="corpo"/>
    <w:rPr>
      <w:rFonts w:ascii="Arial" w:hAnsi="Arial" w:cs="Arial"/>
      <w:lang w:val="it-IT" w:eastAsia="it-IT" w:bidi="ar-SA"/>
    </w:rPr>
  </w:style>
  <w:style w:type="character" w:customStyle="1" w:styleId="StileArial10pt">
    <w:name w:val="Stile Arial 10 pt"/>
    <w:rPr>
      <w:rFonts w:ascii="Arial" w:hAnsi="Arial"/>
      <w:sz w:val="20"/>
    </w:rPr>
  </w:style>
  <w:style w:type="paragraph" w:customStyle="1" w:styleId="CorpoAltF0">
    <w:name w:val="Corpo (Alt+F)"/>
    <w:basedOn w:val="Normale"/>
    <w:link w:val="CorpoAltFCarattere0"/>
    <w:qFormat/>
    <w:pPr>
      <w:jc w:val="both"/>
    </w:pPr>
    <w:rPr>
      <w:rFonts w:ascii="Arial" w:hAnsi="Arial"/>
      <w:sz w:val="20"/>
      <w:szCs w:val="20"/>
    </w:rPr>
  </w:style>
  <w:style w:type="character" w:customStyle="1" w:styleId="IntestazioneCarattere">
    <w:name w:val="Intestazione Carattere"/>
    <w:link w:val="Intestazione"/>
    <w:rPr>
      <w:lang w:val="it-IT" w:eastAsia="it-IT" w:bidi="ar-SA"/>
    </w:rPr>
  </w:style>
  <w:style w:type="character" w:customStyle="1" w:styleId="CarattereCarattere">
    <w:name w:val="Carattere Carattere"/>
    <w:rPr>
      <w:rFonts w:ascii="Times New Roman" w:eastAsia="Times New Roman" w:hAnsi="Times New Roman" w:cs="Times New Roman"/>
      <w:sz w:val="20"/>
      <w:szCs w:val="20"/>
      <w:lang w:eastAsia="it-IT"/>
    </w:rPr>
  </w:style>
  <w:style w:type="character" w:customStyle="1" w:styleId="FunzionealthCarattere1">
    <w:name w:val="Funzione(alt+h) Carattere1"/>
    <w:link w:val="Funzionealth"/>
    <w:rPr>
      <w:rFonts w:ascii="Arial" w:hAnsi="Arial"/>
      <w:i/>
      <w:lang w:val="it-IT" w:eastAsia="it-IT" w:bidi="ar-SA"/>
    </w:rPr>
  </w:style>
  <w:style w:type="character" w:customStyle="1" w:styleId="Titolo2Carattere">
    <w:name w:val="Titolo 2 Carattere"/>
    <w:link w:val="Titolo2"/>
    <w:rPr>
      <w:rFonts w:ascii="Verdana" w:hAnsi="Verdana"/>
      <w:b/>
      <w:bCs/>
      <w:szCs w:val="24"/>
      <w:lang w:val="it-IT" w:eastAsia="it-IT" w:bidi="ar-SA"/>
    </w:rPr>
  </w:style>
  <w:style w:type="paragraph" w:customStyle="1" w:styleId="WWNewPage">
    <w:name w:val="WW_NewPage"/>
    <w:basedOn w:val="Normale"/>
    <w:qFormat/>
    <w:pPr>
      <w:jc w:val="both"/>
    </w:pPr>
    <w:rPr>
      <w:rFonts w:ascii="Arial" w:hAnsi="Arial"/>
      <w:b/>
      <w:bCs/>
      <w:color w:val="FFFFFF"/>
      <w:sz w:val="4"/>
      <w:szCs w:val="4"/>
    </w:rPr>
  </w:style>
  <w:style w:type="paragraph" w:customStyle="1" w:styleId="WWRelease">
    <w:name w:val="WW_Release"/>
    <w:basedOn w:val="Intestazione"/>
    <w:pPr>
      <w:tabs>
        <w:tab w:val="clear" w:pos="4819"/>
        <w:tab w:val="clear" w:pos="9638"/>
      </w:tabs>
    </w:pPr>
    <w:rPr>
      <w:rFonts w:ascii="Arial" w:hAnsi="Arial" w:cs="Arial"/>
      <w:b/>
      <w:bCs/>
    </w:rPr>
  </w:style>
  <w:style w:type="character" w:customStyle="1" w:styleId="CorpoAltFCarattere0">
    <w:name w:val="Corpo (Alt+F) Carattere"/>
    <w:link w:val="CorpoAltF0"/>
    <w:rPr>
      <w:rFonts w:ascii="Arial" w:hAnsi="Arial" w:cs="Arial"/>
    </w:rPr>
  </w:style>
  <w:style w:type="paragraph" w:customStyle="1" w:styleId="WWReleaseTipo">
    <w:name w:val="WW_Release_Tipo"/>
    <w:basedOn w:val="Intestazione"/>
    <w:pPr>
      <w:tabs>
        <w:tab w:val="clear" w:pos="4819"/>
        <w:tab w:val="clear" w:pos="9638"/>
      </w:tabs>
    </w:pPr>
    <w:rPr>
      <w:rFonts w:ascii="Arial" w:hAnsi="Arial" w:cs="Arial"/>
      <w:b/>
    </w:rPr>
  </w:style>
  <w:style w:type="paragraph" w:customStyle="1" w:styleId="WWNormativaSoftware">
    <w:name w:val="WW_NormativaSoftware"/>
    <w:basedOn w:val="TS-titolo-Comando"/>
    <w:next w:val="CorpoAltF0"/>
    <w:pPr>
      <w:spacing w:before="60"/>
      <w:ind w:left="176"/>
      <w:jc w:val="left"/>
    </w:pPr>
    <w:rPr>
      <w:color w:val="17365D"/>
      <w:sz w:val="28"/>
    </w:rPr>
  </w:style>
  <w:style w:type="paragraph" w:customStyle="1" w:styleId="WWTipoDocumento">
    <w:name w:val="WW_TipoDocumento"/>
    <w:basedOn w:val="CorpoAltF0"/>
    <w:next w:val="CorpoAltF0"/>
    <w:link w:val="WWTipoDocumentoCarattere"/>
    <w:qFormat/>
    <w:pPr>
      <w:ind w:left="142"/>
    </w:pPr>
    <w:rPr>
      <w:b/>
      <w:color w:val="FFFFFF" w:themeColor="background1"/>
      <w:sz w:val="10"/>
      <w:szCs w:val="22"/>
    </w:rPr>
  </w:style>
  <w:style w:type="character" w:customStyle="1" w:styleId="WWTipoDocumentoCarattere">
    <w:name w:val="WW_TipoDocumento Carattere"/>
    <w:link w:val="WWTipoDocumento"/>
    <w:rPr>
      <w:rFonts w:ascii="Arial" w:hAnsi="Arial"/>
      <w:b/>
      <w:color w:val="FFFFFF" w:themeColor="background1"/>
      <w:sz w:val="10"/>
      <w:szCs w:val="22"/>
    </w:rPr>
  </w:style>
  <w:style w:type="paragraph" w:customStyle="1" w:styleId="Ignora">
    <w:name w:val="Ignora"/>
    <w:basedOn w:val="CorpoAltF0"/>
    <w:qFormat/>
  </w:style>
  <w:style w:type="character" w:customStyle="1" w:styleId="TS-titolo-01Carattere">
    <w:name w:val="TS-titolo-01 Carattere"/>
    <w:link w:val="TS-titolo-01"/>
    <w:rPr>
      <w:rFonts w:ascii="Arial" w:hAnsi="Arial" w:cs="Arial"/>
      <w:b/>
      <w:i/>
      <w:sz w:val="28"/>
    </w:rPr>
  </w:style>
  <w:style w:type="character" w:customStyle="1" w:styleId="normaltextrun1">
    <w:name w:val="normaltextrun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4357494">
      <w:bodyDiv w:val="1"/>
      <w:marLeft w:val="0"/>
      <w:marRight w:val="0"/>
      <w:marTop w:val="0"/>
      <w:marBottom w:val="0"/>
      <w:divBdr>
        <w:top w:val="none" w:sz="0" w:space="0" w:color="auto"/>
        <w:left w:val="none" w:sz="0" w:space="0" w:color="auto"/>
        <w:bottom w:val="none" w:sz="0" w:space="0" w:color="auto"/>
        <w:right w:val="none" w:sz="0" w:space="0" w:color="auto"/>
      </w:divBdr>
    </w:div>
    <w:div w:id="467095707">
      <w:bodyDiv w:val="1"/>
      <w:marLeft w:val="0"/>
      <w:marRight w:val="0"/>
      <w:marTop w:val="0"/>
      <w:marBottom w:val="0"/>
      <w:divBdr>
        <w:top w:val="none" w:sz="0" w:space="0" w:color="auto"/>
        <w:left w:val="none" w:sz="0" w:space="0" w:color="auto"/>
        <w:bottom w:val="none" w:sz="0" w:space="0" w:color="auto"/>
        <w:right w:val="none" w:sz="0" w:space="0" w:color="auto"/>
      </w:divBdr>
    </w:div>
    <w:div w:id="494882600">
      <w:bodyDiv w:val="1"/>
      <w:marLeft w:val="0"/>
      <w:marRight w:val="0"/>
      <w:marTop w:val="0"/>
      <w:marBottom w:val="0"/>
      <w:divBdr>
        <w:top w:val="none" w:sz="0" w:space="0" w:color="auto"/>
        <w:left w:val="none" w:sz="0" w:space="0" w:color="auto"/>
        <w:bottom w:val="none" w:sz="0" w:space="0" w:color="auto"/>
        <w:right w:val="none" w:sz="0" w:space="0" w:color="auto"/>
      </w:divBdr>
    </w:div>
    <w:div w:id="1401176200">
      <w:bodyDiv w:val="1"/>
      <w:marLeft w:val="0"/>
      <w:marRight w:val="0"/>
      <w:marTop w:val="0"/>
      <w:marBottom w:val="0"/>
      <w:divBdr>
        <w:top w:val="none" w:sz="0" w:space="0" w:color="auto"/>
        <w:left w:val="none" w:sz="0" w:space="0" w:color="auto"/>
        <w:bottom w:val="none" w:sz="0" w:space="0" w:color="auto"/>
        <w:right w:val="none" w:sz="0" w:space="0" w:color="auto"/>
      </w:divBdr>
      <w:divsChild>
        <w:div w:id="605431396">
          <w:marLeft w:val="0"/>
          <w:marRight w:val="0"/>
          <w:marTop w:val="0"/>
          <w:marBottom w:val="0"/>
          <w:divBdr>
            <w:top w:val="none" w:sz="0" w:space="0" w:color="auto"/>
            <w:left w:val="none" w:sz="0" w:space="0" w:color="auto"/>
            <w:bottom w:val="none" w:sz="0" w:space="0" w:color="auto"/>
            <w:right w:val="none" w:sz="0" w:space="0" w:color="auto"/>
          </w:divBdr>
        </w:div>
      </w:divsChild>
    </w:div>
    <w:div w:id="1498690586">
      <w:bodyDiv w:val="1"/>
      <w:marLeft w:val="0"/>
      <w:marRight w:val="0"/>
      <w:marTop w:val="0"/>
      <w:marBottom w:val="0"/>
      <w:divBdr>
        <w:top w:val="none" w:sz="0" w:space="0" w:color="auto"/>
        <w:left w:val="none" w:sz="0" w:space="0" w:color="auto"/>
        <w:bottom w:val="none" w:sz="0" w:space="0" w:color="auto"/>
        <w:right w:val="none" w:sz="0" w:space="0" w:color="auto"/>
      </w:divBdr>
    </w:div>
    <w:div w:id="1553424732">
      <w:bodyDiv w:val="1"/>
      <w:marLeft w:val="0"/>
      <w:marRight w:val="0"/>
      <w:marTop w:val="0"/>
      <w:marBottom w:val="0"/>
      <w:divBdr>
        <w:top w:val="none" w:sz="0" w:space="0" w:color="auto"/>
        <w:left w:val="none" w:sz="0" w:space="0" w:color="auto"/>
        <w:bottom w:val="none" w:sz="0" w:space="0" w:color="auto"/>
        <w:right w:val="none" w:sz="0" w:space="0" w:color="auto"/>
      </w:divBdr>
      <w:divsChild>
        <w:div w:id="221452772">
          <w:blockQuote w:val="1"/>
          <w:marLeft w:val="75"/>
          <w:marRight w:val="0"/>
          <w:marTop w:val="100"/>
          <w:marBottom w:val="100"/>
          <w:divBdr>
            <w:top w:val="none" w:sz="0" w:space="0" w:color="auto"/>
            <w:left w:val="single" w:sz="12" w:space="4" w:color="000000"/>
            <w:bottom w:val="none" w:sz="0" w:space="0" w:color="auto"/>
            <w:right w:val="none" w:sz="0" w:space="0" w:color="auto"/>
          </w:divBdr>
          <w:divsChild>
            <w:div w:id="14892944">
              <w:marLeft w:val="0"/>
              <w:marRight w:val="0"/>
              <w:marTop w:val="0"/>
              <w:marBottom w:val="0"/>
              <w:divBdr>
                <w:top w:val="none" w:sz="0" w:space="0" w:color="auto"/>
                <w:left w:val="none" w:sz="0" w:space="0" w:color="auto"/>
                <w:bottom w:val="none" w:sz="0" w:space="0" w:color="auto"/>
                <w:right w:val="none" w:sz="0" w:space="0" w:color="auto"/>
              </w:divBdr>
            </w:div>
            <w:div w:id="252396170">
              <w:marLeft w:val="0"/>
              <w:marRight w:val="0"/>
              <w:marTop w:val="0"/>
              <w:marBottom w:val="0"/>
              <w:divBdr>
                <w:top w:val="none" w:sz="0" w:space="0" w:color="auto"/>
                <w:left w:val="none" w:sz="0" w:space="0" w:color="auto"/>
                <w:bottom w:val="none" w:sz="0" w:space="0" w:color="auto"/>
                <w:right w:val="none" w:sz="0" w:space="0" w:color="auto"/>
              </w:divBdr>
            </w:div>
            <w:div w:id="673725923">
              <w:marLeft w:val="0"/>
              <w:marRight w:val="0"/>
              <w:marTop w:val="0"/>
              <w:marBottom w:val="0"/>
              <w:divBdr>
                <w:top w:val="none" w:sz="0" w:space="0" w:color="auto"/>
                <w:left w:val="none" w:sz="0" w:space="0" w:color="auto"/>
                <w:bottom w:val="none" w:sz="0" w:space="0" w:color="auto"/>
                <w:right w:val="none" w:sz="0" w:space="0" w:color="auto"/>
              </w:divBdr>
            </w:div>
            <w:div w:id="728766397">
              <w:marLeft w:val="0"/>
              <w:marRight w:val="0"/>
              <w:marTop w:val="0"/>
              <w:marBottom w:val="0"/>
              <w:divBdr>
                <w:top w:val="none" w:sz="0" w:space="0" w:color="auto"/>
                <w:left w:val="none" w:sz="0" w:space="0" w:color="auto"/>
                <w:bottom w:val="none" w:sz="0" w:space="0" w:color="auto"/>
                <w:right w:val="none" w:sz="0" w:space="0" w:color="auto"/>
              </w:divBdr>
            </w:div>
            <w:div w:id="837305700">
              <w:marLeft w:val="0"/>
              <w:marRight w:val="0"/>
              <w:marTop w:val="0"/>
              <w:marBottom w:val="0"/>
              <w:divBdr>
                <w:top w:val="none" w:sz="0" w:space="0" w:color="auto"/>
                <w:left w:val="none" w:sz="0" w:space="0" w:color="auto"/>
                <w:bottom w:val="none" w:sz="0" w:space="0" w:color="auto"/>
                <w:right w:val="none" w:sz="0" w:space="0" w:color="auto"/>
              </w:divBdr>
            </w:div>
            <w:div w:id="1328362234">
              <w:marLeft w:val="0"/>
              <w:marRight w:val="0"/>
              <w:marTop w:val="0"/>
              <w:marBottom w:val="0"/>
              <w:divBdr>
                <w:top w:val="none" w:sz="0" w:space="0" w:color="auto"/>
                <w:left w:val="none" w:sz="0" w:space="0" w:color="auto"/>
                <w:bottom w:val="none" w:sz="0" w:space="0" w:color="auto"/>
                <w:right w:val="none" w:sz="0" w:space="0" w:color="auto"/>
              </w:divBdr>
            </w:div>
            <w:div w:id="1335916339">
              <w:marLeft w:val="0"/>
              <w:marRight w:val="0"/>
              <w:marTop w:val="0"/>
              <w:marBottom w:val="0"/>
              <w:divBdr>
                <w:top w:val="none" w:sz="0" w:space="0" w:color="auto"/>
                <w:left w:val="none" w:sz="0" w:space="0" w:color="auto"/>
                <w:bottom w:val="none" w:sz="0" w:space="0" w:color="auto"/>
                <w:right w:val="none" w:sz="0" w:space="0" w:color="auto"/>
              </w:divBdr>
            </w:div>
            <w:div w:id="1358889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2634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foot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moricoli\Documents\Modelli%20di%20Office%20personalizzati\PAGHE_AAAAXXYY_IMP.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EC36FB-7C21-4F74-904C-5502A96F9C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PAGHE_AAAAXXYY_IMP.dotx</Template>
  <TotalTime>19</TotalTime>
  <Pages>15</Pages>
  <Words>3675</Words>
  <Characters>23885</Characters>
  <Application>Microsoft Office Word</Application>
  <DocSecurity>0</DocSecurity>
  <Lines>199</Lines>
  <Paragraphs>55</Paragraphs>
  <ScaleCrop>false</ScaleCrop>
  <HeadingPairs>
    <vt:vector size="2" baseType="variant">
      <vt:variant>
        <vt:lpstr>Titolo</vt:lpstr>
      </vt:variant>
      <vt:variant>
        <vt:i4>1</vt:i4>
      </vt:variant>
    </vt:vector>
  </HeadingPairs>
  <TitlesOfParts>
    <vt:vector size="1" baseType="lpstr">
      <vt:lpstr>SPEDIZIONE</vt:lpstr>
    </vt:vector>
  </TitlesOfParts>
  <Company>Teamsystem S.p.A</Company>
  <LinksUpToDate>false</LinksUpToDate>
  <CharactersWithSpaces>27505</CharactersWithSpaces>
  <SharedDoc>false</SharedDoc>
  <HLinks>
    <vt:vector size="36" baseType="variant">
      <vt:variant>
        <vt:i4>2818054</vt:i4>
      </vt:variant>
      <vt:variant>
        <vt:i4>26</vt:i4>
      </vt:variant>
      <vt:variant>
        <vt:i4>0</vt:i4>
      </vt:variant>
      <vt:variant>
        <vt:i4>5</vt:i4>
      </vt:variant>
      <vt:variant>
        <vt:lpwstr/>
      </vt:variant>
      <vt:variant>
        <vt:lpwstr>_Toc6327287</vt:lpwstr>
      </vt:variant>
      <vt:variant>
        <vt:i4>2818054</vt:i4>
      </vt:variant>
      <vt:variant>
        <vt:i4>20</vt:i4>
      </vt:variant>
      <vt:variant>
        <vt:i4>0</vt:i4>
      </vt:variant>
      <vt:variant>
        <vt:i4>5</vt:i4>
      </vt:variant>
      <vt:variant>
        <vt:lpwstr/>
      </vt:variant>
      <vt:variant>
        <vt:lpwstr>_Toc6327286</vt:lpwstr>
      </vt:variant>
      <vt:variant>
        <vt:i4>2818054</vt:i4>
      </vt:variant>
      <vt:variant>
        <vt:i4>14</vt:i4>
      </vt:variant>
      <vt:variant>
        <vt:i4>0</vt:i4>
      </vt:variant>
      <vt:variant>
        <vt:i4>5</vt:i4>
      </vt:variant>
      <vt:variant>
        <vt:lpwstr/>
      </vt:variant>
      <vt:variant>
        <vt:lpwstr>_Toc6327285</vt:lpwstr>
      </vt:variant>
      <vt:variant>
        <vt:i4>2818054</vt:i4>
      </vt:variant>
      <vt:variant>
        <vt:i4>8</vt:i4>
      </vt:variant>
      <vt:variant>
        <vt:i4>0</vt:i4>
      </vt:variant>
      <vt:variant>
        <vt:i4>5</vt:i4>
      </vt:variant>
      <vt:variant>
        <vt:lpwstr/>
      </vt:variant>
      <vt:variant>
        <vt:lpwstr>_Toc6327284</vt:lpwstr>
      </vt:variant>
      <vt:variant>
        <vt:i4>2818054</vt:i4>
      </vt:variant>
      <vt:variant>
        <vt:i4>2</vt:i4>
      </vt:variant>
      <vt:variant>
        <vt:i4>0</vt:i4>
      </vt:variant>
      <vt:variant>
        <vt:i4>5</vt:i4>
      </vt:variant>
      <vt:variant>
        <vt:lpwstr/>
      </vt:variant>
      <vt:variant>
        <vt:lpwstr>_Toc6327283</vt:lpwstr>
      </vt:variant>
      <vt:variant>
        <vt:i4>6422638</vt:i4>
      </vt:variant>
      <vt:variant>
        <vt:i4>0</vt:i4>
      </vt:variant>
      <vt:variant>
        <vt:i4>0</vt:i4>
      </vt:variant>
      <vt:variant>
        <vt:i4>5</vt:i4>
      </vt:variant>
      <vt:variant>
        <vt:lpwstr/>
      </vt:variant>
      <vt:variant>
        <vt:lpwstr>INDICE</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SPEDIZIONE</dc:title>
  <dc:subject/>
  <dc:creator>Luca Moricoli</dc:creator>
  <cp:keywords/>
  <cp:lastModifiedBy>Luca Moricoli</cp:lastModifiedBy>
  <cp:revision>5</cp:revision>
  <cp:lastPrinted>2019-04-16T17:10:00Z</cp:lastPrinted>
  <dcterms:created xsi:type="dcterms:W3CDTF">2019-04-16T16:50:00Z</dcterms:created>
  <dcterms:modified xsi:type="dcterms:W3CDTF">2019-04-16T17:11:00Z</dcterms:modified>
</cp:coreProperties>
</file>