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539"/>
        <w:gridCol w:w="3824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>
              <w:rPr>
                <w:rFonts w:cs="Arial"/>
                <w:b/>
                <w:lang w:val="en-US"/>
              </w:rPr>
              <w:t>Versione</w:t>
            </w:r>
            <w:proofErr w:type="spellEnd"/>
            <w:r>
              <w:rPr>
                <w:rFonts w:cs="Arial"/>
                <w:b/>
                <w:lang w:val="en-US"/>
              </w:rPr>
              <w:t xml:space="preserve"> 2019.3.0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PAGHE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2019.3.0 (Versione completa)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20.11.2019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Ignora"/>
      </w:pPr>
    </w:p>
    <w:p>
      <w:pPr>
        <w:pStyle w:val="Ignora"/>
      </w:pPr>
    </w:p>
    <w:p>
      <w:pPr>
        <w:pStyle w:val="WWNewPage"/>
      </w:pPr>
    </w:p>
    <w:p>
      <w:pPr>
        <w:pStyle w:val="CorpoAltF0"/>
        <w:pBdr>
          <w:top w:val="single" w:sz="12" w:space="1" w:color="1F497D" w:themeColor="text2"/>
          <w:left w:val="single" w:sz="12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left="142" w:right="141"/>
        <w:jc w:val="center"/>
        <w:rPr>
          <w:b/>
          <w:i/>
          <w:sz w:val="28"/>
          <w:szCs w:val="28"/>
        </w:rPr>
      </w:pPr>
      <w:bookmarkStart w:id="1" w:name="INDICE"/>
      <w:bookmarkEnd w:id="1"/>
      <w:r>
        <w:rPr>
          <w:b/>
          <w:i/>
          <w:sz w:val="28"/>
          <w:szCs w:val="28"/>
        </w:rPr>
        <w:t>ANOMALIE CORRETTE</w:t>
      </w:r>
    </w:p>
    <w:p>
      <w:pPr>
        <w:pStyle w:val="Ignora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25146343" w:history="1">
        <w:r>
          <w:rPr>
            <w:rStyle w:val="Collegamentoipertestuale"/>
          </w:rPr>
          <w:t>CEDOL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4" w:history="1">
        <w:r>
          <w:rPr>
            <w:rStyle w:val="Collegamentoipertestuale"/>
          </w:rPr>
          <w:t>GEMA01 – Codice tabella comporto 8442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5" w:history="1">
        <w:r>
          <w:rPr>
            <w:rStyle w:val="Collegamentoipertestuale"/>
          </w:rPr>
          <w:t>STCED – Stampa cedolino layout 2018 e 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6" w:history="1">
        <w:r>
          <w:rPr>
            <w:rStyle w:val="Collegamentoipertestuale"/>
          </w:rPr>
          <w:t>STPRELU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7" w:history="1">
        <w:r>
          <w:rPr>
            <w:rStyle w:val="Collegamentoipertestuale"/>
          </w:rPr>
          <w:t>QUADR - PSQUA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8" w:history="1">
        <w:r>
          <w:rPr>
            <w:rStyle w:val="Collegamentoipertestuale"/>
          </w:rPr>
          <w:t>PSQUA / STOQUA – Primanota conti personalizzati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49" w:history="1">
        <w:r>
          <w:rPr>
            <w:rStyle w:val="Collegamentoipertestuale"/>
          </w:rPr>
          <w:t>STAZI &gt; Stampa anagrafica a pagine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50" w:history="1">
        <w:r>
          <w:rPr>
            <w:rStyle w:val="Collegamentoipertestuale"/>
          </w:rPr>
          <w:t>TELBON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51" w:history="1">
        <w:r>
          <w:rPr>
            <w:rStyle w:val="Collegamentoipertestuale"/>
          </w:rPr>
          <w:t>QVEXPO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52" w:history="1">
        <w:r>
          <w:rPr>
            <w:rStyle w:val="Collegamentoipertestuale"/>
          </w:rPr>
          <w:t>TELTFRI – Telematico TFR Fondo Tesoreria INPS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5146353" w:history="1">
        <w:r>
          <w:rPr>
            <w:rStyle w:val="Collegamentoipertestuale"/>
          </w:rPr>
          <w:t>BUDGET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_Toc25146353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25146354" w:history="1">
        <w:r>
          <w:rPr>
            <w:rStyle w:val="Collegamentoipertestuale"/>
            <w:noProof/>
          </w:rPr>
          <w:t>Elaborazione preventivo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_Toc25146354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25146355" w:history="1">
        <w:r>
          <w:rPr>
            <w:rStyle w:val="Collegamentoipertestuale"/>
            <w:noProof/>
          </w:rPr>
          <w:t>Elaborazione consuntivo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_Toc25146355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Ignora"/>
      </w:pPr>
    </w:p>
    <w:p>
      <w:pPr>
        <w:pStyle w:val="Ignora"/>
      </w:pPr>
    </w:p>
    <w:p>
      <w:pPr>
        <w:pStyle w:val="Ignora"/>
        <w:sectPr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</w:pPr>
      <w:bookmarkStart w:id="2" w:name="_Toc25146015"/>
      <w:bookmarkStart w:id="3" w:name="_Toc25146343"/>
      <w:r>
        <w:t>CEDOL</w:t>
      </w:r>
      <w:bookmarkEnd w:id="2"/>
      <w:bookmarkEnd w:id="3"/>
      <w:r>
        <w:t xml:space="preserve"> </w:t>
      </w:r>
    </w:p>
    <w:p>
      <w:pPr>
        <w:pStyle w:val="CorpoAltF0"/>
        <w:spacing w:before="120"/>
      </w:pPr>
      <w:r>
        <w:rPr>
          <w:b/>
          <w:bCs/>
        </w:rPr>
        <w:t>Casistica</w:t>
      </w:r>
    </w:p>
    <w:p>
      <w:pPr>
        <w:pStyle w:val="CorpoAltF0"/>
        <w:numPr>
          <w:ilvl w:val="0"/>
          <w:numId w:val="8"/>
        </w:numPr>
        <w:spacing w:before="60"/>
        <w:ind w:left="284" w:hanging="284"/>
      </w:pPr>
      <w:r>
        <w:t>sviluppo manuale del cedolino;</w:t>
      </w:r>
    </w:p>
    <w:p>
      <w:pPr>
        <w:pStyle w:val="CorpoAltF0"/>
        <w:numPr>
          <w:ilvl w:val="0"/>
          <w:numId w:val="8"/>
        </w:numPr>
        <w:spacing w:before="60"/>
        <w:ind w:left="284" w:hanging="284"/>
      </w:pPr>
      <w:r>
        <w:t>dipendente con gestione della banca ore (campo “</w:t>
      </w:r>
      <w:r>
        <w:rPr>
          <w:i/>
          <w:iCs/>
        </w:rPr>
        <w:t>Gestione banca ore</w:t>
      </w:r>
      <w:r>
        <w:t>” della scheda “</w:t>
      </w:r>
      <w:r>
        <w:rPr>
          <w:i/>
          <w:iCs/>
        </w:rPr>
        <w:t>Ratei</w:t>
      </w:r>
      <w:r>
        <w:t xml:space="preserve">” di </w:t>
      </w:r>
      <w:r>
        <w:rPr>
          <w:b/>
          <w:bCs/>
        </w:rPr>
        <w:t>DIPE</w:t>
      </w:r>
      <w:r>
        <w:t xml:space="preserve"> valorizzato).</w:t>
      </w:r>
    </w:p>
    <w:p>
      <w:pPr>
        <w:pStyle w:val="CorpoAltF0"/>
        <w:spacing w:before="120"/>
      </w:pPr>
      <w:r>
        <w:rPr>
          <w:b/>
          <w:bCs/>
        </w:rPr>
        <w:t>Anomalia</w:t>
      </w:r>
    </w:p>
    <w:p>
      <w:pPr>
        <w:pStyle w:val="CorpoAltF0"/>
        <w:spacing w:before="60"/>
      </w:pPr>
      <w:r>
        <w:t>Dalla versione PAGHE 2019.2.4, inserendo una voce di straordinario il programma non effettuava l’accantonamento delle ore di straordinario a banca ore.</w:t>
      </w:r>
    </w:p>
    <w:p>
      <w:pPr>
        <w:pStyle w:val="CorpoAltF0"/>
        <w:spacing w:before="60"/>
      </w:pPr>
      <w:r>
        <w:t>Si precisa che nel caso in cui nel cedolino era presente almeno una voce automatica collegata al dipendente (voci presenti nella scheda “</w:t>
      </w:r>
      <w:r>
        <w:rPr>
          <w:i/>
          <w:iCs/>
        </w:rPr>
        <w:t>Voci</w:t>
      </w:r>
      <w:r>
        <w:t>” o “</w:t>
      </w:r>
      <w:r>
        <w:rPr>
          <w:i/>
          <w:iCs/>
        </w:rPr>
        <w:t>Voci aziendali</w:t>
      </w:r>
      <w:r>
        <w:t xml:space="preserve">” di </w:t>
      </w:r>
      <w:r>
        <w:rPr>
          <w:b/>
          <w:bCs/>
        </w:rPr>
        <w:t>DIPE</w:t>
      </w:r>
      <w:r>
        <w:t>) l’anomalia non si presentava.</w:t>
      </w:r>
    </w:p>
    <w:p>
      <w:pPr>
        <w:pStyle w:val="CorpoAltF0"/>
      </w:pPr>
    </w:p>
    <w:p>
      <w:pPr>
        <w:pStyle w:val="TS-titolo-04"/>
      </w:pPr>
      <w:bookmarkStart w:id="4" w:name="_Toc22577832"/>
      <w:bookmarkStart w:id="5" w:name="_Toc25146344"/>
      <w:r>
        <w:t>GEMA01 – Codice tabella comporto 8442</w:t>
      </w:r>
      <w:bookmarkEnd w:id="4"/>
      <w:bookmarkEnd w:id="5"/>
    </w:p>
    <w:p>
      <w:pPr>
        <w:pStyle w:val="CorpoAltF0"/>
        <w:spacing w:before="120"/>
      </w:pPr>
      <w:r>
        <w:t>In presenza del codice tabella comporto in oggetto, relativo al CCNL Studi Professionali, nel caso di evento a cavallo di mese con almeno un giorno di carenza liquidato nel mese precedente, il programma conteggiava erroneamente le giornate di carenza nel periodo integrato parzialmente (75% dal 4° al 20° giorno).</w:t>
      </w:r>
    </w:p>
    <w:p>
      <w:pPr>
        <w:pStyle w:val="CorpoAltF0"/>
      </w:pPr>
    </w:p>
    <w:p>
      <w:pPr>
        <w:pStyle w:val="TS-titolo-04"/>
      </w:pPr>
      <w:bookmarkStart w:id="6" w:name="_Toc25146345"/>
      <w:r>
        <w:t>STCED – Stampa cedolino layout 2018 e 2019</w:t>
      </w:r>
      <w:bookmarkEnd w:id="6"/>
    </w:p>
    <w:p>
      <w:pPr>
        <w:pStyle w:val="CorpoAltF0"/>
        <w:spacing w:before="120"/>
      </w:pPr>
      <w:r>
        <w:t>Nella stampa del cedolino con layout standard 2018 e 2019, i campi “</w:t>
      </w:r>
      <w:r>
        <w:rPr>
          <w:i/>
          <w:iCs/>
        </w:rPr>
        <w:t>TFR accantonato anno</w:t>
      </w:r>
      <w:r>
        <w:t>” e “</w:t>
      </w:r>
      <w:r>
        <w:rPr>
          <w:i/>
          <w:iCs/>
        </w:rPr>
        <w:t>TFR spettante da erogare</w:t>
      </w:r>
      <w:r>
        <w:t>” (rispettivamente codici 9015 e 9259 del DataBase dei campi del cedolino) risultavano valorizzati in misura errata nelle seguenti casistiche:</w:t>
      </w:r>
    </w:p>
    <w:p>
      <w:pPr>
        <w:pStyle w:val="CorpoAltF0"/>
        <w:numPr>
          <w:ilvl w:val="0"/>
          <w:numId w:val="4"/>
        </w:numPr>
        <w:spacing w:before="120"/>
        <w:ind w:left="425" w:hanging="357"/>
      </w:pPr>
      <w:r>
        <w:t>cedolino relativo a dipendente licenziato nell’anno precedente con TFR completamente erogato in tale anno (prima in acconto e poi a saldo);</w:t>
      </w:r>
    </w:p>
    <w:p>
      <w:pPr>
        <w:pStyle w:val="CorpoAltF0"/>
        <w:numPr>
          <w:ilvl w:val="0"/>
          <w:numId w:val="4"/>
        </w:numPr>
        <w:spacing w:before="120"/>
        <w:ind w:left="425" w:hanging="357"/>
      </w:pPr>
      <w:r>
        <w:t>presenza di TFR precedentemente versato al Fondo Tesoreria INPS e successivamente recuperato e versato a previdenza complementare;</w:t>
      </w:r>
    </w:p>
    <w:p>
      <w:pPr>
        <w:pStyle w:val="CorpoAltF0"/>
        <w:numPr>
          <w:ilvl w:val="0"/>
          <w:numId w:val="4"/>
        </w:numPr>
        <w:spacing w:before="120"/>
        <w:ind w:left="425" w:hanging="357"/>
      </w:pPr>
      <w:r>
        <w:t>presenza di cedolino aggiuntivo e attivazione della stampa del cedolino totalizzato, in caso di stampa effettuata dopo l’aggiornamento della mensilità (</w:t>
      </w:r>
      <w:r>
        <w:rPr>
          <w:b/>
          <w:bCs/>
        </w:rPr>
        <w:t>AGGI</w:t>
      </w:r>
      <w:r>
        <w:t>).</w:t>
      </w:r>
    </w:p>
    <w:p>
      <w:pPr>
        <w:pStyle w:val="CorpoAltF0"/>
      </w:pPr>
    </w:p>
    <w:p>
      <w:pPr>
        <w:pStyle w:val="TS-titolo-04"/>
      </w:pPr>
      <w:bookmarkStart w:id="7" w:name="_Toc25146016"/>
      <w:bookmarkStart w:id="8" w:name="_Toc25146346"/>
      <w:r>
        <w:t>STPRELU</w:t>
      </w:r>
      <w:bookmarkEnd w:id="7"/>
      <w:bookmarkEnd w:id="8"/>
      <w:r>
        <w:t xml:space="preserve"> </w:t>
      </w:r>
    </w:p>
    <w:p>
      <w:pPr>
        <w:pStyle w:val="CorpoAltF0"/>
        <w:spacing w:before="120"/>
      </w:pPr>
      <w:r>
        <w:rPr>
          <w:b/>
          <w:bCs/>
        </w:rPr>
        <w:t>Casistica</w:t>
      </w:r>
    </w:p>
    <w:p>
      <w:pPr>
        <w:pStyle w:val="CorpoAltF0"/>
        <w:numPr>
          <w:ilvl w:val="0"/>
          <w:numId w:val="6"/>
        </w:numPr>
        <w:spacing w:before="60"/>
        <w:ind w:left="284" w:hanging="289"/>
      </w:pPr>
      <w:r>
        <w:t>stampa delle presenze su foglio separato (</w:t>
      </w:r>
      <w:r>
        <w:rPr>
          <w:b/>
          <w:bCs/>
        </w:rPr>
        <w:t>AZIE</w:t>
      </w:r>
      <w:r>
        <w:t xml:space="preserve"> &gt; scheda “</w:t>
      </w:r>
      <w:r>
        <w:rPr>
          <w:i/>
          <w:iCs/>
        </w:rPr>
        <w:t>L.U.L</w:t>
      </w:r>
      <w:r>
        <w:t>.” &gt; campo “</w:t>
      </w:r>
      <w:r>
        <w:rPr>
          <w:i/>
          <w:iCs/>
        </w:rPr>
        <w:t>Modalità di stampa presenze</w:t>
      </w:r>
      <w:r>
        <w:t xml:space="preserve">” valorizzato a </w:t>
      </w:r>
      <w:r>
        <w:rPr>
          <w:b/>
          <w:bCs/>
        </w:rPr>
        <w:t>2</w:t>
      </w:r>
      <w:r>
        <w:t xml:space="preserve"> o </w:t>
      </w:r>
      <w:r>
        <w:rPr>
          <w:b/>
          <w:bCs/>
        </w:rPr>
        <w:t>3</w:t>
      </w:r>
      <w:r>
        <w:t>);</w:t>
      </w:r>
    </w:p>
    <w:p>
      <w:pPr>
        <w:pStyle w:val="CorpoAltF0"/>
        <w:numPr>
          <w:ilvl w:val="0"/>
          <w:numId w:val="6"/>
        </w:numPr>
        <w:spacing w:before="60"/>
        <w:ind w:left="284" w:hanging="289"/>
      </w:pPr>
      <w:r>
        <w:t>dipendente con collegamento ad un gruppo contratto diverso da quello applicato all’azienda (campo “</w:t>
      </w:r>
      <w:r>
        <w:rPr>
          <w:i/>
          <w:iCs/>
        </w:rPr>
        <w:t>Gruppo contratto</w:t>
      </w:r>
      <w:r>
        <w:t>” nella scheda “</w:t>
      </w:r>
      <w:r>
        <w:rPr>
          <w:i/>
          <w:iCs/>
        </w:rPr>
        <w:t>Retribuzione</w:t>
      </w:r>
      <w:r>
        <w:t xml:space="preserve">” di </w:t>
      </w:r>
      <w:r>
        <w:rPr>
          <w:b/>
          <w:bCs/>
        </w:rPr>
        <w:t>DIPE</w:t>
      </w:r>
      <w:r>
        <w:t>);</w:t>
      </w:r>
    </w:p>
    <w:p>
      <w:pPr>
        <w:pStyle w:val="CorpoAltF0"/>
        <w:numPr>
          <w:ilvl w:val="0"/>
          <w:numId w:val="6"/>
        </w:numPr>
        <w:spacing w:before="60"/>
        <w:ind w:left="284" w:hanging="289"/>
      </w:pPr>
      <w:r>
        <w:t>il codice dell’orario contrattuale indicato nel dipendente (campo “</w:t>
      </w:r>
      <w:r>
        <w:rPr>
          <w:i/>
          <w:iCs/>
        </w:rPr>
        <w:t>Orario contrattuale</w:t>
      </w:r>
      <w:r>
        <w:t>” della scheda “</w:t>
      </w:r>
      <w:r>
        <w:rPr>
          <w:i/>
          <w:iCs/>
        </w:rPr>
        <w:t>Dati generali</w:t>
      </w:r>
      <w:r>
        <w:t xml:space="preserve">” di </w:t>
      </w:r>
      <w:r>
        <w:rPr>
          <w:b/>
          <w:bCs/>
        </w:rPr>
        <w:t>DIPE</w:t>
      </w:r>
      <w:r>
        <w:t>), a causa del diverso gruppo contratto applicato, prevede una diversa distribuzione dell’orario di lavoro, su 5 giorni per il dipendente e su 6 giorni per il gruppo contratto applicato dall’azienda;</w:t>
      </w:r>
    </w:p>
    <w:p>
      <w:pPr>
        <w:pStyle w:val="CorpoAltF0"/>
        <w:numPr>
          <w:ilvl w:val="0"/>
          <w:numId w:val="6"/>
        </w:numPr>
        <w:spacing w:before="60"/>
        <w:ind w:left="284" w:hanging="289"/>
      </w:pPr>
      <w:r>
        <w:t>presenze del mese di un giustificativo caratterizzato dal valore “</w:t>
      </w:r>
      <w:r>
        <w:rPr>
          <w:b/>
          <w:bCs/>
        </w:rPr>
        <w:t>G</w:t>
      </w:r>
      <w:r>
        <w:t>” al campo “</w:t>
      </w:r>
      <w:r>
        <w:rPr>
          <w:i/>
          <w:iCs/>
        </w:rPr>
        <w:t>Regola di utilizzo</w:t>
      </w:r>
      <w:r>
        <w:t xml:space="preserve">” (ad es. giustificativo </w:t>
      </w:r>
      <w:r>
        <w:rPr>
          <w:b/>
          <w:bCs/>
        </w:rPr>
        <w:t>F6</w:t>
      </w:r>
      <w:r>
        <w:t xml:space="preserve"> “</w:t>
      </w:r>
      <w:r>
        <w:rPr>
          <w:i/>
          <w:iCs/>
        </w:rPr>
        <w:t>Ferie godute</w:t>
      </w:r>
      <w:r>
        <w:t>”).</w:t>
      </w:r>
    </w:p>
    <w:p>
      <w:pPr>
        <w:pStyle w:val="CorpoAltF0"/>
      </w:pPr>
    </w:p>
    <w:p>
      <w:pPr>
        <w:pStyle w:val="CorpoAltF0"/>
      </w:pPr>
      <w:r>
        <w:rPr>
          <w:b/>
          <w:bCs/>
        </w:rPr>
        <w:t>Anomalia</w:t>
      </w:r>
    </w:p>
    <w:p>
      <w:pPr>
        <w:pStyle w:val="CorpoAltF0"/>
        <w:spacing w:before="60"/>
      </w:pPr>
      <w:r>
        <w:t xml:space="preserve">Nella casistica sopra esposta non veniva indicato nella stampa </w:t>
      </w:r>
      <w:r>
        <w:rPr>
          <w:b/>
          <w:bCs/>
        </w:rPr>
        <w:t>STPRELU</w:t>
      </w:r>
      <w:r>
        <w:t xml:space="preserve"> il giustificativo in oggetto in quanto il programma verificava lo specifico codice “Orario contrattuale” relativo al gruppo contratto applicato dell’azienda e non dal dipendente.</w:t>
      </w:r>
    </w:p>
    <w:p>
      <w:pPr>
        <w:pStyle w:val="CorpoAltF0"/>
      </w:pPr>
      <w:r>
        <w:br w:type="page"/>
      </w:r>
    </w:p>
    <w:p>
      <w:pPr>
        <w:pStyle w:val="CorpoAltF0"/>
      </w:pPr>
    </w:p>
    <w:p>
      <w:pPr>
        <w:pStyle w:val="TS-titolo-04"/>
      </w:pPr>
      <w:bookmarkStart w:id="9" w:name="_Toc25146020"/>
      <w:bookmarkStart w:id="10" w:name="_Toc25146347"/>
      <w:r>
        <w:t>QUADR - PSQUA</w:t>
      </w:r>
      <w:bookmarkEnd w:id="9"/>
      <w:bookmarkEnd w:id="10"/>
      <w:r>
        <w:t xml:space="preserve"> </w:t>
      </w:r>
    </w:p>
    <w:p>
      <w:pPr>
        <w:pStyle w:val="CorpoAltF0"/>
        <w:spacing w:before="120"/>
      </w:pPr>
      <w:r>
        <w:t>In presenza di due posizioni INAIL con stessa PAT ma aliquote che differiscono per la sola seconda cifra decimale (es. 5,15 per mille e 5,13 per mille), elaborando la quadratura (</w:t>
      </w:r>
      <w:r>
        <w:rPr>
          <w:b/>
          <w:bCs/>
        </w:rPr>
        <w:t>QUADR</w:t>
      </w:r>
      <w:r>
        <w:t>) o la scelta “</w:t>
      </w:r>
      <w:r>
        <w:rPr>
          <w:i/>
          <w:iCs/>
        </w:rPr>
        <w:t>Stampa quadrature</w:t>
      </w:r>
      <w:r>
        <w:t xml:space="preserve">” di </w:t>
      </w:r>
      <w:r>
        <w:rPr>
          <w:b/>
          <w:bCs/>
        </w:rPr>
        <w:t>PSQUA</w:t>
      </w:r>
      <w:r>
        <w:t>, eseguita senza suddivisione o diversa da matricola, l’importo del premio INAIL e dell'addizionale 1% risultavano calcolati con l'aliquota della prima matricola elaborata avente una delle PAT INAIL in oggetto.</w:t>
      </w:r>
    </w:p>
    <w:p>
      <w:pPr>
        <w:pStyle w:val="CorpoAltF0"/>
        <w:spacing w:before="60"/>
      </w:pPr>
      <w:r>
        <w:t xml:space="preserve">Si precisa che la suddetta anomalia non comportava nessuna problematica nella memorizzazione dei dati in </w:t>
      </w:r>
      <w:r>
        <w:rPr>
          <w:b/>
          <w:bCs/>
        </w:rPr>
        <w:t>DIPE</w:t>
      </w:r>
      <w:r>
        <w:t xml:space="preserve"> e il successivo calcolo del </w:t>
      </w:r>
      <w:r>
        <w:rPr>
          <w:b/>
          <w:bCs/>
        </w:rPr>
        <w:t>10SM</w:t>
      </w:r>
      <w:r>
        <w:t>.</w:t>
      </w:r>
    </w:p>
    <w:p>
      <w:pPr>
        <w:pStyle w:val="CorpoAltF0"/>
      </w:pPr>
    </w:p>
    <w:p>
      <w:pPr>
        <w:pStyle w:val="TS-titolo-04"/>
      </w:pPr>
      <w:bookmarkStart w:id="11" w:name="_Toc25146348"/>
      <w:r>
        <w:t>PSQUA / STOQUA – Primanota conti personalizzati</w:t>
      </w:r>
      <w:bookmarkEnd w:id="11"/>
    </w:p>
    <w:p>
      <w:pPr>
        <w:pStyle w:val="CorpoAltF0"/>
        <w:spacing w:before="120"/>
      </w:pPr>
      <w:r>
        <w:t>In caso di stampa (o generazione su file ASCII) della primanota con conti personalizzati, nella descrizione degli analitici relativi all’accantonamento del contributo di solidarietà 10% su versamenti ad enti e fondi, in luogo del carattere “%” veniva riportata la denominazione dello specifico ente o fondo.</w:t>
      </w:r>
    </w:p>
    <w:p>
      <w:pPr>
        <w:pStyle w:val="CorpoAltF0"/>
      </w:pPr>
    </w:p>
    <w:p>
      <w:pPr>
        <w:pStyle w:val="TS-titolo-04"/>
      </w:pPr>
      <w:bookmarkStart w:id="12" w:name="_Toc25146017"/>
      <w:bookmarkStart w:id="13" w:name="_Toc25146349"/>
      <w:r>
        <w:t>STAZI &gt; Stampa anagrafica a pagine</w:t>
      </w:r>
      <w:bookmarkEnd w:id="12"/>
      <w:bookmarkEnd w:id="13"/>
      <w:r>
        <w:t xml:space="preserve"> </w:t>
      </w:r>
    </w:p>
    <w:p>
      <w:pPr>
        <w:pStyle w:val="CorpoAltF0"/>
        <w:spacing w:before="120"/>
      </w:pPr>
      <w:r>
        <w:t xml:space="preserve">Nella scelta in oggetto del comando </w:t>
      </w:r>
      <w:r>
        <w:rPr>
          <w:b/>
          <w:bCs/>
        </w:rPr>
        <w:t>STAZI</w:t>
      </w:r>
      <w:r>
        <w:t xml:space="preserve"> (</w:t>
      </w:r>
      <w:r>
        <w:rPr>
          <w:i/>
          <w:iCs/>
        </w:rPr>
        <w:t>Scelta 1</w:t>
      </w:r>
      <w:r>
        <w:t>) selezionando il campo “</w:t>
      </w:r>
      <w:r>
        <w:rPr>
          <w:i/>
          <w:iCs/>
        </w:rPr>
        <w:t>Progressivi fiscali – Progressivi contributi altri enti previdenziali</w:t>
      </w:r>
      <w:r>
        <w:t>” il programma compilava nella sezione “</w:t>
      </w:r>
      <w:r>
        <w:rPr>
          <w:i/>
          <w:iCs/>
        </w:rPr>
        <w:t>Informazioni relative ai documenti contributivi Pag. 5/2</w:t>
      </w:r>
      <w:r>
        <w:t>” con dei valori errati i campi “</w:t>
      </w:r>
      <w:proofErr w:type="spellStart"/>
      <w:r>
        <w:rPr>
          <w:i/>
          <w:iCs/>
        </w:rPr>
        <w:t>Imp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sos</w:t>
      </w:r>
      <w:proofErr w:type="spellEnd"/>
      <w:r>
        <w:rPr>
          <w:i/>
          <w:iCs/>
        </w:rPr>
        <w:t xml:space="preserve"> DI.208/15</w:t>
      </w:r>
      <w:r>
        <w:t>”, “</w:t>
      </w:r>
      <w:r>
        <w:rPr>
          <w:i/>
          <w:iCs/>
        </w:rPr>
        <w:t>Cong.rit.dl.208/15</w:t>
      </w:r>
      <w:r>
        <w:t>”, “</w:t>
      </w:r>
      <w:r>
        <w:rPr>
          <w:i/>
          <w:iCs/>
        </w:rPr>
        <w:t>Cong.rit.addiz.reg</w:t>
      </w:r>
      <w:r>
        <w:t>” e “</w:t>
      </w:r>
      <w:r>
        <w:rPr>
          <w:i/>
          <w:iCs/>
        </w:rPr>
        <w:t>Cong.rit.addiz.com</w:t>
      </w:r>
      <w:r>
        <w:t>” sia della colonna relativa all’Irpef del mese che del mese successivo.</w:t>
      </w:r>
    </w:p>
    <w:p>
      <w:pPr>
        <w:rPr>
          <w:rFonts w:ascii="Arial" w:hAnsi="Arial"/>
          <w:sz w:val="20"/>
          <w:szCs w:val="20"/>
        </w:rPr>
      </w:pPr>
    </w:p>
    <w:p>
      <w:pPr>
        <w:pStyle w:val="TS-titolo-04"/>
      </w:pPr>
      <w:bookmarkStart w:id="14" w:name="_Toc25146018"/>
      <w:bookmarkStart w:id="15" w:name="_Toc25146350"/>
      <w:r>
        <w:t>TELBON</w:t>
      </w:r>
      <w:bookmarkEnd w:id="14"/>
      <w:bookmarkEnd w:id="15"/>
    </w:p>
    <w:p>
      <w:pPr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funzione di ricerca (“</w:t>
      </w:r>
      <w:r>
        <w:rPr>
          <w:rFonts w:ascii="Arial" w:hAnsi="Arial"/>
          <w:i/>
          <w:iCs/>
          <w:sz w:val="20"/>
          <w:szCs w:val="20"/>
        </w:rPr>
        <w:t>F2</w:t>
      </w:r>
      <w:r>
        <w:rPr>
          <w:rFonts w:ascii="Arial" w:hAnsi="Arial"/>
          <w:sz w:val="20"/>
          <w:szCs w:val="20"/>
        </w:rPr>
        <w:t>”) eseguita in corrispondenza del campo “</w:t>
      </w:r>
      <w:r>
        <w:rPr>
          <w:rFonts w:ascii="Arial" w:hAnsi="Arial"/>
          <w:i/>
          <w:iCs/>
          <w:sz w:val="20"/>
          <w:szCs w:val="20"/>
        </w:rPr>
        <w:t>CUC</w:t>
      </w:r>
      <w:r>
        <w:rPr>
          <w:rFonts w:ascii="Arial" w:hAnsi="Arial"/>
          <w:sz w:val="20"/>
          <w:szCs w:val="20"/>
        </w:rPr>
        <w:t>” presente nel pulsante “</w:t>
      </w:r>
      <w:r>
        <w:rPr>
          <w:rFonts w:ascii="Arial" w:hAnsi="Arial"/>
          <w:i/>
          <w:iCs/>
          <w:sz w:val="20"/>
          <w:szCs w:val="20"/>
        </w:rPr>
        <w:t>Azioni su bonifici</w:t>
      </w:r>
      <w:r>
        <w:rPr>
          <w:rFonts w:ascii="Arial" w:hAnsi="Arial"/>
          <w:sz w:val="20"/>
          <w:szCs w:val="20"/>
        </w:rPr>
        <w:t>”, non consentiva di selezionare correttamente i conti correnti aziendali se superiori a 10.</w:t>
      </w:r>
    </w:p>
    <w:p>
      <w:pPr>
        <w:rPr>
          <w:rFonts w:ascii="Arial" w:hAnsi="Arial"/>
          <w:sz w:val="20"/>
          <w:szCs w:val="20"/>
        </w:rPr>
      </w:pPr>
    </w:p>
    <w:p>
      <w:pPr>
        <w:pStyle w:val="TS-titolo-04"/>
      </w:pPr>
      <w:bookmarkStart w:id="16" w:name="_Toc25146019"/>
      <w:bookmarkStart w:id="17" w:name="_Toc25146351"/>
      <w:r>
        <w:t>QVEXPO</w:t>
      </w:r>
      <w:bookmarkEnd w:id="16"/>
      <w:bookmarkEnd w:id="17"/>
      <w:r>
        <w:t xml:space="preserve"> </w:t>
      </w:r>
    </w:p>
    <w:p>
      <w:pPr>
        <w:pStyle w:val="CorpoAltF0"/>
        <w:spacing w:before="120"/>
      </w:pPr>
      <w:r>
        <w:rPr>
          <w:b/>
          <w:bCs/>
        </w:rPr>
        <w:t>Casistica</w:t>
      </w:r>
    </w:p>
    <w:p>
      <w:pPr>
        <w:pStyle w:val="CorpoAltF0"/>
        <w:numPr>
          <w:ilvl w:val="0"/>
          <w:numId w:val="7"/>
        </w:numPr>
        <w:spacing w:before="60"/>
        <w:ind w:left="284" w:hanging="284"/>
      </w:pPr>
      <w:r>
        <w:t>estrazione effettuata per più aziende contemporaneamente di cui una risulta cessata (azienda con valorizzazione del campo “</w:t>
      </w:r>
      <w:r>
        <w:rPr>
          <w:i/>
          <w:iCs/>
        </w:rPr>
        <w:t>Azienda cessata</w:t>
      </w:r>
      <w:r>
        <w:t>” &gt; scheda “</w:t>
      </w:r>
      <w:r>
        <w:rPr>
          <w:i/>
          <w:iCs/>
        </w:rPr>
        <w:t>Dati statistici</w:t>
      </w:r>
      <w:r>
        <w:t xml:space="preserve">” di </w:t>
      </w:r>
      <w:r>
        <w:rPr>
          <w:b/>
          <w:bCs/>
        </w:rPr>
        <w:t>AZIE</w:t>
      </w:r>
      <w:r>
        <w:t>);</w:t>
      </w:r>
    </w:p>
    <w:p>
      <w:pPr>
        <w:pStyle w:val="CorpoAltF0"/>
        <w:numPr>
          <w:ilvl w:val="0"/>
          <w:numId w:val="7"/>
        </w:numPr>
        <w:spacing w:before="60"/>
        <w:ind w:left="284" w:hanging="284"/>
      </w:pPr>
      <w:r>
        <w:t>estrazione effettuata con selezione del campo “</w:t>
      </w:r>
      <w:r>
        <w:rPr>
          <w:i/>
          <w:iCs/>
        </w:rPr>
        <w:t>Prima Nota (STOQUA)</w:t>
      </w:r>
      <w:r>
        <w:t>” della sezione “</w:t>
      </w:r>
      <w:r>
        <w:rPr>
          <w:i/>
          <w:iCs/>
        </w:rPr>
        <w:t>Altri archivi</w:t>
      </w:r>
      <w:r>
        <w:t>”.</w:t>
      </w:r>
    </w:p>
    <w:p>
      <w:pPr>
        <w:pStyle w:val="CorpoAltF0"/>
      </w:pPr>
    </w:p>
    <w:p>
      <w:pPr>
        <w:pStyle w:val="CorpoAltF0"/>
      </w:pPr>
      <w:r>
        <w:rPr>
          <w:b/>
          <w:bCs/>
        </w:rPr>
        <w:t>Anomalia</w:t>
      </w:r>
    </w:p>
    <w:p>
      <w:pPr>
        <w:pStyle w:val="CorpoAltF0"/>
        <w:spacing w:before="60"/>
      </w:pPr>
      <w:r>
        <w:t xml:space="preserve">All’interno del file di estrazione STOQUA.csv il programma riportava solo i dati relativi all’ultima azienda selezionata in </w:t>
      </w:r>
      <w:r>
        <w:rPr>
          <w:b/>
          <w:bCs/>
        </w:rPr>
        <w:t>QVEXPO</w:t>
      </w:r>
      <w:r>
        <w:t xml:space="preserve"> per l’estrazione.</w:t>
      </w:r>
    </w:p>
    <w:p>
      <w:pPr>
        <w:pStyle w:val="CorpoAltF0"/>
      </w:pPr>
    </w:p>
    <w:p>
      <w:pPr>
        <w:pStyle w:val="TS-titolo-04"/>
      </w:pPr>
      <w:bookmarkStart w:id="18" w:name="_Toc25146352"/>
      <w:r>
        <w:t>TELTFRI – Telematico TFR Fondo Tesoreria INPS</w:t>
      </w:r>
      <w:bookmarkEnd w:id="18"/>
    </w:p>
    <w:p>
      <w:pPr>
        <w:pStyle w:val="CorpoAltF0"/>
        <w:spacing w:before="120"/>
      </w:pPr>
      <w:r>
        <w:t>In caso di attivazione della stampa del cedolino totalizzato (campo “</w:t>
      </w:r>
      <w:r>
        <w:rPr>
          <w:i/>
          <w:iCs/>
        </w:rPr>
        <w:t>Generazione cedolino totalizzato</w:t>
      </w:r>
      <w:r>
        <w:t>” nella scheda “</w:t>
      </w:r>
      <w:r>
        <w:rPr>
          <w:i/>
          <w:iCs/>
        </w:rPr>
        <w:t>L.U.L.</w:t>
      </w:r>
      <w:r>
        <w:t xml:space="preserve">” di </w:t>
      </w:r>
      <w:r>
        <w:rPr>
          <w:b/>
          <w:bCs/>
        </w:rPr>
        <w:t>AZIE</w:t>
      </w:r>
      <w:r>
        <w:t>), nel file telematico in oggetto il programma riportava in misura doppia l’importo del relativo TFR a carico del Fondo Tesoreria INPS con riferimento ai dipendenti con un cedolino aggiuntivo nella mensilità interessata,.</w:t>
      </w:r>
    </w:p>
    <w:p>
      <w:pPr>
        <w:pStyle w:val="CorpoAltF0"/>
      </w:pPr>
      <w:r>
        <w:br w:type="page"/>
      </w:r>
    </w:p>
    <w:p>
      <w:pPr>
        <w:pStyle w:val="CorpoAltF0"/>
      </w:pPr>
    </w:p>
    <w:p>
      <w:pPr>
        <w:pStyle w:val="TS-titolo-04"/>
      </w:pPr>
      <w:bookmarkStart w:id="19" w:name="_Toc25146353"/>
      <w:r>
        <w:t>BUDGET</w:t>
      </w:r>
      <w:bookmarkEnd w:id="19"/>
    </w:p>
    <w:p>
      <w:pPr>
        <w:pStyle w:val="TS-titolo-05"/>
      </w:pPr>
      <w:bookmarkStart w:id="20" w:name="_Toc25146354"/>
      <w:r>
        <w:t>Elaborazione preventivo</w:t>
      </w:r>
      <w:bookmarkEnd w:id="20"/>
    </w:p>
    <w:p>
      <w:pPr>
        <w:pStyle w:val="CorpoAltF0"/>
        <w:spacing w:before="120"/>
      </w:pPr>
      <w:r>
        <w:t>Con riferimento ai dipendenti a tempo determinato, il programma non verificava la data di trasformazione a tempo indeterminato eventualmente inserita nella sezione “</w:t>
      </w:r>
      <w:r>
        <w:rPr>
          <w:i/>
          <w:iCs/>
        </w:rPr>
        <w:t>Variazione/Licenziamento dipendenti</w:t>
      </w:r>
      <w:r>
        <w:t>” creata, per la specifica matricola, nelle tabelle di configurazione relative all’anno oggetto di budget.</w:t>
      </w:r>
    </w:p>
    <w:p>
      <w:pPr>
        <w:pStyle w:val="CorpoAltF0"/>
      </w:pPr>
      <w:r>
        <w:t>Conseguentemente, il dipendente non veniva considerato nel budget per le mensilità successive alla data di termine del contratto.</w:t>
      </w:r>
    </w:p>
    <w:p>
      <w:pPr>
        <w:pStyle w:val="CorpoAltF0"/>
        <w:rPr>
          <w:highlight w:val="yellow"/>
        </w:rPr>
      </w:pPr>
    </w:p>
    <w:p>
      <w:pPr>
        <w:pStyle w:val="TS-titolo-05"/>
      </w:pPr>
      <w:bookmarkStart w:id="21" w:name="_Toc25146355"/>
      <w:r>
        <w:t>Elaborazione consuntivo</w:t>
      </w:r>
      <w:bookmarkEnd w:id="21"/>
    </w:p>
    <w:p>
      <w:pPr>
        <w:pStyle w:val="CorpoAltF0"/>
        <w:spacing w:before="120"/>
        <w:rPr>
          <w:b/>
          <w:bCs/>
        </w:rPr>
      </w:pPr>
      <w:r>
        <w:rPr>
          <w:b/>
          <w:bCs/>
        </w:rPr>
        <w:t>Casistica:</w:t>
      </w:r>
    </w:p>
    <w:p>
      <w:pPr>
        <w:pStyle w:val="CorpoAltF0"/>
        <w:numPr>
          <w:ilvl w:val="0"/>
          <w:numId w:val="2"/>
        </w:numPr>
        <w:spacing w:before="60"/>
        <w:ind w:left="284" w:hanging="284"/>
      </w:pPr>
      <w:r>
        <w:t>Elaborazione del consuntivo relativo all’anno precedente;</w:t>
      </w:r>
    </w:p>
    <w:p>
      <w:pPr>
        <w:pStyle w:val="CorpoAltF0"/>
        <w:numPr>
          <w:ilvl w:val="0"/>
          <w:numId w:val="2"/>
        </w:numPr>
        <w:spacing w:before="60"/>
        <w:ind w:left="284" w:hanging="284"/>
      </w:pPr>
      <w:r>
        <w:t xml:space="preserve">Presenza di </w:t>
      </w:r>
      <w:bookmarkStart w:id="22" w:name="_Hlk23872486"/>
      <w:r>
        <w:t xml:space="preserve">dipendenti trasferiti di filiale nell’anno successivo a quello oggetto di consuntivo </w:t>
      </w:r>
      <w:bookmarkEnd w:id="22"/>
      <w:r>
        <w:t>(anno in corso).</w:t>
      </w:r>
    </w:p>
    <w:p>
      <w:pPr>
        <w:pStyle w:val="CorpoAltF0"/>
        <w:spacing w:before="120"/>
        <w:rPr>
          <w:b/>
          <w:bCs/>
        </w:rPr>
      </w:pPr>
      <w:r>
        <w:rPr>
          <w:b/>
          <w:bCs/>
        </w:rPr>
        <w:t>Anomalie:</w:t>
      </w:r>
    </w:p>
    <w:p>
      <w:pPr>
        <w:pStyle w:val="CorpoAltF0"/>
        <w:numPr>
          <w:ilvl w:val="0"/>
          <w:numId w:val="5"/>
        </w:numPr>
        <w:spacing w:before="120"/>
        <w:ind w:left="425" w:hanging="357"/>
      </w:pPr>
      <w:r>
        <w:t>Con riferimento ai suddetti dipendenti, nel consuntivo non veniva rilevato il costo relativo alla rivalutazione del TFR accantonato in azienda.</w:t>
      </w:r>
    </w:p>
    <w:p>
      <w:pPr>
        <w:pStyle w:val="CorpoAltF0"/>
      </w:pPr>
    </w:p>
    <w:p>
      <w:pPr>
        <w:pStyle w:val="CorpoAltF0"/>
        <w:numPr>
          <w:ilvl w:val="0"/>
          <w:numId w:val="5"/>
        </w:numPr>
        <w:ind w:left="425" w:hanging="357"/>
      </w:pPr>
      <w:r>
        <w:t>In caso di filiale con solo dipendenti trasferiti nella filiale stessa nell’anno in corso, nel consuntivo relativo all’anno precedente, i dipendenti successivamente trasferiti venivano erroneamente considerati anche nella filiale di destinazione (elaborando erroneamente i relativi cedolini di forecast) sebbene il trasferimento risulti effettuato nell’anno successivo a quello di riferimento del consuntivo.</w:t>
      </w:r>
    </w:p>
    <w:p>
      <w:pPr>
        <w:pStyle w:val="CorpoAltF0"/>
        <w:spacing w:before="120"/>
        <w:ind w:left="426"/>
      </w:pPr>
      <w:r>
        <w:t xml:space="preserve">Per la correzione di tale casistica, il programma è stato modificato al fine di </w:t>
      </w:r>
      <w:r>
        <w:rPr>
          <w:b/>
          <w:bCs/>
        </w:rPr>
        <w:t>verificare la data di entrata/uscita dei dipendenti oggetto di trasferimento</w:t>
      </w:r>
      <w:r>
        <w:t xml:space="preserve"> (pulsante “</w:t>
      </w:r>
      <w:r>
        <w:rPr>
          <w:i/>
          <w:iCs/>
        </w:rPr>
        <w:t>Trasferimento</w:t>
      </w:r>
      <w:r>
        <w:t>” della scheda “</w:t>
      </w:r>
      <w:r>
        <w:rPr>
          <w:i/>
          <w:iCs/>
        </w:rPr>
        <w:t>Dati generali</w:t>
      </w:r>
      <w:r>
        <w:t xml:space="preserve">” di </w:t>
      </w:r>
      <w:r>
        <w:rPr>
          <w:b/>
          <w:bCs/>
        </w:rPr>
        <w:t>DIPE</w:t>
      </w:r>
      <w:r>
        <w:t>).</w:t>
      </w:r>
    </w:p>
    <w:p>
      <w:pPr>
        <w:pStyle w:val="CorpoAltF0"/>
        <w:spacing w:before="120"/>
        <w:ind w:left="426"/>
      </w:pPr>
      <w:r>
        <w:t xml:space="preserve">Di seguito si riepilogano le modalità applicate a partire dal presente aggiornamento per l’elaborazione delle mensilità a consuntivo e delle eventuali mensilità di </w:t>
      </w:r>
      <w:r>
        <w:rPr>
          <w:i/>
          <w:iCs/>
        </w:rPr>
        <w:t>forecast</w:t>
      </w:r>
      <w:r>
        <w:t>,.</w:t>
      </w:r>
    </w:p>
    <w:p>
      <w:pPr>
        <w:pStyle w:val="CorpoAltF0"/>
        <w:spacing w:before="120"/>
        <w:ind w:left="426"/>
      </w:pPr>
      <w:r>
        <w:t>Per l’elaborazione del consuntivo, il programma verifica il relativo anno e mese di aggiornamento indicato nella scheda “</w:t>
      </w:r>
      <w:r>
        <w:rPr>
          <w:i/>
          <w:iCs/>
        </w:rPr>
        <w:t>Dati statistici</w:t>
      </w:r>
      <w:r>
        <w:t>” della specifica azienda/filiale; conseguentemente:</w:t>
      </w:r>
    </w:p>
    <w:p>
      <w:pPr>
        <w:pStyle w:val="CorpoAltF0"/>
        <w:numPr>
          <w:ilvl w:val="0"/>
          <w:numId w:val="3"/>
        </w:numPr>
        <w:spacing w:before="60"/>
        <w:ind w:left="851" w:hanging="284"/>
      </w:pPr>
      <w:r>
        <w:t>fino all’ultima mensilità aggiornata il programma rileverà esclusivamente i costi derivanti dai cedolini effettivamente elaborati;</w:t>
      </w:r>
    </w:p>
    <w:p>
      <w:pPr>
        <w:pStyle w:val="CorpoAltF0"/>
        <w:numPr>
          <w:ilvl w:val="0"/>
          <w:numId w:val="3"/>
        </w:numPr>
        <w:spacing w:before="60"/>
        <w:ind w:left="851" w:hanging="284"/>
      </w:pPr>
      <w:r>
        <w:t xml:space="preserve">dalla mensilità successiva all’ultima aggiornata, il programma procederà alla generazione dei cedolini di </w:t>
      </w:r>
      <w:r>
        <w:rPr>
          <w:i/>
          <w:iCs/>
        </w:rPr>
        <w:t>forecast</w:t>
      </w:r>
      <w:r>
        <w:t xml:space="preserve"> (in funzione delle tabelle di configurazione impostate per le relative mensilità) con riferimento ai dipend</w:t>
      </w:r>
      <w:bookmarkStart w:id="23" w:name="_GoBack"/>
      <w:bookmarkEnd w:id="23"/>
      <w:r>
        <w:t>enti (o dipendenti previsionali) effettivamente in forza nei mesi interessati, verificando la rispettiva data di assunzione/licenziamento e di</w:t>
      </w:r>
      <w:r>
        <w:rPr>
          <w:b/>
          <w:bCs/>
        </w:rPr>
        <w:t xml:space="preserve"> entrata/uscita</w:t>
      </w:r>
      <w:r>
        <w:t>.</w:t>
      </w:r>
    </w:p>
    <w:p>
      <w:pPr>
        <w:pStyle w:val="Ignora"/>
      </w:pPr>
    </w:p>
    <w:p>
      <w:pPr>
        <w:pStyle w:val="WWTipoDocumento"/>
        <w:rPr>
          <w:sz w:val="20"/>
          <w:szCs w:val="20"/>
        </w:rPr>
      </w:pPr>
      <w:r>
        <w:t>----------------------------------</w:t>
      </w:r>
    </w:p>
    <w:p>
      <w:pPr>
        <w:pStyle w:val="Ignora"/>
      </w:pPr>
    </w:p>
    <w:sectPr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2019.3.0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before="20" w:line="240" w:lineRule="atLeast"/>
            <w:ind w:right="357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2019.3.0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BCD"/>
    <w:multiLevelType w:val="hybridMultilevel"/>
    <w:tmpl w:val="8026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B5B"/>
    <w:multiLevelType w:val="hybridMultilevel"/>
    <w:tmpl w:val="5808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AA5F45"/>
    <w:multiLevelType w:val="hybridMultilevel"/>
    <w:tmpl w:val="9FECA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B6B"/>
    <w:multiLevelType w:val="hybridMultilevel"/>
    <w:tmpl w:val="BA829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95D52"/>
    <w:multiLevelType w:val="hybridMultilevel"/>
    <w:tmpl w:val="B7666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86828"/>
    <w:multiLevelType w:val="hybridMultilevel"/>
    <w:tmpl w:val="B73CFF64"/>
    <w:lvl w:ilvl="0" w:tplc="2B4EC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A3FC2"/>
    <w:multiLevelType w:val="hybridMultilevel"/>
    <w:tmpl w:val="4EC67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145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C9583776-70D6-4FCC-B816-E9137B5E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2084-71A8-4149-9EC4-963CACA4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8</TotalTime>
  <Pages>4</Pages>
  <Words>1125</Words>
  <Characters>7882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8990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l.moricoli@teamsystem.com</dc:creator>
  <cp:lastModifiedBy>Luca Moricoli</cp:lastModifiedBy>
  <cp:revision>5</cp:revision>
  <cp:lastPrinted>2019-11-20T11:54:00Z</cp:lastPrinted>
  <dcterms:created xsi:type="dcterms:W3CDTF">2019-11-20T11:34:00Z</dcterms:created>
  <dcterms:modified xsi:type="dcterms:W3CDTF">2019-11-20T11:54:00Z</dcterms:modified>
</cp:coreProperties>
</file>