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CorpoAltF0"/>
      </w:pPr>
    </w:p>
    <w:tbl>
      <w:tblPr>
        <w:tblStyle w:val="Grigliatabella"/>
        <w:tblW w:w="9639" w:type="dxa"/>
        <w:jc w:val="center"/>
        <w:shd w:val="clear" w:color="auto" w:fill="D9D9D9" w:themeFill="background1" w:themeFillShade="D9"/>
        <w:tblLook w:val="04A0" w:firstRow="1" w:lastRow="0" w:firstColumn="1" w:lastColumn="0" w:noHBand="0" w:noVBand="1"/>
      </w:tblPr>
      <w:tblGrid>
        <w:gridCol w:w="9639"/>
      </w:tblGrid>
      <w:tr>
        <w:trPr>
          <w:jc w:val="center"/>
        </w:trPr>
        <w:tc>
          <w:tcPr>
            <w:tcW w:w="9639" w:type="dxa"/>
            <w:shd w:val="clear" w:color="auto" w:fill="D9D9D9" w:themeFill="background1" w:themeFillShade="D9"/>
            <w:vAlign w:val="center"/>
          </w:tcPr>
          <w:p>
            <w:pPr>
              <w:pStyle w:val="WWRelease"/>
              <w:jc w:val="center"/>
              <w:rPr>
                <w:lang w:val="en-US"/>
              </w:rPr>
            </w:pPr>
            <w:r>
              <w:rPr>
                <w:lang w:val="en-US"/>
              </w:rPr>
              <w:t>RELEASE Versione 2019.3.0</w:t>
            </w:r>
          </w:p>
        </w:tc>
      </w:tr>
    </w:tbl>
    <w:p>
      <w:pPr>
        <w:pStyle w:val="CorpoAltF0"/>
        <w:rPr>
          <w:sz w:val="10"/>
          <w:szCs w:val="1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973"/>
        <w:gridCol w:w="3841"/>
      </w:tblGrid>
      <w:tr>
        <w:trPr>
          <w:cantSplit/>
          <w:trHeight w:val="340"/>
          <w:jc w:val="center"/>
        </w:trPr>
        <w:tc>
          <w:tcPr>
            <w:tcW w:w="3820" w:type="dxa"/>
            <w:vMerge w:val="restart"/>
            <w:tcBorders>
              <w:top w:val="nil"/>
              <w:left w:val="nil"/>
              <w:bottom w:val="nil"/>
              <w:right w:val="single" w:sz="4" w:space="0" w:color="365F91"/>
            </w:tcBorders>
            <w:tcMar>
              <w:left w:w="28" w:type="dxa"/>
              <w:right w:w="28" w:type="dxa"/>
            </w:tcMar>
          </w:tcPr>
          <w:p>
            <w:pPr>
              <w:pStyle w:val="WWTipoDocumento"/>
            </w:pPr>
            <w:r>
              <w:t>CONTENUTO DEL RILASCIO</w:t>
            </w:r>
          </w:p>
          <w:p>
            <w:pPr>
              <w:pStyle w:val="CorpoAltF0"/>
              <w:rPr>
                <w:color w:val="000000"/>
              </w:rPr>
            </w:pPr>
            <w:r>
              <w:rPr>
                <w:noProof/>
              </w:rPr>
              <w:drawing>
                <wp:inline distT="0" distB="0" distL="0" distR="0">
                  <wp:extent cx="2350135" cy="2820670"/>
                  <wp:effectExtent l="0" t="0" r="0" b="0"/>
                  <wp:docPr id="3" name="Immagine 3" descr="PAGHE_spla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GHE_splash"/>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0135" cy="2820670"/>
                          </a:xfrm>
                          <a:prstGeom prst="rect">
                            <a:avLst/>
                          </a:prstGeom>
                          <a:noFill/>
                          <a:ln>
                            <a:noFill/>
                          </a:ln>
                        </pic:spPr>
                      </pic:pic>
                    </a:graphicData>
                  </a:graphic>
                </wp:inline>
              </w:drawing>
            </w:r>
          </w:p>
        </w:tc>
        <w:tc>
          <w:tcPr>
            <w:tcW w:w="1973"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Applicativo:</w:t>
            </w:r>
          </w:p>
        </w:tc>
        <w:tc>
          <w:tcPr>
            <w:tcW w:w="3841"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b/>
                <w:sz w:val="28"/>
                <w:szCs w:val="28"/>
              </w:rPr>
            </w:pPr>
            <w:r>
              <w:rPr>
                <w:rFonts w:cs="Arial"/>
                <w:b/>
                <w:sz w:val="28"/>
                <w:szCs w:val="28"/>
              </w:rPr>
              <w:t>PAGHE</w:t>
            </w:r>
          </w:p>
        </w:tc>
      </w:tr>
      <w:tr>
        <w:trPr>
          <w:cantSplit/>
          <w:trHeight w:val="340"/>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3"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Oggetto:</w:t>
            </w:r>
          </w:p>
        </w:tc>
        <w:tc>
          <w:tcPr>
            <w:tcW w:w="3841"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rPr>
            </w:pPr>
            <w:r>
              <w:rPr>
                <w:rFonts w:cs="Arial"/>
              </w:rPr>
              <w:t>Aggiornamento procedura</w:t>
            </w:r>
          </w:p>
        </w:tc>
      </w:tr>
      <w:tr>
        <w:trPr>
          <w:cantSplit/>
          <w:trHeight w:val="340"/>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3"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Versione:</w:t>
            </w:r>
          </w:p>
        </w:tc>
        <w:tc>
          <w:tcPr>
            <w:tcW w:w="3841"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b/>
              </w:rPr>
            </w:pPr>
            <w:r>
              <w:rPr>
                <w:rFonts w:cs="Arial"/>
                <w:b/>
              </w:rPr>
              <w:t>2019.3.0 (Versione completa)</w:t>
            </w:r>
          </w:p>
        </w:tc>
      </w:tr>
      <w:tr>
        <w:trPr>
          <w:cantSplit/>
          <w:trHeight w:val="340"/>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3"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Data di rilascio:</w:t>
            </w:r>
          </w:p>
        </w:tc>
        <w:tc>
          <w:tcPr>
            <w:tcW w:w="3841"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b/>
              </w:rPr>
            </w:pPr>
            <w:r>
              <w:rPr>
                <w:rFonts w:cs="Arial"/>
                <w:b/>
              </w:rPr>
              <w:t>20.11.2019</w:t>
            </w:r>
          </w:p>
        </w:tc>
      </w:tr>
      <w:tr>
        <w:trPr>
          <w:cantSplit/>
          <w:trHeight w:val="340"/>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3"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Riferimento:</w:t>
            </w:r>
          </w:p>
        </w:tc>
        <w:tc>
          <w:tcPr>
            <w:tcW w:w="3841"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b/>
              </w:rPr>
            </w:pPr>
            <w:r>
              <w:rPr>
                <w:rFonts w:cs="Arial"/>
                <w:b/>
              </w:rPr>
              <w:t>Contenuto del Rilascio</w:t>
            </w:r>
          </w:p>
        </w:tc>
      </w:tr>
      <w:tr>
        <w:trPr>
          <w:cantSplit/>
          <w:trHeight w:val="340"/>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3"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113"/>
              <w:jc w:val="right"/>
              <w:rPr>
                <w:rFonts w:ascii="Arial" w:hAnsi="Arial" w:cs="Arial"/>
                <w:b/>
              </w:rPr>
            </w:pPr>
            <w:r>
              <w:rPr>
                <w:rFonts w:ascii="Arial" w:hAnsi="Arial" w:cs="Arial"/>
                <w:b/>
              </w:rPr>
              <w:t>Classificazione:</w:t>
            </w:r>
          </w:p>
        </w:tc>
        <w:tc>
          <w:tcPr>
            <w:tcW w:w="3841" w:type="dxa"/>
            <w:tcBorders>
              <w:top w:val="single" w:sz="4" w:space="0" w:color="365F91"/>
              <w:left w:val="single" w:sz="4" w:space="0" w:color="365F91"/>
              <w:bottom w:val="single" w:sz="4" w:space="0" w:color="365F91"/>
              <w:right w:val="single" w:sz="4" w:space="0" w:color="365F91"/>
            </w:tcBorders>
            <w:vAlign w:val="center"/>
          </w:tcPr>
          <w:p>
            <w:pPr>
              <w:pStyle w:val="CorpoAltF0"/>
              <w:ind w:left="113"/>
              <w:rPr>
                <w:rFonts w:cs="Arial"/>
                <w:b/>
              </w:rPr>
            </w:pPr>
            <w:r>
              <w:rPr>
                <w:rFonts w:cs="Arial"/>
                <w:b/>
              </w:rPr>
              <w:t>Guida utente</w:t>
            </w:r>
          </w:p>
        </w:tc>
      </w:tr>
      <w:tr>
        <w:trPr>
          <w:cantSplit/>
          <w:trHeight w:hRule="exact" w:val="113"/>
          <w:jc w:val="center"/>
        </w:trPr>
        <w:tc>
          <w:tcPr>
            <w:tcW w:w="3820" w:type="dxa"/>
            <w:vMerge/>
            <w:tcBorders>
              <w:left w:val="nil"/>
              <w:bottom w:val="nil"/>
              <w:right w:val="nil"/>
            </w:tcBorders>
            <w:tcMar>
              <w:left w:w="28" w:type="dxa"/>
              <w:right w:w="28" w:type="dxa"/>
            </w:tcMar>
          </w:tcPr>
          <w:p>
            <w:pPr>
              <w:rPr>
                <w:color w:val="000000"/>
              </w:rPr>
            </w:pPr>
          </w:p>
        </w:tc>
        <w:tc>
          <w:tcPr>
            <w:tcW w:w="1973" w:type="dxa"/>
            <w:tcBorders>
              <w:top w:val="single" w:sz="4" w:space="0" w:color="365F91"/>
              <w:left w:val="nil"/>
              <w:bottom w:val="single" w:sz="4" w:space="0" w:color="365F91"/>
              <w:right w:val="nil"/>
            </w:tcBorders>
            <w:shd w:val="clear" w:color="auto" w:fill="auto"/>
          </w:tcPr>
          <w:p>
            <w:pPr>
              <w:pStyle w:val="Intestazione"/>
              <w:tabs>
                <w:tab w:val="clear" w:pos="4819"/>
                <w:tab w:val="clear" w:pos="9638"/>
              </w:tabs>
              <w:rPr>
                <w:rFonts w:ascii="Arial" w:hAnsi="Arial" w:cs="Arial"/>
                <w:b/>
              </w:rPr>
            </w:pPr>
          </w:p>
        </w:tc>
        <w:tc>
          <w:tcPr>
            <w:tcW w:w="3841" w:type="dxa"/>
            <w:tcBorders>
              <w:top w:val="single" w:sz="4" w:space="0" w:color="365F91"/>
              <w:left w:val="nil"/>
              <w:bottom w:val="single" w:sz="4" w:space="0" w:color="365F91"/>
              <w:right w:val="nil"/>
            </w:tcBorders>
            <w:shd w:val="clear" w:color="auto" w:fill="auto"/>
          </w:tcPr>
          <w:p>
            <w:pPr>
              <w:pStyle w:val="Intestazione"/>
              <w:tabs>
                <w:tab w:val="clear" w:pos="4819"/>
                <w:tab w:val="clear" w:pos="9638"/>
              </w:tabs>
              <w:rPr>
                <w:rFonts w:ascii="Arial" w:hAnsi="Arial" w:cs="Arial"/>
                <w:b/>
              </w:rPr>
            </w:pPr>
          </w:p>
        </w:tc>
      </w:tr>
      <w:tr>
        <w:trPr>
          <w:cantSplit/>
          <w:trHeight w:val="221"/>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5814"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pPr>
              <w:pStyle w:val="Intestazione"/>
              <w:tabs>
                <w:tab w:val="clear" w:pos="4819"/>
                <w:tab w:val="clear" w:pos="9638"/>
              </w:tabs>
              <w:rPr>
                <w:rFonts w:ascii="Arial" w:hAnsi="Arial" w:cs="Arial"/>
                <w:b/>
                <w:bCs/>
              </w:rPr>
            </w:pPr>
            <w:r>
              <w:rPr>
                <w:rFonts w:ascii="Arial" w:hAnsi="Arial" w:cs="Arial"/>
                <w:b/>
                <w:bCs/>
              </w:rPr>
              <w:t>COMPATIBILITA’</w:t>
            </w:r>
          </w:p>
        </w:tc>
      </w:tr>
      <w:tr>
        <w:trPr>
          <w:cantSplit/>
          <w:trHeight w:val="348"/>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3"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EMENS</w:t>
            </w:r>
          </w:p>
        </w:tc>
        <w:tc>
          <w:tcPr>
            <w:tcW w:w="384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left="113"/>
              <w:rPr>
                <w:rFonts w:ascii="Arial" w:hAnsi="Arial" w:cs="Arial"/>
                <w:b/>
              </w:rPr>
            </w:pPr>
            <w:r>
              <w:rPr>
                <w:rFonts w:ascii="Arial" w:hAnsi="Arial" w:cs="Arial"/>
                <w:b/>
              </w:rPr>
              <w:t>Versione  2019.3.0</w:t>
            </w:r>
          </w:p>
        </w:tc>
      </w:tr>
      <w:tr>
        <w:trPr>
          <w:cantSplit/>
          <w:trHeight w:val="347"/>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3"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F24</w:t>
            </w:r>
          </w:p>
        </w:tc>
        <w:tc>
          <w:tcPr>
            <w:tcW w:w="384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left="113"/>
              <w:rPr>
                <w:rFonts w:ascii="Arial" w:hAnsi="Arial" w:cs="Arial"/>
                <w:b/>
              </w:rPr>
            </w:pPr>
            <w:r>
              <w:rPr>
                <w:rFonts w:ascii="Arial" w:hAnsi="Arial" w:cs="Arial"/>
                <w:b/>
              </w:rPr>
              <w:t>Versione  2019.0.5</w:t>
            </w:r>
          </w:p>
        </w:tc>
      </w:tr>
      <w:tr>
        <w:trPr>
          <w:cantSplit/>
          <w:trHeight w:val="347"/>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3"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STUDIO PAGHE</w:t>
            </w:r>
          </w:p>
        </w:tc>
        <w:tc>
          <w:tcPr>
            <w:tcW w:w="384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left="113"/>
              <w:rPr>
                <w:rFonts w:ascii="Arial" w:hAnsi="Arial" w:cs="Arial"/>
                <w:b/>
              </w:rPr>
            </w:pPr>
            <w:r>
              <w:rPr>
                <w:rFonts w:ascii="Arial" w:hAnsi="Arial" w:cs="Arial"/>
                <w:b/>
              </w:rPr>
              <w:t>Versione  2019.5.1</w:t>
            </w:r>
          </w:p>
        </w:tc>
      </w:tr>
      <w:tr>
        <w:trPr>
          <w:cantSplit/>
          <w:trHeight w:val="347"/>
          <w:jc w:val="center"/>
        </w:trPr>
        <w:tc>
          <w:tcPr>
            <w:tcW w:w="3820" w:type="dxa"/>
            <w:vMerge/>
            <w:tcBorders>
              <w:left w:val="nil"/>
              <w:bottom w:val="nil"/>
              <w:right w:val="single" w:sz="4" w:space="0" w:color="365F91"/>
            </w:tcBorders>
            <w:tcMar>
              <w:left w:w="28" w:type="dxa"/>
              <w:right w:w="28" w:type="dxa"/>
            </w:tcMar>
          </w:tcPr>
          <w:p>
            <w:pPr>
              <w:rPr>
                <w:color w:val="000000"/>
              </w:rPr>
            </w:pPr>
          </w:p>
        </w:tc>
        <w:tc>
          <w:tcPr>
            <w:tcW w:w="1973"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p>
        </w:tc>
        <w:tc>
          <w:tcPr>
            <w:tcW w:w="384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left="113"/>
              <w:rPr>
                <w:rFonts w:ascii="Arial" w:hAnsi="Arial" w:cs="Arial"/>
                <w:b/>
              </w:rPr>
            </w:pPr>
          </w:p>
        </w:tc>
      </w:tr>
      <w:tr>
        <w:trPr>
          <w:cantSplit/>
          <w:trHeight w:val="221"/>
          <w:jc w:val="center"/>
        </w:trPr>
        <w:tc>
          <w:tcPr>
            <w:tcW w:w="3820" w:type="dxa"/>
            <w:vMerge/>
            <w:tcBorders>
              <w:left w:val="nil"/>
              <w:bottom w:val="nil"/>
              <w:right w:val="single" w:sz="4" w:space="0" w:color="365F91"/>
            </w:tcBorders>
            <w:shd w:val="clear" w:color="auto" w:fill="auto"/>
            <w:tcMar>
              <w:left w:w="28" w:type="dxa"/>
              <w:right w:w="28" w:type="dxa"/>
            </w:tcMar>
          </w:tcPr>
          <w:p>
            <w:pPr>
              <w:pStyle w:val="Titoloindice"/>
              <w:rPr>
                <w:color w:val="000000"/>
              </w:rPr>
            </w:pPr>
          </w:p>
        </w:tc>
        <w:tc>
          <w:tcPr>
            <w:tcW w:w="5814"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pPr>
              <w:pStyle w:val="Intestazione"/>
              <w:tabs>
                <w:tab w:val="clear" w:pos="4819"/>
                <w:tab w:val="clear" w:pos="9638"/>
              </w:tabs>
              <w:spacing w:before="120" w:after="120"/>
              <w:ind w:left="113" w:right="113"/>
              <w:jc w:val="both"/>
              <w:rPr>
                <w:rFonts w:ascii="Arial" w:hAnsi="Arial" w:cs="Arial"/>
                <w:b/>
                <w:sz w:val="16"/>
                <w:szCs w:val="16"/>
              </w:rPr>
            </w:pPr>
            <w:r>
              <w:rPr>
                <w:rFonts w:ascii="Arial" w:hAnsi="Arial" w:cs="Arial"/>
                <w:b/>
                <w:sz w:val="16"/>
                <w:szCs w:val="16"/>
              </w:rPr>
              <w:t>Per il dettaglio dei requisiti e delle versioni minime inerenti software di base e sistemi operativi consultare la tabella in coda al presente documento</w:t>
            </w:r>
          </w:p>
        </w:tc>
      </w:tr>
    </w:tbl>
    <w:p>
      <w:pPr>
        <w:pStyle w:val="CorpoAltF0"/>
      </w:pP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42" w:type="dxa"/>
          <w:right w:w="142" w:type="dxa"/>
        </w:tblCellMar>
        <w:tblLook w:val="01E0" w:firstRow="1" w:lastRow="1" w:firstColumn="1" w:lastColumn="1" w:noHBand="0" w:noVBand="0"/>
      </w:tblPr>
      <w:tblGrid>
        <w:gridCol w:w="9629"/>
      </w:tblGrid>
      <w:tr>
        <w:trPr>
          <w:trHeight w:val="221"/>
          <w:jc w:val="center"/>
        </w:trPr>
        <w:tc>
          <w:tcPr>
            <w:tcW w:w="9629" w:type="dxa"/>
            <w:shd w:val="clear" w:color="auto" w:fill="CCCCCC"/>
            <w:vAlign w:val="center"/>
          </w:tcPr>
          <w:p>
            <w:pPr>
              <w:pStyle w:val="WWContenutoRilascio"/>
            </w:pPr>
            <w:r>
              <w:t>Contenuto del rilascio</w:t>
            </w:r>
          </w:p>
        </w:tc>
      </w:tr>
      <w:tr>
        <w:trPr>
          <w:jc w:val="center"/>
        </w:trPr>
        <w:tc>
          <w:tcPr>
            <w:tcW w:w="9629" w:type="dxa"/>
          </w:tcPr>
          <w:p>
            <w:pPr>
              <w:pStyle w:val="corpoAltF"/>
              <w:numPr>
                <w:ilvl w:val="0"/>
                <w:numId w:val="2"/>
              </w:numPr>
              <w:tabs>
                <w:tab w:val="clear" w:pos="644"/>
              </w:tabs>
              <w:spacing w:before="180"/>
              <w:ind w:left="454" w:right="170" w:hanging="284"/>
              <w:rPr>
                <w:b/>
                <w:sz w:val="22"/>
                <w:szCs w:val="22"/>
              </w:rPr>
            </w:pPr>
            <w:bookmarkStart w:id="0" w:name="_Toc22314687"/>
            <w:r>
              <w:rPr>
                <w:b/>
                <w:sz w:val="22"/>
                <w:szCs w:val="22"/>
              </w:rPr>
              <w:t>Contribuzione agricola unificata: Denuncia UNIEMENS</w:t>
            </w:r>
            <w:bookmarkEnd w:id="0"/>
            <w:r>
              <w:rPr>
                <w:b/>
                <w:sz w:val="22"/>
                <w:szCs w:val="22"/>
              </w:rPr>
              <w:t xml:space="preserve"> / </w:t>
            </w:r>
            <w:proofErr w:type="spellStart"/>
            <w:r>
              <w:rPr>
                <w:b/>
                <w:sz w:val="22"/>
                <w:szCs w:val="22"/>
              </w:rPr>
              <w:t>PosAgri</w:t>
            </w:r>
            <w:proofErr w:type="spellEnd"/>
          </w:p>
          <w:p>
            <w:pPr>
              <w:pStyle w:val="corpoAltF"/>
              <w:ind w:left="454" w:right="170"/>
            </w:pPr>
            <w:r>
              <w:t>La procedura PAGHE è stata implementata per gestire le novità introdotte dalla Circolare n. 65/2019, e quindi consentire l’elaborazione delle denunce che decorrono dal mese di competenza gennaio 2020 con il sistema UNIEMENS.</w:t>
            </w:r>
          </w:p>
          <w:p>
            <w:pPr>
              <w:pStyle w:val="corpoAltF"/>
              <w:ind w:left="454" w:right="170"/>
            </w:pPr>
            <w:r>
              <w:t>Gli utenti che lo desiderano possono procedere a degli invii sperimentali con riferimento alle denunce dei mesi di ottobre, novembre e dicembre 2019, pur rimanendo obbligati alla presentazione della denuncia del IV trimestre 2019 con il sistema DMAG.</w:t>
            </w:r>
          </w:p>
          <w:p>
            <w:pPr>
              <w:pStyle w:val="corpoAltF"/>
              <w:spacing w:before="60"/>
              <w:ind w:left="454" w:right="170"/>
              <w:rPr>
                <w:i/>
              </w:rPr>
            </w:pPr>
            <w:r>
              <w:rPr>
                <w:b/>
              </w:rPr>
              <w:t>Allegato</w:t>
            </w:r>
            <w:r>
              <w:t>: Manuale “</w:t>
            </w:r>
            <w:proofErr w:type="spellStart"/>
            <w:r>
              <w:rPr>
                <w:i/>
              </w:rPr>
              <w:t>Gestione_Agricoltura_Denuncia_UNIEMENS_PosAgri</w:t>
            </w:r>
            <w:proofErr w:type="spellEnd"/>
            <w:r>
              <w:rPr>
                <w:i/>
              </w:rPr>
              <w:t>”.</w:t>
            </w:r>
          </w:p>
          <w:p>
            <w:pPr>
              <w:pStyle w:val="corpoAltF"/>
              <w:numPr>
                <w:ilvl w:val="0"/>
                <w:numId w:val="2"/>
              </w:numPr>
              <w:tabs>
                <w:tab w:val="clear" w:pos="644"/>
              </w:tabs>
              <w:spacing w:before="180"/>
              <w:ind w:left="454" w:right="170" w:hanging="284"/>
              <w:rPr>
                <w:b/>
                <w:sz w:val="22"/>
                <w:szCs w:val="22"/>
              </w:rPr>
            </w:pPr>
            <w:r>
              <w:rPr>
                <w:b/>
                <w:sz w:val="22"/>
                <w:szCs w:val="22"/>
              </w:rPr>
              <w:t xml:space="preserve">Decontribuzione su somme erogate nel 2013 in attuazione di contratti di II livello </w:t>
            </w:r>
          </w:p>
          <w:p>
            <w:pPr>
              <w:pStyle w:val="corpoAltF"/>
              <w:ind w:left="454" w:right="170"/>
            </w:pPr>
            <w:r>
              <w:t>Con riferimento allo sgravio contributivo previsto sulle somme corrisposte nel 2013 in attuazione di contratti collettivi di II livello (aziendali o territoriali), è stato previsto l’aumento del limite decontribuibile dal 2,25% al 2,47% dell’imponibile IVS (</w:t>
            </w:r>
            <w:proofErr w:type="spellStart"/>
            <w:r>
              <w:t>Mess</w:t>
            </w:r>
            <w:proofErr w:type="spellEnd"/>
            <w:r>
              <w:t>. INPS n. 3634 del 08.10.2019).</w:t>
            </w:r>
          </w:p>
          <w:p>
            <w:pPr>
              <w:pStyle w:val="corpoAltF"/>
              <w:ind w:left="454" w:right="170"/>
              <w:rPr>
                <w:bCs/>
              </w:rPr>
            </w:pPr>
            <w:r>
              <w:t xml:space="preserve">In funzione di tale aumento, è stato implementato il comando </w:t>
            </w:r>
            <w:r>
              <w:rPr>
                <w:b/>
              </w:rPr>
              <w:t>RESDEC19</w:t>
            </w:r>
            <w:r>
              <w:rPr>
                <w:bCs/>
              </w:rPr>
              <w:t xml:space="preserve"> che consente il calcolo ed il recupero dell’eventuale ulteriore quota di sgravio spettante.</w:t>
            </w:r>
          </w:p>
          <w:p>
            <w:pPr>
              <w:pStyle w:val="corpoAltF"/>
              <w:ind w:left="454" w:right="170"/>
              <w:rPr>
                <w:b/>
              </w:rPr>
            </w:pPr>
            <w:r>
              <w:rPr>
                <w:b/>
              </w:rPr>
              <w:t>Il recupero potrà essere effettuato entro la scadenza di versamento del 16 gennaio 2020 (denuncia UniEmens di competenza dicembre 2019).</w:t>
            </w:r>
          </w:p>
          <w:p>
            <w:pPr>
              <w:pStyle w:val="corpoAltF"/>
              <w:numPr>
                <w:ilvl w:val="0"/>
                <w:numId w:val="2"/>
              </w:numPr>
              <w:tabs>
                <w:tab w:val="clear" w:pos="644"/>
              </w:tabs>
              <w:spacing w:before="180"/>
              <w:ind w:left="454" w:right="170" w:hanging="284"/>
              <w:rPr>
                <w:b/>
                <w:sz w:val="22"/>
                <w:szCs w:val="22"/>
              </w:rPr>
            </w:pPr>
            <w:r>
              <w:rPr>
                <w:b/>
                <w:sz w:val="22"/>
                <w:szCs w:val="22"/>
              </w:rPr>
              <w:t>TeamSystem Studio – Contesto PAGHE</w:t>
            </w:r>
          </w:p>
          <w:p>
            <w:pPr>
              <w:pStyle w:val="corpoAltF"/>
              <w:numPr>
                <w:ilvl w:val="0"/>
                <w:numId w:val="20"/>
              </w:numPr>
              <w:spacing w:before="60"/>
              <w:ind w:left="701" w:right="170" w:hanging="281"/>
            </w:pPr>
            <w:r>
              <w:t>Con l’attivazione di TeamSystem Studio, in questa versione la funzione “</w:t>
            </w:r>
            <w:r>
              <w:rPr>
                <w:i/>
                <w:iCs/>
              </w:rPr>
              <w:t>Cedolini precedenti</w:t>
            </w:r>
            <w:r>
              <w:t>” (</w:t>
            </w:r>
            <w:r>
              <w:rPr>
                <w:b/>
                <w:bCs/>
              </w:rPr>
              <w:t>CEDOL</w:t>
            </w:r>
            <w:r>
              <w:t xml:space="preserve"> pulsante “</w:t>
            </w:r>
            <w:r>
              <w:rPr>
                <w:i/>
                <w:iCs/>
              </w:rPr>
              <w:t>Funzioni</w:t>
            </w:r>
            <w:r>
              <w:t>”) viene proposta in una veste grafica potenziata grazie ad una nuova tecnologia, che consente un’operatività più semplice ed efficace (vedi pag.</w:t>
            </w:r>
            <w:r>
              <w:t xml:space="preserve"> 28</w:t>
            </w:r>
            <w:r>
              <w:t>).</w:t>
            </w:r>
          </w:p>
          <w:p>
            <w:pPr>
              <w:pStyle w:val="corpoAltF"/>
              <w:numPr>
                <w:ilvl w:val="0"/>
                <w:numId w:val="20"/>
              </w:numPr>
              <w:spacing w:before="60"/>
              <w:ind w:left="704" w:right="170" w:hanging="284"/>
            </w:pPr>
            <w:r>
              <w:t>Tra le funzioni rapide del contesto PAGHE è stato inserito il nuovo pulsante “</w:t>
            </w:r>
            <w:r>
              <w:rPr>
                <w:i/>
                <w:iCs/>
              </w:rPr>
              <w:t>Note ultimi rilasci</w:t>
            </w:r>
            <w:r>
              <w:t xml:space="preserve">”, che consente di accedere alle note operative delle ultime versioni pubblicate per gli applicativi </w:t>
            </w:r>
            <w:r>
              <w:rPr>
                <w:b/>
                <w:bCs/>
              </w:rPr>
              <w:t>PAGHE</w:t>
            </w:r>
            <w:r>
              <w:t xml:space="preserve"> ed </w:t>
            </w:r>
            <w:r>
              <w:rPr>
                <w:b/>
                <w:bCs/>
              </w:rPr>
              <w:t>EMENS</w:t>
            </w:r>
            <w:r>
              <w:t>.</w:t>
            </w:r>
          </w:p>
          <w:p>
            <w:pPr>
              <w:pStyle w:val="corpoAltF"/>
              <w:ind w:left="701" w:right="170"/>
              <w:rPr>
                <w:b/>
              </w:rPr>
            </w:pPr>
            <w:r>
              <w:rPr>
                <w:b/>
              </w:rPr>
              <w:t>PREREQUISITI</w:t>
            </w:r>
          </w:p>
          <w:p>
            <w:pPr>
              <w:pStyle w:val="corpoAltF"/>
              <w:numPr>
                <w:ilvl w:val="0"/>
                <w:numId w:val="15"/>
              </w:numPr>
              <w:ind w:left="984" w:right="170" w:hanging="283"/>
            </w:pPr>
            <w:r>
              <w:rPr>
                <w:b/>
                <w:bCs/>
              </w:rPr>
              <w:t>TS Experience 20190400</w:t>
            </w:r>
          </w:p>
          <w:p>
            <w:pPr>
              <w:pStyle w:val="corpoAltF"/>
              <w:numPr>
                <w:ilvl w:val="0"/>
                <w:numId w:val="15"/>
              </w:numPr>
              <w:ind w:left="984" w:right="170" w:hanging="283"/>
            </w:pPr>
            <w:r>
              <w:rPr>
                <w:b/>
                <w:bCs/>
              </w:rPr>
              <w:t>Versione PAGHE 2019.3.0</w:t>
            </w:r>
          </w:p>
          <w:p>
            <w:pPr>
              <w:pStyle w:val="corpoAltF"/>
              <w:numPr>
                <w:ilvl w:val="0"/>
                <w:numId w:val="20"/>
              </w:numPr>
              <w:spacing w:before="60"/>
              <w:ind w:left="701" w:right="170" w:hanging="281"/>
            </w:pPr>
            <w:r>
              <w:t>Inserito il nuovo widget “</w:t>
            </w:r>
            <w:r>
              <w:rPr>
                <w:i/>
                <w:iCs/>
              </w:rPr>
              <w:t xml:space="preserve">Stato presenze </w:t>
            </w:r>
            <w:proofErr w:type="spellStart"/>
            <w:r>
              <w:rPr>
                <w:i/>
                <w:iCs/>
              </w:rPr>
              <w:t>pagentry</w:t>
            </w:r>
            <w:proofErr w:type="spellEnd"/>
            <w:r>
              <w:t>” utile al fine di esporre, con riferimento alle aziende che compilano le presenze mediante l’applicativo PAGENTRY, il numero dei dipendenti con presenze compilate, quelli per i quali risultano inseriti giustificativi di eventi, voci di calcolo e annotazioni.</w:t>
            </w:r>
          </w:p>
          <w:p>
            <w:pPr>
              <w:pStyle w:val="corpoAltF"/>
              <w:numPr>
                <w:ilvl w:val="0"/>
                <w:numId w:val="2"/>
              </w:numPr>
              <w:tabs>
                <w:tab w:val="clear" w:pos="644"/>
              </w:tabs>
              <w:spacing w:before="180"/>
              <w:ind w:left="454" w:right="170" w:hanging="284"/>
              <w:rPr>
                <w:b/>
                <w:sz w:val="22"/>
                <w:szCs w:val="22"/>
              </w:rPr>
            </w:pPr>
            <w:r>
              <w:rPr>
                <w:b/>
                <w:sz w:val="22"/>
                <w:szCs w:val="22"/>
              </w:rPr>
              <w:lastRenderedPageBreak/>
              <w:t>Acconto imposta sostitutiva su rivalutazione TFR</w:t>
            </w:r>
          </w:p>
          <w:p>
            <w:pPr>
              <w:pStyle w:val="corpoAltF"/>
              <w:ind w:left="454" w:right="170"/>
            </w:pPr>
            <w:r>
              <w:t>Con la quadratura del mese di novembre il programma trasferisce nella delega F24 scadente il 16 dicembre 2019 l’importo dell’acconto dell’imposta sostitutiva sul TFR.</w:t>
            </w:r>
          </w:p>
          <w:p>
            <w:pPr>
              <w:pStyle w:val="corpoAltF"/>
              <w:ind w:left="454" w:right="170"/>
            </w:pPr>
            <w:r>
              <w:t>Le modalità operative rimangono invariate rispetto all’anno precedente.</w:t>
            </w:r>
          </w:p>
          <w:p>
            <w:pPr>
              <w:pStyle w:val="corpoAltF"/>
              <w:numPr>
                <w:ilvl w:val="0"/>
                <w:numId w:val="2"/>
              </w:numPr>
              <w:tabs>
                <w:tab w:val="clear" w:pos="644"/>
              </w:tabs>
              <w:spacing w:before="180"/>
              <w:ind w:left="454" w:right="170" w:hanging="284"/>
              <w:rPr>
                <w:b/>
                <w:sz w:val="22"/>
                <w:szCs w:val="22"/>
              </w:rPr>
            </w:pPr>
            <w:r>
              <w:rPr>
                <w:b/>
                <w:sz w:val="22"/>
                <w:szCs w:val="22"/>
              </w:rPr>
              <w:t>Gestione ratei premi di produzione</w:t>
            </w:r>
          </w:p>
          <w:p>
            <w:pPr>
              <w:pStyle w:val="corpoAltF"/>
              <w:ind w:left="454" w:right="170"/>
            </w:pPr>
            <w:r>
              <w:t>Il programma è stato implementato al fine di:</w:t>
            </w:r>
          </w:p>
          <w:p>
            <w:pPr>
              <w:pStyle w:val="corpoAltF"/>
              <w:numPr>
                <w:ilvl w:val="0"/>
                <w:numId w:val="17"/>
              </w:numPr>
              <w:ind w:left="701" w:right="170" w:hanging="284"/>
            </w:pPr>
            <w:r>
              <w:t>bloccare la valorizzazione dell’importo dei premi al termine del rispettivo periodo di maturazione se entro lo stesso termine non viene liquidato al dipendente (mese/anno indicato al campo “</w:t>
            </w:r>
            <w:r>
              <w:rPr>
                <w:i/>
                <w:iCs/>
              </w:rPr>
              <w:t>Periodo fine maturazione</w:t>
            </w:r>
            <w:r>
              <w:t xml:space="preserve">” di </w:t>
            </w:r>
            <w:r>
              <w:rPr>
                <w:b/>
                <w:bCs/>
              </w:rPr>
              <w:t>TB0111</w:t>
            </w:r>
            <w:r>
              <w:t xml:space="preserve"> “</w:t>
            </w:r>
            <w:r>
              <w:rPr>
                <w:i/>
                <w:iCs/>
              </w:rPr>
              <w:t>Tabella maturazione ratei</w:t>
            </w:r>
            <w:r>
              <w:t>”);</w:t>
            </w:r>
          </w:p>
          <w:p>
            <w:pPr>
              <w:pStyle w:val="corpoAltF"/>
              <w:numPr>
                <w:ilvl w:val="0"/>
                <w:numId w:val="17"/>
              </w:numPr>
              <w:ind w:left="701" w:right="170" w:hanging="284"/>
            </w:pPr>
            <w:r>
              <w:t>consentire di indicare, a livello di azienda, per ogni premio di produzione una diversa descrizione in sostituzione di quella standard.</w:t>
            </w:r>
          </w:p>
          <w:p>
            <w:pPr>
              <w:pStyle w:val="corpoAltF"/>
              <w:numPr>
                <w:ilvl w:val="0"/>
                <w:numId w:val="2"/>
              </w:numPr>
              <w:tabs>
                <w:tab w:val="clear" w:pos="644"/>
              </w:tabs>
              <w:spacing w:before="180"/>
              <w:ind w:left="454" w:right="170" w:hanging="284"/>
              <w:rPr>
                <w:b/>
                <w:sz w:val="22"/>
                <w:szCs w:val="22"/>
              </w:rPr>
            </w:pPr>
            <w:r>
              <w:rPr>
                <w:b/>
                <w:sz w:val="22"/>
                <w:szCs w:val="22"/>
              </w:rPr>
              <w:t>TB0305 / TB0801</w:t>
            </w:r>
          </w:p>
          <w:p>
            <w:pPr>
              <w:pStyle w:val="corpoAltF"/>
              <w:ind w:left="454" w:right="170"/>
            </w:pPr>
            <w:r>
              <w:t>Creazione nuovi codici interni Enti e Fondi.</w:t>
            </w:r>
          </w:p>
          <w:p>
            <w:pPr>
              <w:pStyle w:val="corpoAltF"/>
              <w:numPr>
                <w:ilvl w:val="0"/>
                <w:numId w:val="2"/>
              </w:numPr>
              <w:tabs>
                <w:tab w:val="clear" w:pos="644"/>
              </w:tabs>
              <w:spacing w:before="180"/>
              <w:ind w:left="454" w:right="170" w:hanging="284"/>
              <w:rPr>
                <w:b/>
                <w:sz w:val="22"/>
                <w:szCs w:val="22"/>
              </w:rPr>
            </w:pPr>
            <w:r>
              <w:rPr>
                <w:b/>
                <w:sz w:val="22"/>
                <w:szCs w:val="22"/>
              </w:rPr>
              <w:t>AZIE – Gestione Centri di Costo / Reparti aziendali</w:t>
            </w:r>
          </w:p>
          <w:p>
            <w:pPr>
              <w:pStyle w:val="corpoAltF"/>
              <w:ind w:left="454" w:right="170"/>
            </w:pPr>
            <w:r>
              <w:t xml:space="preserve">Modificata gestione dei </w:t>
            </w:r>
            <w:proofErr w:type="spellStart"/>
            <w:r>
              <w:t>Cdc</w:t>
            </w:r>
            <w:proofErr w:type="spellEnd"/>
            <w:r>
              <w:t>/Rep aziendali (“</w:t>
            </w:r>
            <w:r>
              <w:rPr>
                <w:i/>
                <w:iCs/>
              </w:rPr>
              <w:t>Altri dati &gt; Tabelle aziendali</w:t>
            </w:r>
            <w:r>
              <w:t xml:space="preserve">” di </w:t>
            </w:r>
            <w:r>
              <w:rPr>
                <w:b/>
                <w:bCs/>
              </w:rPr>
              <w:t>AZIE</w:t>
            </w:r>
            <w:r>
              <w:t>), con possibilità di esportazione/importazione dei dati mediante file .</w:t>
            </w:r>
            <w:proofErr w:type="spellStart"/>
            <w:r>
              <w:rPr>
                <w:i/>
                <w:iCs/>
              </w:rPr>
              <w:t>csv</w:t>
            </w:r>
            <w:proofErr w:type="spellEnd"/>
            <w:r>
              <w:t>.</w:t>
            </w:r>
          </w:p>
          <w:p>
            <w:pPr>
              <w:pStyle w:val="corpoAltF"/>
              <w:numPr>
                <w:ilvl w:val="0"/>
                <w:numId w:val="2"/>
              </w:numPr>
              <w:spacing w:before="180"/>
              <w:ind w:left="454" w:right="170" w:hanging="284"/>
              <w:rPr>
                <w:b/>
                <w:sz w:val="22"/>
                <w:szCs w:val="22"/>
              </w:rPr>
            </w:pPr>
            <w:r>
              <w:rPr>
                <w:b/>
                <w:sz w:val="22"/>
                <w:szCs w:val="22"/>
              </w:rPr>
              <w:t>CEDOL – Festività del 4 novembre</w:t>
            </w:r>
          </w:p>
          <w:p>
            <w:pPr>
              <w:pStyle w:val="corpoAltF"/>
              <w:ind w:left="454" w:right="170"/>
            </w:pPr>
            <w:r>
              <w:t>Ai fini del trattamento dell’ex festività del 4 novembre il programma è stato implementato al fine di verificare il giorno di riposo previsto dalla turnazione effettuata dal dipendente anziché quello previsto dal calendario settimanale base o mensile.</w:t>
            </w:r>
          </w:p>
          <w:p>
            <w:pPr>
              <w:pStyle w:val="corpoAltF"/>
              <w:numPr>
                <w:ilvl w:val="0"/>
                <w:numId w:val="2"/>
              </w:numPr>
              <w:spacing w:before="180"/>
              <w:ind w:left="454" w:right="170" w:hanging="284"/>
              <w:rPr>
                <w:b/>
                <w:sz w:val="22"/>
                <w:szCs w:val="22"/>
              </w:rPr>
            </w:pPr>
            <w:r>
              <w:rPr>
                <w:b/>
                <w:sz w:val="22"/>
                <w:szCs w:val="22"/>
              </w:rPr>
              <w:t>STCED – Esposizione unità produttiva</w:t>
            </w:r>
          </w:p>
          <w:p>
            <w:pPr>
              <w:pStyle w:val="corpoAltF"/>
              <w:ind w:left="454" w:right="170"/>
            </w:pPr>
            <w:r>
              <w:t xml:space="preserve">Con riferimento alle aziende edili, il programma è stato modificato al fine di esporre all’interno della stampa del cedolino il codice dell’unità produttiva indicato nel cantiere edile associato allo specifico cedolino o, in assenza, quello associato al cedolino fiscale. </w:t>
            </w:r>
          </w:p>
          <w:p>
            <w:pPr>
              <w:pStyle w:val="corpoAltF"/>
              <w:numPr>
                <w:ilvl w:val="0"/>
                <w:numId w:val="2"/>
              </w:numPr>
              <w:spacing w:before="180"/>
              <w:ind w:left="454" w:right="170" w:hanging="284"/>
              <w:rPr>
                <w:b/>
                <w:sz w:val="22"/>
                <w:szCs w:val="22"/>
              </w:rPr>
            </w:pPr>
            <w:r>
              <w:rPr>
                <w:b/>
                <w:sz w:val="22"/>
                <w:szCs w:val="22"/>
              </w:rPr>
              <w:t>PDFPAG – Invio e-mail</w:t>
            </w:r>
          </w:p>
          <w:p>
            <w:pPr>
              <w:pStyle w:val="corpoAltF"/>
              <w:ind w:left="454" w:right="170"/>
            </w:pPr>
            <w:r>
              <w:t>Modifica delle impostazioni per la configurazione dell’invio e-mail</w:t>
            </w:r>
          </w:p>
          <w:p>
            <w:pPr>
              <w:pStyle w:val="corpoAltF"/>
              <w:numPr>
                <w:ilvl w:val="0"/>
                <w:numId w:val="2"/>
              </w:numPr>
              <w:spacing w:before="180"/>
              <w:ind w:left="454" w:right="170" w:hanging="284"/>
              <w:rPr>
                <w:b/>
                <w:sz w:val="22"/>
                <w:szCs w:val="22"/>
              </w:rPr>
            </w:pPr>
            <w:r>
              <w:rPr>
                <w:b/>
                <w:sz w:val="22"/>
                <w:szCs w:val="22"/>
              </w:rPr>
              <w:t>TELFONDI / STAFONDI</w:t>
            </w:r>
          </w:p>
          <w:p>
            <w:pPr>
              <w:pStyle w:val="corpoAltF"/>
              <w:ind w:left="454" w:right="170"/>
            </w:pPr>
            <w:r>
              <w:t>Telematico e stampa del Fondo Casse Rurali Trentino (cod. 695).</w:t>
            </w:r>
          </w:p>
          <w:p>
            <w:pPr>
              <w:pStyle w:val="corpoAltF"/>
              <w:numPr>
                <w:ilvl w:val="0"/>
                <w:numId w:val="2"/>
              </w:numPr>
              <w:spacing w:before="180"/>
              <w:ind w:left="454" w:right="170" w:hanging="284"/>
              <w:rPr>
                <w:b/>
                <w:sz w:val="22"/>
                <w:szCs w:val="22"/>
              </w:rPr>
            </w:pPr>
            <w:r>
              <w:rPr>
                <w:b/>
                <w:sz w:val="22"/>
                <w:szCs w:val="22"/>
              </w:rPr>
              <w:t>RILPRE – Importazione presenze da rilevatore</w:t>
            </w:r>
          </w:p>
          <w:p>
            <w:pPr>
              <w:pStyle w:val="corpoAltF"/>
              <w:ind w:left="454" w:right="170"/>
            </w:pPr>
            <w:r>
              <w:t>Implementata la “</w:t>
            </w:r>
            <w:r>
              <w:rPr>
                <w:i/>
                <w:iCs/>
              </w:rPr>
              <w:t>Tabella giustificativi</w:t>
            </w:r>
            <w:r>
              <w:t>” con l’inserimento del campo “</w:t>
            </w:r>
            <w:r>
              <w:rPr>
                <w:i/>
              </w:rPr>
              <w:t>Ricerca</w:t>
            </w:r>
            <w:r>
              <w:t>”, utile per effettuare una ricerca su tutti i campi della griglia.</w:t>
            </w:r>
          </w:p>
          <w:p>
            <w:pPr>
              <w:pStyle w:val="corpoAltF"/>
              <w:numPr>
                <w:ilvl w:val="0"/>
                <w:numId w:val="2"/>
              </w:numPr>
              <w:spacing w:before="180"/>
              <w:ind w:left="454" w:right="170" w:hanging="284"/>
              <w:rPr>
                <w:b/>
                <w:sz w:val="22"/>
                <w:szCs w:val="22"/>
              </w:rPr>
            </w:pPr>
            <w:r>
              <w:rPr>
                <w:b/>
                <w:sz w:val="22"/>
                <w:szCs w:val="22"/>
              </w:rPr>
              <w:t>TE7304 – Comunicazione per ricezione 730/4 dall’Agenzia delle Entrate</w:t>
            </w:r>
          </w:p>
          <w:p>
            <w:pPr>
              <w:pStyle w:val="corpoAltF"/>
              <w:ind w:left="454" w:right="170"/>
            </w:pPr>
            <w:r>
              <w:t xml:space="preserve">Allineato il programma </w:t>
            </w:r>
            <w:r>
              <w:rPr>
                <w:b/>
                <w:bCs/>
              </w:rPr>
              <w:t>TE7304</w:t>
            </w:r>
            <w:r>
              <w:t xml:space="preserve"> alle relative specifiche tecniche.</w:t>
            </w:r>
          </w:p>
          <w:p>
            <w:pPr>
              <w:pStyle w:val="corpoAltF"/>
              <w:numPr>
                <w:ilvl w:val="0"/>
                <w:numId w:val="2"/>
              </w:numPr>
              <w:spacing w:before="180"/>
              <w:ind w:left="454" w:right="170" w:hanging="284"/>
              <w:rPr>
                <w:b/>
                <w:sz w:val="22"/>
                <w:szCs w:val="22"/>
              </w:rPr>
            </w:pPr>
            <w:r>
              <w:rPr>
                <w:b/>
                <w:sz w:val="22"/>
                <w:szCs w:val="22"/>
              </w:rPr>
              <w:t>SAVAZI / RESAZI</w:t>
            </w:r>
          </w:p>
          <w:p>
            <w:pPr>
              <w:pStyle w:val="corpoAltF"/>
              <w:ind w:left="454" w:right="170"/>
            </w:pPr>
            <w:r>
              <w:t>I programmi di estrazione e importazione degli archivi relativi all’azienda sono stati implementati al fine di estrarre / importare più aziende contemporaneamente.</w:t>
            </w:r>
          </w:p>
          <w:p>
            <w:pPr>
              <w:pStyle w:val="corpoAltF"/>
              <w:numPr>
                <w:ilvl w:val="0"/>
                <w:numId w:val="2"/>
              </w:numPr>
              <w:spacing w:before="180"/>
              <w:ind w:left="454" w:right="170" w:hanging="284"/>
              <w:rPr>
                <w:b/>
                <w:sz w:val="22"/>
                <w:szCs w:val="22"/>
              </w:rPr>
            </w:pPr>
            <w:r>
              <w:rPr>
                <w:b/>
                <w:sz w:val="22"/>
                <w:szCs w:val="22"/>
              </w:rPr>
              <w:t>Anomalie risolte</w:t>
            </w:r>
          </w:p>
          <w:p>
            <w:pPr>
              <w:pStyle w:val="corpoAltF"/>
              <w:ind w:left="454" w:right="170"/>
            </w:pPr>
            <w:r>
              <w:t>Correzione anomalie varie.</w:t>
            </w:r>
          </w:p>
          <w:p>
            <w:pPr>
              <w:pStyle w:val="corpoAltF"/>
              <w:ind w:left="454" w:right="170"/>
            </w:pPr>
          </w:p>
        </w:tc>
      </w:tr>
    </w:tbl>
    <w:p>
      <w:pPr>
        <w:pStyle w:val="CorpoAltF0"/>
        <w:jc w:val="left"/>
      </w:pPr>
    </w:p>
    <w:p>
      <w:pPr>
        <w:pStyle w:val="CorpoAltF0"/>
        <w:jc w:val="left"/>
      </w:pPr>
      <w:bookmarkStart w:id="1" w:name="_GoBack"/>
      <w:bookmarkEnd w:id="1"/>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42" w:type="dxa"/>
          <w:right w:w="142" w:type="dxa"/>
        </w:tblCellMar>
        <w:tblLook w:val="01E0" w:firstRow="1" w:lastRow="1" w:firstColumn="1" w:lastColumn="1" w:noHBand="0" w:noVBand="0"/>
      </w:tblPr>
      <w:tblGrid>
        <w:gridCol w:w="9629"/>
      </w:tblGrid>
      <w:tr>
        <w:trPr>
          <w:trHeight w:val="221"/>
          <w:jc w:val="center"/>
        </w:trPr>
        <w:tc>
          <w:tcPr>
            <w:tcW w:w="9629" w:type="dxa"/>
            <w:shd w:val="clear" w:color="auto" w:fill="CCCCCC"/>
            <w:vAlign w:val="center"/>
          </w:tcPr>
          <w:p>
            <w:pPr>
              <w:pStyle w:val="WWContenutoRilascio"/>
              <w:rPr>
                <w:rFonts w:cs="Arial"/>
              </w:rPr>
            </w:pPr>
            <w:bookmarkStart w:id="2" w:name="_Toc33011301"/>
            <w:r>
              <w:rPr>
                <w:rFonts w:cs="Arial"/>
              </w:rPr>
              <w:t>Avvertenze</w:t>
            </w:r>
          </w:p>
        </w:tc>
      </w:tr>
      <w:tr>
        <w:trPr>
          <w:jc w:val="center"/>
        </w:trPr>
        <w:tc>
          <w:tcPr>
            <w:tcW w:w="9629" w:type="dxa"/>
          </w:tcPr>
          <w:p>
            <w:pPr>
              <w:pStyle w:val="corpoAltF"/>
              <w:numPr>
                <w:ilvl w:val="0"/>
                <w:numId w:val="6"/>
              </w:numPr>
              <w:tabs>
                <w:tab w:val="clear" w:pos="720"/>
              </w:tabs>
              <w:spacing w:before="120"/>
              <w:ind w:left="454" w:right="170" w:hanging="284"/>
              <w:rPr>
                <w:b/>
                <w:sz w:val="22"/>
                <w:szCs w:val="22"/>
              </w:rPr>
            </w:pPr>
            <w:r>
              <w:rPr>
                <w:b/>
                <w:sz w:val="22"/>
                <w:szCs w:val="22"/>
              </w:rPr>
              <w:t>Con l’installazione della presente versione il programma effettua automaticamente la conversione degli archivi.</w:t>
            </w:r>
          </w:p>
          <w:p>
            <w:pPr>
              <w:pStyle w:val="corpoAltF"/>
              <w:ind w:right="170"/>
            </w:pPr>
          </w:p>
        </w:tc>
      </w:tr>
    </w:tbl>
    <w:p>
      <w:pPr>
        <w:pStyle w:val="CorpoAltF0"/>
        <w:jc w:val="left"/>
      </w:pPr>
    </w:p>
    <w:p>
      <w:pPr>
        <w:rPr>
          <w:rFonts w:ascii="Arial" w:hAnsi="Arial"/>
          <w:sz w:val="20"/>
          <w:szCs w:val="20"/>
        </w:rPr>
      </w:pPr>
      <w:r>
        <w:br w:type="page"/>
      </w:r>
    </w:p>
    <w:p>
      <w:pPr>
        <w:pStyle w:val="CorpoAltF0"/>
        <w:jc w:val="left"/>
      </w:pP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42" w:type="dxa"/>
          <w:right w:w="142" w:type="dxa"/>
        </w:tblCellMar>
        <w:tblLook w:val="01E0" w:firstRow="1" w:lastRow="1" w:firstColumn="1" w:lastColumn="1" w:noHBand="0" w:noVBand="0"/>
      </w:tblPr>
      <w:tblGrid>
        <w:gridCol w:w="9629"/>
      </w:tblGrid>
      <w:tr>
        <w:trPr>
          <w:trHeight w:val="221"/>
          <w:jc w:val="center"/>
        </w:trPr>
        <w:tc>
          <w:tcPr>
            <w:tcW w:w="9629" w:type="dxa"/>
            <w:shd w:val="clear" w:color="auto" w:fill="CCCCCC"/>
            <w:vAlign w:val="center"/>
          </w:tcPr>
          <w:p>
            <w:pPr>
              <w:pStyle w:val="WWContenutoRilascio"/>
              <w:rPr>
                <w:rFonts w:cs="Arial"/>
              </w:rPr>
            </w:pPr>
            <w:r>
              <w:rPr>
                <w:rFonts w:cs="Arial"/>
              </w:rPr>
              <w:t>Modulo CONTRA</w:t>
            </w:r>
          </w:p>
        </w:tc>
      </w:tr>
      <w:tr>
        <w:trPr>
          <w:jc w:val="center"/>
        </w:trPr>
        <w:tc>
          <w:tcPr>
            <w:tcW w:w="9629" w:type="dxa"/>
          </w:tcPr>
          <w:p>
            <w:pPr>
              <w:pStyle w:val="corpoAltF"/>
              <w:numPr>
                <w:ilvl w:val="0"/>
                <w:numId w:val="6"/>
              </w:numPr>
              <w:tabs>
                <w:tab w:val="clear" w:pos="720"/>
              </w:tabs>
              <w:spacing w:before="120"/>
              <w:ind w:left="454" w:right="170" w:hanging="284"/>
            </w:pPr>
            <w:r>
              <w:t>La presente versione contiene la fornitura delle tabelle del modulo CONTRA del mese di Novembre 2019.</w:t>
            </w:r>
          </w:p>
          <w:p>
            <w:pPr>
              <w:pStyle w:val="corpoAltF"/>
              <w:ind w:left="454" w:right="170"/>
            </w:pPr>
            <w:r>
              <w:t xml:space="preserve">Si precisa che il relativo aggiornamento verrà eseguito automaticamente in fase di installazione, se impostato in </w:t>
            </w:r>
            <w:r>
              <w:rPr>
                <w:b/>
              </w:rPr>
              <w:t>CONTRA</w:t>
            </w:r>
            <w:r>
              <w:t xml:space="preserve"> &gt; “</w:t>
            </w:r>
            <w:r>
              <w:rPr>
                <w:i/>
              </w:rPr>
              <w:t>Aggiornamento automatico</w:t>
            </w:r>
            <w:r>
              <w:t>”, diversamente sarà cura dell’utente effettuare l’aggiornamento mediante la scelta “</w:t>
            </w:r>
            <w:r>
              <w:rPr>
                <w:i/>
              </w:rPr>
              <w:t>Aggiornamento contratti</w:t>
            </w:r>
            <w:r>
              <w:t xml:space="preserve">” del comando </w:t>
            </w:r>
            <w:r>
              <w:rPr>
                <w:b/>
              </w:rPr>
              <w:t>CONTRA</w:t>
            </w:r>
            <w:r>
              <w:t>.</w:t>
            </w:r>
          </w:p>
          <w:p>
            <w:pPr>
              <w:pStyle w:val="corpoAltF"/>
              <w:numPr>
                <w:ilvl w:val="0"/>
                <w:numId w:val="6"/>
              </w:numPr>
              <w:tabs>
                <w:tab w:val="clear" w:pos="720"/>
              </w:tabs>
              <w:spacing w:before="120"/>
              <w:ind w:left="454" w:right="170" w:hanging="284"/>
            </w:pPr>
            <w:r>
              <w:rPr>
                <w:b/>
              </w:rPr>
              <w:t>Tabella Indici Istat</w:t>
            </w:r>
          </w:p>
          <w:p>
            <w:pPr>
              <w:pStyle w:val="corpoAltF"/>
              <w:spacing w:before="60"/>
              <w:ind w:left="454" w:right="170"/>
            </w:pPr>
            <w:r>
              <w:t>Con Comunicato del 15 Novembre 2019 l’ISTAT ha fornito l’indice definitivo dei prezzi al consumo per gli operai e gli impiegati valido per il mese di Ottobre 2019, determinato nella misura di 102,4.</w:t>
            </w:r>
          </w:p>
          <w:p>
            <w:pPr>
              <w:pStyle w:val="corpoAltF"/>
              <w:ind w:left="454" w:right="170"/>
            </w:pPr>
            <w:r>
              <w:t>Tale valore è stato collegato al campo “</w:t>
            </w:r>
            <w:r>
              <w:rPr>
                <w:i/>
              </w:rPr>
              <w:t>Indice Ottobre</w:t>
            </w:r>
            <w:r>
              <w:t>” ed è stato provvisoriamente indicato anche al campo “</w:t>
            </w:r>
            <w:r>
              <w:rPr>
                <w:i/>
              </w:rPr>
              <w:t>Indice Novembre</w:t>
            </w:r>
            <w:r>
              <w:t>”.</w:t>
            </w:r>
          </w:p>
          <w:p>
            <w:pPr>
              <w:pStyle w:val="corpoAltF"/>
              <w:spacing w:before="60"/>
              <w:ind w:right="170"/>
            </w:pPr>
            <w:r>
              <w:rPr>
                <w:b/>
              </w:rPr>
              <w:t>Allegato:</w:t>
            </w:r>
            <w:r>
              <w:t xml:space="preserve"> “CONTRA_20190300” </w:t>
            </w:r>
          </w:p>
          <w:p>
            <w:pPr>
              <w:pStyle w:val="CorpoAltF0"/>
            </w:pPr>
          </w:p>
        </w:tc>
      </w:tr>
    </w:tbl>
    <w:p>
      <w:pPr>
        <w:pStyle w:val="CorpoAltF0"/>
        <w:jc w:val="left"/>
      </w:pPr>
    </w:p>
    <w:p>
      <w:pPr>
        <w:pStyle w:val="CorpoAltF0"/>
        <w:jc w:val="left"/>
      </w:pP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42" w:type="dxa"/>
          <w:right w:w="142" w:type="dxa"/>
        </w:tblCellMar>
        <w:tblLook w:val="01E0" w:firstRow="1" w:lastRow="1" w:firstColumn="1" w:lastColumn="1" w:noHBand="0" w:noVBand="0"/>
      </w:tblPr>
      <w:tblGrid>
        <w:gridCol w:w="9629"/>
      </w:tblGrid>
      <w:tr>
        <w:trPr>
          <w:trHeight w:val="221"/>
          <w:jc w:val="center"/>
        </w:trPr>
        <w:tc>
          <w:tcPr>
            <w:tcW w:w="9629" w:type="dxa"/>
            <w:shd w:val="clear" w:color="auto" w:fill="CCCCCC"/>
            <w:vAlign w:val="center"/>
          </w:tcPr>
          <w:p>
            <w:pPr>
              <w:pStyle w:val="WWContenutoRilascio"/>
              <w:rPr>
                <w:rFonts w:cs="Arial"/>
              </w:rPr>
            </w:pPr>
            <w:r>
              <w:rPr>
                <w:rFonts w:cs="Arial"/>
              </w:rPr>
              <w:t>Aliquote Addizionali Comunali</w:t>
            </w:r>
          </w:p>
        </w:tc>
      </w:tr>
      <w:tr>
        <w:trPr>
          <w:jc w:val="center"/>
        </w:trPr>
        <w:tc>
          <w:tcPr>
            <w:tcW w:w="9629" w:type="dxa"/>
          </w:tcPr>
          <w:p>
            <w:pPr>
              <w:pStyle w:val="corpoAltF"/>
              <w:ind w:left="134" w:right="170"/>
            </w:pPr>
          </w:p>
          <w:p>
            <w:pPr>
              <w:pStyle w:val="corpoAltF"/>
              <w:ind w:left="134" w:right="170"/>
            </w:pPr>
            <w:r>
              <w:t xml:space="preserve">Viene fornito il file delle aliquote e delle esenzioni relative alle addizionali comunali per l’anno 2019, elaborato da Teamsystem sulla base del file ministeriale aggiornato alla data del 15/11/2019, utile all’aggiornamento della relativa tabella </w:t>
            </w:r>
            <w:r>
              <w:rPr>
                <w:b/>
              </w:rPr>
              <w:t>TB0406</w:t>
            </w:r>
            <w:r>
              <w:t>.</w:t>
            </w:r>
          </w:p>
          <w:p>
            <w:pPr>
              <w:pStyle w:val="corpoAltF"/>
              <w:spacing w:before="60"/>
              <w:ind w:left="136" w:right="170"/>
            </w:pPr>
            <w:r>
              <w:t>Per gli utenti in possesso della licenza CONTRA e nel caso di impostazione dell’aggiornamento automatico delle addizionali comunali (</w:t>
            </w:r>
            <w:r>
              <w:rPr>
                <w:b/>
              </w:rPr>
              <w:t>CONTRA</w:t>
            </w:r>
            <w:r>
              <w:t xml:space="preserve"> &gt; “</w:t>
            </w:r>
            <w:r>
              <w:rPr>
                <w:i/>
              </w:rPr>
              <w:t>Aggiornamento automatico</w:t>
            </w:r>
            <w:r>
              <w:t>” campo “</w:t>
            </w:r>
            <w:r>
              <w:rPr>
                <w:i/>
              </w:rPr>
              <w:t>Addizionali</w:t>
            </w:r>
            <w:r>
              <w:t>”), l’aggiornamento verrà eseguito in fase di installazione della presente versione PAGHE.</w:t>
            </w:r>
          </w:p>
          <w:p>
            <w:pPr>
              <w:pStyle w:val="corpoAltF"/>
              <w:spacing w:before="60"/>
              <w:ind w:left="136" w:right="170"/>
            </w:pPr>
            <w:r>
              <w:t xml:space="preserve">Diversamente sarà cura dell’utente effettuare l’aggiornamento della suddetta tabella mediante l’esecuzione del comando </w:t>
            </w:r>
            <w:r>
              <w:rPr>
                <w:b/>
              </w:rPr>
              <w:t>AGGADD</w:t>
            </w:r>
            <w:r>
              <w:t>.</w:t>
            </w:r>
          </w:p>
          <w:p>
            <w:pPr>
              <w:pStyle w:val="corpoAltF"/>
              <w:spacing w:before="60"/>
              <w:ind w:left="136" w:right="170"/>
            </w:pPr>
          </w:p>
        </w:tc>
      </w:tr>
    </w:tbl>
    <w:p>
      <w:pPr>
        <w:pStyle w:val="CorpoAltF0"/>
      </w:pPr>
    </w:p>
    <w:p>
      <w:pPr>
        <w:pStyle w:val="CorpoAltF0"/>
      </w:pPr>
      <w:r>
        <w:br w:type="page"/>
      </w:r>
    </w:p>
    <w:p>
      <w:pPr>
        <w:pStyle w:val="Ignora"/>
        <w:rPr>
          <w:sz w:val="10"/>
          <w:szCs w:val="10"/>
        </w:rPr>
      </w:pP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1E0" w:firstRow="1" w:lastRow="1" w:firstColumn="1" w:lastColumn="1" w:noHBand="0" w:noVBand="0"/>
      </w:tblPr>
      <w:tblGrid>
        <w:gridCol w:w="9629"/>
      </w:tblGrid>
      <w:tr>
        <w:trPr>
          <w:trHeight w:val="221"/>
          <w:jc w:val="center"/>
        </w:trPr>
        <w:tc>
          <w:tcPr>
            <w:tcW w:w="9671" w:type="dxa"/>
            <w:shd w:val="clear" w:color="auto" w:fill="CCCCCC"/>
            <w:vAlign w:val="center"/>
          </w:tcPr>
          <w:p>
            <w:pPr>
              <w:pStyle w:val="WWContenutoRilascio"/>
              <w:rPr>
                <w:rFonts w:cs="Arial"/>
              </w:rPr>
            </w:pPr>
            <w:r>
              <w:rPr>
                <w:rFonts w:cs="Arial"/>
              </w:rPr>
              <w:t>Note di installazione</w:t>
            </w:r>
          </w:p>
        </w:tc>
      </w:tr>
    </w:tbl>
    <w:p>
      <w:pPr>
        <w:pStyle w:val="CorpoAltF0"/>
        <w:rPr>
          <w:sz w:val="10"/>
          <w:szCs w:val="10"/>
        </w:rPr>
      </w:pPr>
    </w:p>
    <w:tbl>
      <w:tblPr>
        <w:tblW w:w="9646"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28" w:type="dxa"/>
          <w:right w:w="28" w:type="dxa"/>
        </w:tblCellMar>
        <w:tblLook w:val="01E0" w:firstRow="1" w:lastRow="1" w:firstColumn="1" w:lastColumn="1" w:noHBand="0" w:noVBand="0"/>
      </w:tblPr>
      <w:tblGrid>
        <w:gridCol w:w="4825"/>
        <w:gridCol w:w="4821"/>
      </w:tblGrid>
      <w:tr>
        <w:trPr>
          <w:jc w:val="center"/>
        </w:trPr>
        <w:tc>
          <w:tcPr>
            <w:tcW w:w="4825" w:type="dxa"/>
            <w:shd w:val="clear" w:color="auto" w:fill="BFBFBF"/>
          </w:tcPr>
          <w:p>
            <w:pPr>
              <w:pStyle w:val="CorpoAltF0"/>
              <w:jc w:val="center"/>
              <w:rPr>
                <w:sz w:val="18"/>
                <w:szCs w:val="18"/>
              </w:rPr>
            </w:pPr>
            <w:r>
              <w:rPr>
                <w:sz w:val="18"/>
                <w:szCs w:val="18"/>
              </w:rPr>
              <w:t>Ambiente WINDOWS</w:t>
            </w:r>
          </w:p>
        </w:tc>
        <w:tc>
          <w:tcPr>
            <w:tcW w:w="4821" w:type="dxa"/>
            <w:shd w:val="clear" w:color="auto" w:fill="BFBFBF"/>
          </w:tcPr>
          <w:p>
            <w:pPr>
              <w:pStyle w:val="CorpoAltF0"/>
              <w:jc w:val="center"/>
              <w:rPr>
                <w:sz w:val="18"/>
                <w:szCs w:val="18"/>
              </w:rPr>
            </w:pPr>
            <w:r>
              <w:rPr>
                <w:sz w:val="18"/>
                <w:szCs w:val="18"/>
              </w:rPr>
              <w:t>Ambiente LINUX</w:t>
            </w:r>
          </w:p>
        </w:tc>
      </w:tr>
      <w:tr>
        <w:trPr>
          <w:jc w:val="center"/>
        </w:trPr>
        <w:tc>
          <w:tcPr>
            <w:tcW w:w="4825" w:type="dxa"/>
          </w:tcPr>
          <w:p>
            <w:pPr>
              <w:autoSpaceDE w:val="0"/>
              <w:autoSpaceDN w:val="0"/>
              <w:adjustRightInd w:val="0"/>
              <w:spacing w:before="120"/>
              <w:ind w:left="142" w:right="142"/>
              <w:jc w:val="both"/>
              <w:rPr>
                <w:rFonts w:ascii="Arial" w:hAnsi="Arial" w:cs="Arial"/>
                <w:sz w:val="16"/>
                <w:szCs w:val="16"/>
              </w:rPr>
            </w:pPr>
            <w:r>
              <w:rPr>
                <w:rFonts w:ascii="Arial" w:hAnsi="Arial" w:cs="Arial"/>
                <w:sz w:val="16"/>
                <w:szCs w:val="16"/>
              </w:rPr>
              <w:t>L’applicativo potrà essere installato a seconda della modalità di distribuzione.</w:t>
            </w:r>
          </w:p>
          <w:p>
            <w:pPr>
              <w:numPr>
                <w:ilvl w:val="0"/>
                <w:numId w:val="4"/>
              </w:numPr>
              <w:tabs>
                <w:tab w:val="clear" w:pos="720"/>
              </w:tabs>
              <w:autoSpaceDE w:val="0"/>
              <w:autoSpaceDN w:val="0"/>
              <w:adjustRightInd w:val="0"/>
              <w:spacing w:before="120"/>
              <w:ind w:left="454" w:right="142" w:hanging="284"/>
              <w:rPr>
                <w:rFonts w:ascii="Arial" w:hAnsi="Arial" w:cs="Arial"/>
                <w:sz w:val="16"/>
                <w:szCs w:val="16"/>
              </w:rPr>
            </w:pPr>
            <w:r>
              <w:rPr>
                <w:rFonts w:ascii="Arial" w:hAnsi="Arial" w:cs="Arial"/>
                <w:sz w:val="16"/>
                <w:szCs w:val="16"/>
              </w:rPr>
              <w:t>Modulo autoscompattante “</w:t>
            </w:r>
            <w:proofErr w:type="spellStart"/>
            <w:r>
              <w:rPr>
                <w:rFonts w:ascii="Arial" w:hAnsi="Arial" w:cs="Arial"/>
                <w:sz w:val="16"/>
                <w:szCs w:val="16"/>
              </w:rPr>
              <w:t>autoinst</w:t>
            </w:r>
            <w:proofErr w:type="spellEnd"/>
            <w:r>
              <w:rPr>
                <w:rFonts w:ascii="Arial" w:hAnsi="Arial" w:cs="Arial"/>
                <w:sz w:val="16"/>
                <w:szCs w:val="16"/>
              </w:rPr>
              <w:t>”:</w:t>
            </w:r>
          </w:p>
          <w:p>
            <w:pPr>
              <w:numPr>
                <w:ilvl w:val="0"/>
                <w:numId w:val="3"/>
              </w:numPr>
              <w:autoSpaceDE w:val="0"/>
              <w:autoSpaceDN w:val="0"/>
              <w:adjustRightInd w:val="0"/>
              <w:ind w:left="681" w:right="142" w:hanging="227"/>
              <w:jc w:val="both"/>
              <w:rPr>
                <w:rFonts w:ascii="Arial" w:hAnsi="Arial" w:cs="Arial"/>
                <w:sz w:val="16"/>
                <w:szCs w:val="16"/>
              </w:rPr>
            </w:pPr>
            <w:r>
              <w:rPr>
                <w:rFonts w:ascii="Arial" w:hAnsi="Arial" w:cs="Arial"/>
                <w:sz w:val="16"/>
                <w:szCs w:val="16"/>
              </w:rPr>
              <w:t>Selezionare il bottone “installa”</w:t>
            </w:r>
          </w:p>
          <w:p>
            <w:pPr>
              <w:numPr>
                <w:ilvl w:val="0"/>
                <w:numId w:val="4"/>
              </w:numPr>
              <w:tabs>
                <w:tab w:val="clear" w:pos="720"/>
              </w:tabs>
              <w:autoSpaceDE w:val="0"/>
              <w:autoSpaceDN w:val="0"/>
              <w:adjustRightInd w:val="0"/>
              <w:spacing w:before="120"/>
              <w:ind w:left="454" w:right="142" w:hanging="284"/>
              <w:rPr>
                <w:rFonts w:ascii="Arial" w:hAnsi="Arial" w:cs="Arial"/>
                <w:sz w:val="16"/>
                <w:szCs w:val="16"/>
              </w:rPr>
            </w:pPr>
            <w:r>
              <w:rPr>
                <w:rFonts w:ascii="Arial" w:hAnsi="Arial" w:cs="Arial"/>
                <w:sz w:val="16"/>
                <w:szCs w:val="16"/>
              </w:rPr>
              <w:t xml:space="preserve">CDROM applicativi </w:t>
            </w:r>
            <w:proofErr w:type="spellStart"/>
            <w:r>
              <w:rPr>
                <w:rFonts w:ascii="Arial" w:hAnsi="Arial" w:cs="Arial"/>
                <w:sz w:val="16"/>
                <w:szCs w:val="16"/>
              </w:rPr>
              <w:t>TeamCD</w:t>
            </w:r>
            <w:proofErr w:type="spellEnd"/>
            <w:r>
              <w:rPr>
                <w:rFonts w:ascii="Arial" w:hAnsi="Arial" w:cs="Arial"/>
                <w:sz w:val="16"/>
                <w:szCs w:val="16"/>
              </w:rPr>
              <w:t>:</w:t>
            </w:r>
          </w:p>
          <w:p>
            <w:pPr>
              <w:numPr>
                <w:ilvl w:val="0"/>
                <w:numId w:val="3"/>
              </w:numPr>
              <w:autoSpaceDE w:val="0"/>
              <w:autoSpaceDN w:val="0"/>
              <w:adjustRightInd w:val="0"/>
              <w:ind w:left="681" w:right="142" w:hanging="227"/>
              <w:jc w:val="both"/>
              <w:rPr>
                <w:rFonts w:ascii="Arial" w:hAnsi="Arial" w:cs="Arial"/>
                <w:sz w:val="16"/>
                <w:szCs w:val="16"/>
              </w:rPr>
            </w:pPr>
            <w:r>
              <w:rPr>
                <w:rFonts w:ascii="Arial" w:hAnsi="Arial" w:cs="Arial"/>
                <w:sz w:val="16"/>
                <w:szCs w:val="16"/>
              </w:rPr>
              <w:t>Inserire il CD-ROM nel drive del server e confermare l’avvio dell’installazione</w:t>
            </w:r>
          </w:p>
          <w:p>
            <w:pPr>
              <w:autoSpaceDE w:val="0"/>
              <w:autoSpaceDN w:val="0"/>
              <w:adjustRightInd w:val="0"/>
              <w:ind w:left="142" w:right="142"/>
              <w:jc w:val="both"/>
              <w:rPr>
                <w:sz w:val="16"/>
                <w:szCs w:val="16"/>
              </w:rPr>
            </w:pPr>
          </w:p>
        </w:tc>
        <w:tc>
          <w:tcPr>
            <w:tcW w:w="4821" w:type="dxa"/>
          </w:tcPr>
          <w:p>
            <w:pPr>
              <w:autoSpaceDE w:val="0"/>
              <w:autoSpaceDN w:val="0"/>
              <w:adjustRightInd w:val="0"/>
              <w:spacing w:before="120"/>
              <w:ind w:left="142" w:right="142"/>
              <w:jc w:val="both"/>
              <w:rPr>
                <w:rFonts w:ascii="Arial" w:hAnsi="Arial" w:cs="Arial"/>
                <w:sz w:val="16"/>
                <w:szCs w:val="16"/>
              </w:rPr>
            </w:pPr>
            <w:r>
              <w:rPr>
                <w:rFonts w:ascii="Arial" w:hAnsi="Arial" w:cs="Arial"/>
                <w:sz w:val="16"/>
                <w:szCs w:val="16"/>
              </w:rPr>
              <w:t>Dalla console, come super-utente (root), digitare il comando AGGTAR.</w:t>
            </w:r>
          </w:p>
          <w:p>
            <w:pPr>
              <w:autoSpaceDE w:val="0"/>
              <w:autoSpaceDN w:val="0"/>
              <w:adjustRightInd w:val="0"/>
              <w:ind w:left="142" w:right="142"/>
              <w:jc w:val="both"/>
              <w:rPr>
                <w:rFonts w:ascii="Arial" w:hAnsi="Arial" w:cs="Arial"/>
                <w:sz w:val="16"/>
                <w:szCs w:val="16"/>
              </w:rPr>
            </w:pPr>
            <w:r>
              <w:rPr>
                <w:rFonts w:ascii="Arial" w:hAnsi="Arial" w:cs="Arial"/>
                <w:sz w:val="16"/>
                <w:szCs w:val="16"/>
              </w:rPr>
              <w:t>Le modalità di installazione rese disponibili da questo comando saranno:</w:t>
            </w:r>
          </w:p>
          <w:p>
            <w:pPr>
              <w:numPr>
                <w:ilvl w:val="0"/>
                <w:numId w:val="3"/>
              </w:numPr>
              <w:autoSpaceDE w:val="0"/>
              <w:autoSpaceDN w:val="0"/>
              <w:adjustRightInd w:val="0"/>
              <w:ind w:left="454" w:right="142" w:hanging="284"/>
              <w:jc w:val="both"/>
              <w:rPr>
                <w:rFonts w:ascii="Arial" w:hAnsi="Arial" w:cs="Arial"/>
                <w:sz w:val="16"/>
                <w:szCs w:val="16"/>
              </w:rPr>
            </w:pPr>
            <w:r>
              <w:rPr>
                <w:rFonts w:ascii="Arial" w:hAnsi="Arial" w:cs="Arial"/>
                <w:sz w:val="16"/>
                <w:szCs w:val="16"/>
              </w:rPr>
              <w:t>CD-ROM: Inserire il CD-ROM nel drive del server e confermare l’avvio dell’installazione</w:t>
            </w:r>
          </w:p>
          <w:p>
            <w:pPr>
              <w:numPr>
                <w:ilvl w:val="0"/>
                <w:numId w:val="3"/>
              </w:numPr>
              <w:autoSpaceDE w:val="0"/>
              <w:autoSpaceDN w:val="0"/>
              <w:adjustRightInd w:val="0"/>
              <w:ind w:left="454" w:right="142" w:hanging="284"/>
              <w:jc w:val="both"/>
              <w:rPr>
                <w:rFonts w:ascii="Arial" w:hAnsi="Arial" w:cs="Arial"/>
                <w:sz w:val="16"/>
                <w:szCs w:val="16"/>
              </w:rPr>
            </w:pPr>
            <w:r>
              <w:rPr>
                <w:rFonts w:ascii="Arial" w:hAnsi="Arial" w:cs="Arial"/>
                <w:sz w:val="16"/>
                <w:szCs w:val="16"/>
              </w:rPr>
              <w:t xml:space="preserve">EXE: Scaricare i file in arrivo da </w:t>
            </w:r>
            <w:proofErr w:type="spellStart"/>
            <w:r>
              <w:rPr>
                <w:rFonts w:ascii="Arial" w:hAnsi="Arial" w:cs="Arial"/>
                <w:sz w:val="16"/>
                <w:szCs w:val="16"/>
              </w:rPr>
              <w:t>TeamCast</w:t>
            </w:r>
            <w:proofErr w:type="spellEnd"/>
            <w:r>
              <w:rPr>
                <w:rFonts w:ascii="Arial" w:hAnsi="Arial" w:cs="Arial"/>
                <w:sz w:val="16"/>
                <w:szCs w:val="16"/>
              </w:rPr>
              <w:t xml:space="preserve"> e confermare l’avvio dell’installazione</w:t>
            </w:r>
          </w:p>
          <w:p>
            <w:pPr>
              <w:autoSpaceDE w:val="0"/>
              <w:autoSpaceDN w:val="0"/>
              <w:adjustRightInd w:val="0"/>
              <w:ind w:left="142" w:right="142"/>
              <w:jc w:val="both"/>
              <w:rPr>
                <w:sz w:val="16"/>
                <w:szCs w:val="16"/>
              </w:rPr>
            </w:pPr>
          </w:p>
        </w:tc>
      </w:tr>
    </w:tbl>
    <w:p>
      <w:pPr>
        <w:pStyle w:val="CorpoAltF0"/>
        <w:rPr>
          <w:sz w:val="10"/>
          <w:szCs w:val="10"/>
        </w:rPr>
      </w:pPr>
    </w:p>
    <w:tbl>
      <w:tblPr>
        <w:tblW w:w="9639" w:type="dxa"/>
        <w:jc w:val="center"/>
        <w:tblBorders>
          <w:top w:val="single" w:sz="4" w:space="0" w:color="4BACC6"/>
          <w:left w:val="single" w:sz="4" w:space="0" w:color="4BACC6"/>
          <w:bottom w:val="single" w:sz="4" w:space="0" w:color="4BACC6"/>
          <w:right w:val="single" w:sz="4" w:space="0" w:color="4BACC6"/>
          <w:insideH w:val="single" w:sz="6" w:space="0" w:color="4BACC6"/>
          <w:insideV w:val="single" w:sz="6" w:space="0" w:color="4BACC6"/>
        </w:tblBorders>
        <w:shd w:val="clear" w:color="auto" w:fill="FFFFFF"/>
        <w:tblLook w:val="01E0" w:firstRow="1" w:lastRow="1" w:firstColumn="1" w:lastColumn="1" w:noHBand="0" w:noVBand="0"/>
      </w:tblPr>
      <w:tblGrid>
        <w:gridCol w:w="2665"/>
        <w:gridCol w:w="6974"/>
      </w:tblGrid>
      <w:tr>
        <w:trPr>
          <w:trHeight w:val="397"/>
          <w:jc w:val="center"/>
        </w:trPr>
        <w:tc>
          <w:tcPr>
            <w:tcW w:w="9639" w:type="dxa"/>
            <w:gridSpan w:val="2"/>
            <w:shd w:val="clear" w:color="auto" w:fill="DBDBDB"/>
            <w:vAlign w:val="center"/>
          </w:tcPr>
          <w:p>
            <w:pPr>
              <w:pStyle w:val="Intestazione"/>
              <w:ind w:left="-108"/>
              <w:jc w:val="center"/>
              <w:rPr>
                <w:rFonts w:ascii="LFT Etica Lt" w:hAnsi="LFT Etica Lt" w:cs="Arial"/>
                <w:b/>
                <w:sz w:val="26"/>
                <w:szCs w:val="26"/>
              </w:rPr>
            </w:pPr>
            <w:r>
              <w:rPr>
                <w:rFonts w:ascii="LFT Etica Lt" w:hAnsi="LFT Etica Lt" w:cs="Arial"/>
                <w:b/>
                <w:sz w:val="26"/>
                <w:szCs w:val="26"/>
              </w:rPr>
              <w:t>Tabella riepilogativa Sistemi Operativi supportati</w:t>
            </w:r>
          </w:p>
        </w:tc>
      </w:tr>
      <w:tr>
        <w:tblPrEx>
          <w:tblCellMar>
            <w:left w:w="70" w:type="dxa"/>
            <w:right w:w="70" w:type="dxa"/>
          </w:tblCellMar>
          <w:tblLook w:val="0000" w:firstRow="0" w:lastRow="0" w:firstColumn="0" w:lastColumn="0" w:noHBand="0" w:noVBand="0"/>
        </w:tblPrEx>
        <w:trPr>
          <w:trHeight w:val="283"/>
          <w:jc w:val="center"/>
        </w:trPr>
        <w:tc>
          <w:tcPr>
            <w:tcW w:w="2665" w:type="dxa"/>
            <w:shd w:val="clear" w:color="auto" w:fill="F2F2F2"/>
            <w:tcMar>
              <w:top w:w="57" w:type="dxa"/>
              <w:bottom w:w="57" w:type="dxa"/>
            </w:tcMar>
            <w:vAlign w:val="center"/>
          </w:tcPr>
          <w:p>
            <w:pPr>
              <w:pStyle w:val="Intestazione"/>
              <w:jc w:val="center"/>
              <w:rPr>
                <w:rFonts w:ascii="LFT Etica Lt" w:hAnsi="LFT Etica Lt" w:cs="Arial"/>
                <w:b/>
                <w:sz w:val="18"/>
                <w:szCs w:val="16"/>
              </w:rPr>
            </w:pPr>
            <w:r>
              <w:rPr>
                <w:rFonts w:ascii="LFT Etica Lt" w:hAnsi="LFT Etica Lt" w:cs="Arial"/>
                <w:b/>
                <w:sz w:val="18"/>
                <w:szCs w:val="16"/>
              </w:rPr>
              <w:t>Sistema Operativo</w:t>
            </w:r>
          </w:p>
        </w:tc>
        <w:tc>
          <w:tcPr>
            <w:tcW w:w="6974" w:type="dxa"/>
            <w:shd w:val="clear" w:color="auto" w:fill="F2F2F2"/>
            <w:tcMar>
              <w:top w:w="57" w:type="dxa"/>
              <w:bottom w:w="57" w:type="dxa"/>
            </w:tcMar>
            <w:vAlign w:val="center"/>
          </w:tcPr>
          <w:p>
            <w:pPr>
              <w:pStyle w:val="Intestazione"/>
              <w:jc w:val="center"/>
              <w:rPr>
                <w:rFonts w:ascii="LFT Etica Lt" w:hAnsi="LFT Etica Lt" w:cs="Arial"/>
                <w:b/>
                <w:sz w:val="18"/>
                <w:szCs w:val="16"/>
              </w:rPr>
            </w:pPr>
            <w:r>
              <w:rPr>
                <w:rFonts w:ascii="LFT Etica Lt" w:hAnsi="LFT Etica Lt" w:cs="Arial"/>
                <w:b/>
                <w:sz w:val="18"/>
                <w:szCs w:val="16"/>
              </w:rPr>
              <w:t>Versione</w:t>
            </w:r>
          </w:p>
        </w:tc>
      </w:tr>
      <w:tr>
        <w:tblPrEx>
          <w:tblCellMar>
            <w:left w:w="70" w:type="dxa"/>
            <w:right w:w="70" w:type="dxa"/>
          </w:tblCellMar>
          <w:tblLook w:val="0000" w:firstRow="0" w:lastRow="0" w:firstColumn="0" w:lastColumn="0" w:noHBand="0" w:noVBand="0"/>
        </w:tblPrEx>
        <w:trPr>
          <w:trHeight w:val="1701"/>
          <w:jc w:val="center"/>
        </w:trPr>
        <w:tc>
          <w:tcPr>
            <w:tcW w:w="2665" w:type="dxa"/>
            <w:shd w:val="clear" w:color="auto" w:fill="FFFFFF"/>
            <w:tcMar>
              <w:top w:w="57" w:type="dxa"/>
              <w:bottom w:w="57" w:type="dxa"/>
            </w:tcMar>
            <w:vAlign w:val="center"/>
          </w:tcPr>
          <w:p>
            <w:pPr>
              <w:jc w:val="center"/>
              <w:rPr>
                <w:rFonts w:ascii="LFT Etica Lt" w:hAnsi="LFT Etica Lt" w:cs="Arial"/>
                <w:b/>
                <w:bCs/>
                <w:sz w:val="18"/>
                <w:szCs w:val="16"/>
              </w:rPr>
            </w:pPr>
            <w:r>
              <w:rPr>
                <w:rFonts w:ascii="LFT Etica Lt" w:hAnsi="LFT Etica Lt" w:cs="Arial"/>
                <w:b/>
                <w:bCs/>
                <w:sz w:val="18"/>
                <w:szCs w:val="16"/>
              </w:rPr>
              <w:t>Windows</w:t>
            </w:r>
            <w:r>
              <w:rPr>
                <w:rFonts w:ascii="LFT Etica Lt" w:hAnsi="LFT Etica Lt" w:cs="Arial"/>
                <w:bCs/>
                <w:sz w:val="18"/>
                <w:szCs w:val="16"/>
              </w:rPr>
              <w:t xml:space="preserve"> (1)</w:t>
            </w:r>
          </w:p>
        </w:tc>
        <w:tc>
          <w:tcPr>
            <w:tcW w:w="6974" w:type="dxa"/>
            <w:shd w:val="clear" w:color="auto" w:fill="FFFFFF"/>
            <w:tcMar>
              <w:top w:w="57" w:type="dxa"/>
              <w:bottom w:w="57" w:type="dxa"/>
            </w:tcMar>
            <w:vAlign w:val="center"/>
          </w:tcPr>
          <w:p>
            <w:pPr>
              <w:rPr>
                <w:rFonts w:ascii="LFT Etica Lt" w:hAnsi="LFT Etica Lt" w:cs="Arial"/>
                <w:i/>
                <w:sz w:val="18"/>
                <w:szCs w:val="16"/>
                <w:lang w:val="en-GB"/>
              </w:rPr>
            </w:pPr>
            <w:r>
              <w:rPr>
                <w:rFonts w:ascii="LFT Etica Lt" w:hAnsi="LFT Etica Lt" w:cs="Arial"/>
                <w:sz w:val="18"/>
                <w:szCs w:val="16"/>
                <w:lang w:val="en-GB"/>
              </w:rPr>
              <w:t xml:space="preserve">2008 Server SP2 </w:t>
            </w:r>
            <w:r>
              <w:rPr>
                <w:rFonts w:ascii="LFT Etica Lt" w:hAnsi="LFT Etica Lt" w:cs="Arial"/>
                <w:i/>
                <w:sz w:val="18"/>
                <w:szCs w:val="16"/>
                <w:lang w:val="en-GB"/>
              </w:rPr>
              <w:t>(2)</w:t>
            </w:r>
          </w:p>
          <w:p>
            <w:pPr>
              <w:rPr>
                <w:rFonts w:ascii="LFT Etica Lt" w:hAnsi="LFT Etica Lt" w:cs="Arial"/>
                <w:i/>
                <w:sz w:val="18"/>
                <w:szCs w:val="16"/>
                <w:lang w:val="en-GB"/>
              </w:rPr>
            </w:pPr>
            <w:r>
              <w:rPr>
                <w:rFonts w:ascii="LFT Etica Lt" w:hAnsi="LFT Etica Lt" w:cs="Arial"/>
                <w:sz w:val="18"/>
                <w:szCs w:val="16"/>
                <w:lang w:val="en-GB"/>
              </w:rPr>
              <w:t xml:space="preserve">2008 R2 SP1 </w:t>
            </w:r>
            <w:r>
              <w:rPr>
                <w:rFonts w:ascii="LFT Etica Lt" w:hAnsi="LFT Etica Lt" w:cs="Arial"/>
                <w:i/>
                <w:sz w:val="18"/>
                <w:szCs w:val="16"/>
                <w:lang w:val="en-GB"/>
              </w:rPr>
              <w:t>(2)</w:t>
            </w:r>
          </w:p>
          <w:p>
            <w:pPr>
              <w:rPr>
                <w:rFonts w:ascii="LFT Etica Lt" w:hAnsi="LFT Etica Lt" w:cs="Arial"/>
                <w:sz w:val="18"/>
                <w:szCs w:val="16"/>
                <w:lang w:val="en-GB"/>
              </w:rPr>
            </w:pPr>
            <w:r>
              <w:rPr>
                <w:rFonts w:ascii="LFT Etica Lt" w:hAnsi="LFT Etica Lt" w:cs="Arial"/>
                <w:sz w:val="18"/>
                <w:szCs w:val="16"/>
                <w:lang w:val="en-GB"/>
              </w:rPr>
              <w:t>SBS 2008 Server SP2 (2)</w:t>
            </w:r>
          </w:p>
          <w:p>
            <w:pPr>
              <w:rPr>
                <w:rFonts w:ascii="LFT Etica Lt" w:hAnsi="LFT Etica Lt" w:cs="Arial"/>
                <w:sz w:val="18"/>
                <w:szCs w:val="16"/>
                <w:lang w:val="en-GB"/>
              </w:rPr>
            </w:pPr>
            <w:r>
              <w:rPr>
                <w:rFonts w:ascii="LFT Etica Lt" w:hAnsi="LFT Etica Lt" w:cs="Arial"/>
                <w:sz w:val="18"/>
                <w:szCs w:val="16"/>
                <w:lang w:val="en-GB"/>
              </w:rPr>
              <w:t xml:space="preserve">7 Professional </w:t>
            </w:r>
          </w:p>
          <w:p>
            <w:pPr>
              <w:rPr>
                <w:rFonts w:ascii="LFT Etica Lt" w:hAnsi="LFT Etica Lt" w:cs="Arial"/>
                <w:sz w:val="18"/>
                <w:szCs w:val="16"/>
                <w:lang w:val="en-GB"/>
              </w:rPr>
            </w:pPr>
            <w:r>
              <w:rPr>
                <w:rFonts w:ascii="LFT Etica Lt" w:hAnsi="LFT Etica Lt" w:cs="Arial"/>
                <w:sz w:val="18"/>
                <w:szCs w:val="16"/>
                <w:lang w:val="en-GB"/>
              </w:rPr>
              <w:t>SBS 2011 Server (2)</w:t>
            </w:r>
          </w:p>
          <w:p>
            <w:pPr>
              <w:rPr>
                <w:rFonts w:ascii="LFT Etica Lt" w:hAnsi="LFT Etica Lt" w:cs="Arial"/>
                <w:sz w:val="18"/>
                <w:szCs w:val="16"/>
                <w:lang w:val="en-GB"/>
              </w:rPr>
            </w:pPr>
            <w:r>
              <w:rPr>
                <w:rFonts w:ascii="LFT Etica Lt" w:hAnsi="LFT Etica Lt" w:cs="Arial"/>
                <w:sz w:val="18"/>
                <w:szCs w:val="16"/>
                <w:lang w:val="en-GB"/>
              </w:rPr>
              <w:t>Server 2012, 2012 R2</w:t>
            </w:r>
          </w:p>
          <w:p>
            <w:pPr>
              <w:rPr>
                <w:rFonts w:ascii="LFT Etica Lt" w:hAnsi="LFT Etica Lt" w:cs="Arial"/>
                <w:sz w:val="18"/>
                <w:szCs w:val="16"/>
                <w:lang w:val="en-GB"/>
              </w:rPr>
            </w:pPr>
            <w:r>
              <w:rPr>
                <w:rFonts w:ascii="LFT Etica Lt" w:hAnsi="LFT Etica Lt" w:cs="Arial"/>
                <w:sz w:val="18"/>
                <w:szCs w:val="16"/>
                <w:lang w:val="en-GB"/>
              </w:rPr>
              <w:t xml:space="preserve">8.1 Pro </w:t>
            </w:r>
          </w:p>
          <w:p>
            <w:pPr>
              <w:rPr>
                <w:rFonts w:ascii="LFT Etica Lt" w:hAnsi="LFT Etica Lt" w:cs="Arial"/>
                <w:sz w:val="18"/>
                <w:szCs w:val="16"/>
                <w:lang w:val="en-GB"/>
              </w:rPr>
            </w:pPr>
            <w:r>
              <w:rPr>
                <w:rFonts w:ascii="LFT Etica Lt" w:hAnsi="LFT Etica Lt" w:cs="Arial"/>
                <w:sz w:val="18"/>
                <w:szCs w:val="16"/>
                <w:lang w:val="en-GB"/>
              </w:rPr>
              <w:t>10 Pro 30</w:t>
            </w:r>
          </w:p>
          <w:p>
            <w:pPr>
              <w:rPr>
                <w:rFonts w:ascii="LFT Etica Lt" w:hAnsi="LFT Etica Lt" w:cs="Arial"/>
                <w:sz w:val="18"/>
                <w:szCs w:val="16"/>
                <w:lang w:val="en-GB"/>
              </w:rPr>
            </w:pPr>
            <w:r>
              <w:rPr>
                <w:rFonts w:ascii="LFT Etica Lt" w:hAnsi="LFT Etica Lt" w:cs="Arial"/>
                <w:sz w:val="18"/>
                <w:szCs w:val="16"/>
                <w:lang w:val="en-GB"/>
              </w:rPr>
              <w:t>Server 2016</w:t>
            </w:r>
          </w:p>
        </w:tc>
      </w:tr>
      <w:tr>
        <w:tblPrEx>
          <w:tblCellMar>
            <w:left w:w="70" w:type="dxa"/>
            <w:right w:w="70" w:type="dxa"/>
          </w:tblCellMar>
          <w:tblLook w:val="0000" w:firstRow="0" w:lastRow="0" w:firstColumn="0" w:lastColumn="0" w:noHBand="0" w:noVBand="0"/>
        </w:tblPrEx>
        <w:trPr>
          <w:trHeight w:val="1247"/>
          <w:jc w:val="center"/>
        </w:trPr>
        <w:tc>
          <w:tcPr>
            <w:tcW w:w="2665" w:type="dxa"/>
            <w:shd w:val="clear" w:color="auto" w:fill="FFFFFF"/>
            <w:tcMar>
              <w:top w:w="57" w:type="dxa"/>
              <w:bottom w:w="57" w:type="dxa"/>
            </w:tcMar>
            <w:vAlign w:val="center"/>
          </w:tcPr>
          <w:p>
            <w:pPr>
              <w:jc w:val="center"/>
              <w:rPr>
                <w:rFonts w:ascii="LFT Etica Lt" w:hAnsi="LFT Etica Lt" w:cs="Arial"/>
                <w:b/>
                <w:bCs/>
                <w:sz w:val="18"/>
                <w:szCs w:val="16"/>
              </w:rPr>
            </w:pPr>
            <w:r>
              <w:rPr>
                <w:rFonts w:ascii="LFT Etica Lt" w:hAnsi="LFT Etica Lt" w:cs="Arial"/>
                <w:b/>
                <w:bCs/>
                <w:sz w:val="18"/>
                <w:szCs w:val="16"/>
              </w:rPr>
              <w:t>Linux</w:t>
            </w:r>
          </w:p>
        </w:tc>
        <w:tc>
          <w:tcPr>
            <w:tcW w:w="6974" w:type="dxa"/>
            <w:shd w:val="clear" w:color="auto" w:fill="FFFFFF"/>
            <w:tcMar>
              <w:top w:w="57" w:type="dxa"/>
              <w:bottom w:w="57" w:type="dxa"/>
            </w:tcMar>
            <w:vAlign w:val="center"/>
          </w:tcPr>
          <w:p>
            <w:pPr>
              <w:rPr>
                <w:rFonts w:ascii="LFT Etica Lt" w:hAnsi="LFT Etica Lt" w:cs="Arial"/>
                <w:sz w:val="18"/>
                <w:szCs w:val="16"/>
                <w:lang w:val="en-GB"/>
              </w:rPr>
            </w:pPr>
            <w:r>
              <w:rPr>
                <w:rFonts w:ascii="LFT Etica Lt" w:hAnsi="LFT Etica Lt" w:cs="Arial"/>
                <w:b/>
                <w:bCs/>
                <w:sz w:val="18"/>
                <w:szCs w:val="16"/>
                <w:lang w:val="en-GB"/>
              </w:rPr>
              <w:t xml:space="preserve">SLES </w:t>
            </w:r>
            <w:r>
              <w:rPr>
                <w:rFonts w:ascii="LFT Etica Lt" w:hAnsi="LFT Etica Lt" w:cs="Arial"/>
                <w:sz w:val="18"/>
                <w:szCs w:val="16"/>
                <w:lang w:val="en-GB"/>
              </w:rPr>
              <w:t>11-SP3, 11-SP4</w:t>
            </w:r>
          </w:p>
          <w:p>
            <w:pPr>
              <w:rPr>
                <w:rFonts w:ascii="LFT Etica Lt" w:hAnsi="LFT Etica Lt" w:cs="Arial"/>
                <w:sz w:val="18"/>
                <w:szCs w:val="16"/>
                <w:lang w:val="en-GB"/>
              </w:rPr>
            </w:pPr>
            <w:r>
              <w:rPr>
                <w:rFonts w:ascii="LFT Etica Lt" w:hAnsi="LFT Etica Lt" w:cs="Arial"/>
                <w:b/>
                <w:bCs/>
                <w:sz w:val="18"/>
                <w:szCs w:val="16"/>
                <w:lang w:val="en-GB"/>
              </w:rPr>
              <w:t xml:space="preserve">Ubuntu </w:t>
            </w:r>
            <w:r>
              <w:rPr>
                <w:rFonts w:ascii="LFT Etica Lt" w:hAnsi="LFT Etica Lt" w:cs="Arial"/>
                <w:sz w:val="18"/>
                <w:szCs w:val="16"/>
                <w:lang w:val="en-GB"/>
              </w:rPr>
              <w:t>14.04 LTS, 16.04 LTS, 17.04</w:t>
            </w:r>
          </w:p>
          <w:p>
            <w:pPr>
              <w:rPr>
                <w:rFonts w:ascii="LFT Etica Lt" w:hAnsi="LFT Etica Lt" w:cs="Arial"/>
                <w:sz w:val="18"/>
                <w:szCs w:val="16"/>
                <w:lang w:val="en-GB"/>
              </w:rPr>
            </w:pPr>
            <w:r>
              <w:rPr>
                <w:rFonts w:ascii="LFT Etica Lt" w:hAnsi="LFT Etica Lt" w:cs="Arial"/>
                <w:b/>
                <w:bCs/>
                <w:sz w:val="18"/>
                <w:szCs w:val="16"/>
                <w:lang w:val="en-GB"/>
              </w:rPr>
              <w:t>Fedora</w:t>
            </w:r>
            <w:r>
              <w:rPr>
                <w:rFonts w:ascii="LFT Etica Lt" w:hAnsi="LFT Etica Lt" w:cs="Arial"/>
                <w:sz w:val="18"/>
                <w:szCs w:val="16"/>
                <w:lang w:val="en-GB"/>
              </w:rPr>
              <w:t xml:space="preserve"> 22, 25</w:t>
            </w:r>
          </w:p>
          <w:p>
            <w:pPr>
              <w:rPr>
                <w:rFonts w:ascii="LFT Etica Lt" w:hAnsi="LFT Etica Lt" w:cs="Arial"/>
                <w:sz w:val="18"/>
                <w:szCs w:val="16"/>
                <w:lang w:val="en-GB"/>
              </w:rPr>
            </w:pPr>
            <w:r>
              <w:rPr>
                <w:rFonts w:ascii="LFT Etica Lt" w:hAnsi="LFT Etica Lt" w:cs="Arial"/>
                <w:b/>
                <w:bCs/>
                <w:sz w:val="18"/>
                <w:szCs w:val="16"/>
                <w:lang w:val="en-GB"/>
              </w:rPr>
              <w:t xml:space="preserve">CentOS </w:t>
            </w:r>
            <w:r>
              <w:rPr>
                <w:rFonts w:ascii="LFT Etica Lt" w:hAnsi="LFT Etica Lt" w:cs="Arial"/>
                <w:sz w:val="18"/>
                <w:szCs w:val="16"/>
                <w:lang w:val="en-GB"/>
              </w:rPr>
              <w:t>6.4, 6.5, 6.6, 7.3</w:t>
            </w:r>
          </w:p>
          <w:p>
            <w:pPr>
              <w:rPr>
                <w:rFonts w:ascii="LFT Etica Lt" w:hAnsi="LFT Etica Lt" w:cs="Arial"/>
                <w:sz w:val="18"/>
                <w:szCs w:val="16"/>
                <w:lang w:val="en-GB"/>
              </w:rPr>
            </w:pPr>
            <w:r>
              <w:rPr>
                <w:rFonts w:ascii="LFT Etica Lt" w:hAnsi="LFT Etica Lt" w:cs="Arial"/>
                <w:b/>
                <w:bCs/>
                <w:sz w:val="18"/>
                <w:szCs w:val="16"/>
                <w:lang w:val="en-GB"/>
              </w:rPr>
              <w:t xml:space="preserve">PowerPC - </w:t>
            </w:r>
            <w:proofErr w:type="spellStart"/>
            <w:r>
              <w:rPr>
                <w:rFonts w:ascii="LFT Etica Lt" w:hAnsi="LFT Etica Lt" w:cs="Arial"/>
                <w:b/>
                <w:sz w:val="18"/>
                <w:szCs w:val="16"/>
                <w:lang w:val="en-GB"/>
              </w:rPr>
              <w:t>OpenSuse</w:t>
            </w:r>
            <w:proofErr w:type="spellEnd"/>
            <w:r>
              <w:rPr>
                <w:rFonts w:ascii="LFT Etica Lt" w:hAnsi="LFT Etica Lt" w:cs="Arial"/>
                <w:sz w:val="18"/>
                <w:szCs w:val="16"/>
                <w:lang w:val="en-GB"/>
              </w:rPr>
              <w:t xml:space="preserve"> 10.3</w:t>
            </w:r>
          </w:p>
          <w:p>
            <w:pPr>
              <w:rPr>
                <w:rFonts w:ascii="LFT Etica Lt" w:hAnsi="LFT Etica Lt" w:cs="Arial"/>
                <w:sz w:val="18"/>
                <w:szCs w:val="16"/>
                <w:lang w:val="en-GB"/>
              </w:rPr>
            </w:pPr>
            <w:r>
              <w:rPr>
                <w:rFonts w:ascii="LFT Etica Lt" w:hAnsi="LFT Etica Lt" w:cs="Arial"/>
                <w:b/>
                <w:bCs/>
                <w:sz w:val="18"/>
                <w:szCs w:val="16"/>
                <w:lang w:val="en-GB"/>
              </w:rPr>
              <w:t xml:space="preserve">PowerPC - </w:t>
            </w:r>
            <w:r>
              <w:rPr>
                <w:rFonts w:ascii="LFT Etica Lt" w:hAnsi="LFT Etica Lt" w:cs="Arial"/>
                <w:b/>
                <w:sz w:val="18"/>
                <w:szCs w:val="16"/>
                <w:lang w:val="en-GB"/>
              </w:rPr>
              <w:t>SLES</w:t>
            </w:r>
            <w:r>
              <w:rPr>
                <w:rFonts w:ascii="LFT Etica Lt" w:hAnsi="LFT Etica Lt" w:cs="Arial"/>
                <w:sz w:val="18"/>
                <w:szCs w:val="16"/>
                <w:lang w:val="en-GB"/>
              </w:rPr>
              <w:t xml:space="preserve"> 11-SP3, 11-SP4</w:t>
            </w:r>
          </w:p>
        </w:tc>
      </w:tr>
    </w:tbl>
    <w:p>
      <w:pPr>
        <w:pStyle w:val="Ignora"/>
        <w:rPr>
          <w:sz w:val="10"/>
          <w:szCs w:val="10"/>
          <w:lang w:val="en-GB"/>
        </w:rPr>
      </w:pPr>
    </w:p>
    <w:p>
      <w:pPr>
        <w:numPr>
          <w:ilvl w:val="0"/>
          <w:numId w:val="5"/>
        </w:numPr>
        <w:ind w:left="284" w:hanging="284"/>
        <w:jc w:val="both"/>
        <w:rPr>
          <w:rFonts w:ascii="LFT Etica Lt" w:hAnsi="LFT Etica Lt" w:cs="Arial"/>
          <w:sz w:val="18"/>
          <w:szCs w:val="16"/>
        </w:rPr>
      </w:pPr>
      <w:r>
        <w:rPr>
          <w:rFonts w:ascii="LFT Etica Lt" w:hAnsi="LFT Etica Lt" w:cs="Arial"/>
          <w:sz w:val="18"/>
          <w:szCs w:val="18"/>
        </w:rPr>
        <w:t>Sono escluse tutte le versioni dei sistemi operativi destinate ad un’utenza ‘Home’.</w:t>
      </w:r>
    </w:p>
    <w:p>
      <w:pPr>
        <w:numPr>
          <w:ilvl w:val="0"/>
          <w:numId w:val="8"/>
        </w:numPr>
        <w:ind w:left="284" w:hanging="284"/>
        <w:jc w:val="both"/>
        <w:rPr>
          <w:rFonts w:ascii="LFT Etica Lt" w:hAnsi="LFT Etica Lt" w:cs="Arial"/>
          <w:sz w:val="18"/>
          <w:szCs w:val="16"/>
        </w:rPr>
      </w:pPr>
      <w:r>
        <w:rPr>
          <w:rFonts w:ascii="LFT Etica Lt" w:hAnsi="LFT Etica Lt" w:cs="Arial"/>
          <w:sz w:val="18"/>
          <w:szCs w:val="16"/>
        </w:rPr>
        <w:t>ATTENZIONE: si consiglia l’utilizzo della versione Windows Server 2012 e successive</w:t>
      </w:r>
    </w:p>
    <w:p>
      <w:pPr>
        <w:pStyle w:val="CorpoAltF0"/>
        <w:rPr>
          <w:sz w:val="10"/>
          <w:szCs w:val="10"/>
        </w:rPr>
      </w:pPr>
    </w:p>
    <w:p>
      <w:pPr>
        <w:pStyle w:val="Ignora"/>
        <w:rPr>
          <w:sz w:val="10"/>
          <w:szCs w:val="10"/>
        </w:rPr>
      </w:pPr>
    </w:p>
    <w:tbl>
      <w:tblPr>
        <w:tblW w:w="9639" w:type="dxa"/>
        <w:jc w:val="center"/>
        <w:tblBorders>
          <w:top w:val="single" w:sz="4" w:space="0" w:color="4BACC6"/>
          <w:left w:val="single" w:sz="4" w:space="0" w:color="4BACC6"/>
          <w:bottom w:val="single" w:sz="4" w:space="0" w:color="4BACC6"/>
          <w:right w:val="single" w:sz="4" w:space="0" w:color="4BACC6"/>
          <w:insideH w:val="single" w:sz="6" w:space="0" w:color="4BACC6"/>
          <w:insideV w:val="single" w:sz="6" w:space="0" w:color="4BACC6"/>
        </w:tblBorders>
        <w:shd w:val="clear" w:color="auto" w:fill="FFFFFF"/>
        <w:tblLook w:val="01E0" w:firstRow="1" w:lastRow="1" w:firstColumn="1" w:lastColumn="1" w:noHBand="0" w:noVBand="0"/>
      </w:tblPr>
      <w:tblGrid>
        <w:gridCol w:w="2665"/>
        <w:gridCol w:w="6974"/>
      </w:tblGrid>
      <w:tr>
        <w:trPr>
          <w:trHeight w:val="397"/>
          <w:jc w:val="center"/>
        </w:trPr>
        <w:tc>
          <w:tcPr>
            <w:tcW w:w="9639" w:type="dxa"/>
            <w:gridSpan w:val="2"/>
            <w:shd w:val="clear" w:color="auto" w:fill="DBDBDB"/>
            <w:vAlign w:val="center"/>
          </w:tcPr>
          <w:p>
            <w:pPr>
              <w:pStyle w:val="Intestazione"/>
              <w:ind w:left="-108"/>
              <w:jc w:val="center"/>
              <w:rPr>
                <w:rFonts w:ascii="LFT Etica Lt" w:hAnsi="LFT Etica Lt" w:cs="Arial"/>
                <w:b/>
                <w:sz w:val="26"/>
                <w:szCs w:val="26"/>
              </w:rPr>
            </w:pPr>
            <w:r>
              <w:rPr>
                <w:rFonts w:ascii="LFT Etica Lt" w:hAnsi="LFT Etica Lt" w:cs="Arial"/>
                <w:b/>
                <w:sz w:val="26"/>
                <w:szCs w:val="26"/>
              </w:rPr>
              <w:t>Tabella riepilogativa Sistemi Operativi in dismissione</w:t>
            </w:r>
          </w:p>
        </w:tc>
      </w:tr>
      <w:tr>
        <w:tblPrEx>
          <w:tblCellMar>
            <w:left w:w="70" w:type="dxa"/>
            <w:right w:w="70" w:type="dxa"/>
          </w:tblCellMar>
          <w:tblLook w:val="0000" w:firstRow="0" w:lastRow="0" w:firstColumn="0" w:lastColumn="0" w:noHBand="0" w:noVBand="0"/>
        </w:tblPrEx>
        <w:trPr>
          <w:trHeight w:val="283"/>
          <w:jc w:val="center"/>
        </w:trPr>
        <w:tc>
          <w:tcPr>
            <w:tcW w:w="2665" w:type="dxa"/>
            <w:shd w:val="clear" w:color="auto" w:fill="F2F2F2"/>
            <w:tcMar>
              <w:top w:w="57" w:type="dxa"/>
              <w:bottom w:w="57" w:type="dxa"/>
            </w:tcMar>
            <w:vAlign w:val="center"/>
          </w:tcPr>
          <w:p>
            <w:pPr>
              <w:pStyle w:val="Intestazione"/>
              <w:jc w:val="center"/>
              <w:rPr>
                <w:rFonts w:ascii="LFT Etica Lt" w:hAnsi="LFT Etica Lt" w:cs="Arial"/>
                <w:b/>
                <w:sz w:val="18"/>
                <w:szCs w:val="16"/>
              </w:rPr>
            </w:pPr>
            <w:r>
              <w:rPr>
                <w:rFonts w:ascii="LFT Etica Lt" w:hAnsi="LFT Etica Lt" w:cs="Arial"/>
                <w:b/>
                <w:sz w:val="18"/>
                <w:szCs w:val="16"/>
              </w:rPr>
              <w:t>Sistema Operativo</w:t>
            </w:r>
          </w:p>
        </w:tc>
        <w:tc>
          <w:tcPr>
            <w:tcW w:w="6974" w:type="dxa"/>
            <w:shd w:val="clear" w:color="auto" w:fill="F2F2F2"/>
            <w:tcMar>
              <w:top w:w="57" w:type="dxa"/>
              <w:bottom w:w="57" w:type="dxa"/>
            </w:tcMar>
            <w:vAlign w:val="center"/>
          </w:tcPr>
          <w:p>
            <w:pPr>
              <w:pStyle w:val="Intestazione"/>
              <w:jc w:val="center"/>
              <w:rPr>
                <w:rFonts w:ascii="LFT Etica Lt" w:hAnsi="LFT Etica Lt" w:cs="Arial"/>
                <w:b/>
                <w:sz w:val="18"/>
                <w:szCs w:val="16"/>
              </w:rPr>
            </w:pPr>
            <w:r>
              <w:rPr>
                <w:rFonts w:ascii="LFT Etica Lt" w:hAnsi="LFT Etica Lt" w:cs="Arial"/>
                <w:b/>
                <w:sz w:val="18"/>
                <w:szCs w:val="16"/>
              </w:rPr>
              <w:t>Versione</w:t>
            </w:r>
          </w:p>
        </w:tc>
      </w:tr>
      <w:tr>
        <w:tblPrEx>
          <w:tblCellMar>
            <w:left w:w="70" w:type="dxa"/>
            <w:right w:w="70" w:type="dxa"/>
          </w:tblCellMar>
          <w:tblLook w:val="0000" w:firstRow="0" w:lastRow="0" w:firstColumn="0" w:lastColumn="0" w:noHBand="0" w:noVBand="0"/>
        </w:tblPrEx>
        <w:trPr>
          <w:trHeight w:val="1247"/>
          <w:jc w:val="center"/>
        </w:trPr>
        <w:tc>
          <w:tcPr>
            <w:tcW w:w="2665" w:type="dxa"/>
            <w:shd w:val="clear" w:color="auto" w:fill="FFFFFF"/>
            <w:tcMar>
              <w:top w:w="57" w:type="dxa"/>
              <w:bottom w:w="57" w:type="dxa"/>
            </w:tcMar>
            <w:vAlign w:val="center"/>
          </w:tcPr>
          <w:p>
            <w:pPr>
              <w:jc w:val="center"/>
              <w:rPr>
                <w:rFonts w:ascii="LFT Etica Lt" w:hAnsi="LFT Etica Lt" w:cs="Arial"/>
                <w:b/>
                <w:bCs/>
                <w:sz w:val="18"/>
                <w:szCs w:val="16"/>
              </w:rPr>
            </w:pPr>
            <w:r>
              <w:rPr>
                <w:rFonts w:ascii="LFT Etica Lt" w:hAnsi="LFT Etica Lt" w:cs="Arial"/>
                <w:b/>
                <w:bCs/>
                <w:sz w:val="18"/>
                <w:szCs w:val="16"/>
              </w:rPr>
              <w:t>Linux</w:t>
            </w:r>
          </w:p>
        </w:tc>
        <w:tc>
          <w:tcPr>
            <w:tcW w:w="6974" w:type="dxa"/>
            <w:shd w:val="clear" w:color="auto" w:fill="FFFFFF"/>
            <w:tcMar>
              <w:top w:w="57" w:type="dxa"/>
              <w:bottom w:w="57" w:type="dxa"/>
            </w:tcMar>
            <w:vAlign w:val="center"/>
          </w:tcPr>
          <w:p>
            <w:pPr>
              <w:rPr>
                <w:rFonts w:ascii="LFT Etica Lt" w:hAnsi="LFT Etica Lt" w:cs="Arial"/>
                <w:sz w:val="18"/>
                <w:szCs w:val="16"/>
              </w:rPr>
            </w:pPr>
            <w:proofErr w:type="spellStart"/>
            <w:r>
              <w:rPr>
                <w:rFonts w:ascii="LFT Etica Lt" w:hAnsi="LFT Etica Lt" w:cs="Arial"/>
                <w:b/>
                <w:sz w:val="18"/>
                <w:szCs w:val="16"/>
              </w:rPr>
              <w:t>TeamLinux</w:t>
            </w:r>
            <w:proofErr w:type="spellEnd"/>
            <w:r>
              <w:rPr>
                <w:rFonts w:ascii="LFT Etica Lt" w:hAnsi="LFT Etica Lt" w:cs="Arial"/>
                <w:sz w:val="18"/>
                <w:szCs w:val="16"/>
              </w:rPr>
              <w:t xml:space="preserve"> 3.2: verrà dismesso il supporto il 31 luglio 2018</w:t>
            </w:r>
          </w:p>
          <w:p>
            <w:pPr>
              <w:rPr>
                <w:rFonts w:ascii="LFT Etica Lt" w:hAnsi="LFT Etica Lt" w:cs="Arial"/>
                <w:sz w:val="18"/>
                <w:szCs w:val="16"/>
              </w:rPr>
            </w:pPr>
            <w:proofErr w:type="spellStart"/>
            <w:r>
              <w:rPr>
                <w:rFonts w:ascii="LFT Etica Lt" w:hAnsi="LFT Etica Lt" w:cs="Arial"/>
                <w:b/>
                <w:sz w:val="18"/>
                <w:szCs w:val="16"/>
              </w:rPr>
              <w:t>TeamLinux</w:t>
            </w:r>
            <w:proofErr w:type="spellEnd"/>
            <w:r>
              <w:rPr>
                <w:rFonts w:ascii="LFT Etica Lt" w:hAnsi="LFT Etica Lt" w:cs="Arial"/>
                <w:sz w:val="18"/>
                <w:szCs w:val="16"/>
              </w:rPr>
              <w:t xml:space="preserve"> 4.2: verrà dismesso il supporto il 31 dicembre 2018</w:t>
            </w:r>
          </w:p>
          <w:p>
            <w:pPr>
              <w:rPr>
                <w:rFonts w:ascii="LFT Etica Lt" w:hAnsi="LFT Etica Lt" w:cs="Arial"/>
                <w:sz w:val="18"/>
                <w:szCs w:val="16"/>
              </w:rPr>
            </w:pPr>
            <w:proofErr w:type="spellStart"/>
            <w:r>
              <w:rPr>
                <w:rFonts w:ascii="LFT Etica Lt" w:hAnsi="LFT Etica Lt" w:cs="Arial"/>
                <w:b/>
                <w:sz w:val="18"/>
                <w:szCs w:val="16"/>
              </w:rPr>
              <w:t>TeamLinux</w:t>
            </w:r>
            <w:proofErr w:type="spellEnd"/>
            <w:r>
              <w:rPr>
                <w:rFonts w:ascii="LFT Etica Lt" w:hAnsi="LFT Etica Lt" w:cs="Arial"/>
                <w:sz w:val="18"/>
                <w:szCs w:val="16"/>
              </w:rPr>
              <w:t xml:space="preserve"> 4.4: verrà dismesso il supporto il 31 dicembre 2018</w:t>
            </w:r>
          </w:p>
          <w:p>
            <w:pPr>
              <w:rPr>
                <w:rFonts w:ascii="LFT Etica Lt" w:hAnsi="LFT Etica Lt" w:cs="Arial"/>
                <w:sz w:val="12"/>
                <w:szCs w:val="16"/>
              </w:rPr>
            </w:pPr>
          </w:p>
          <w:p>
            <w:pPr>
              <w:rPr>
                <w:rFonts w:ascii="LFT Etica Lt" w:hAnsi="LFT Etica Lt" w:cs="Arial"/>
                <w:sz w:val="18"/>
                <w:szCs w:val="16"/>
              </w:rPr>
            </w:pPr>
            <w:r>
              <w:rPr>
                <w:rFonts w:ascii="LFT Etica Lt" w:hAnsi="LFT Etica Lt" w:cs="Arial"/>
                <w:b/>
                <w:bCs/>
                <w:sz w:val="18"/>
                <w:szCs w:val="16"/>
              </w:rPr>
              <w:t xml:space="preserve">SLES </w:t>
            </w:r>
            <w:r>
              <w:rPr>
                <w:rFonts w:ascii="LFT Etica Lt" w:hAnsi="LFT Etica Lt" w:cs="Arial"/>
                <w:sz w:val="18"/>
                <w:szCs w:val="16"/>
              </w:rPr>
              <w:t>11-SP1: verrà dismesso il supporto il 31 luglio 2018</w:t>
            </w:r>
          </w:p>
          <w:p>
            <w:pPr>
              <w:rPr>
                <w:rFonts w:ascii="LFT Etica Lt" w:hAnsi="LFT Etica Lt" w:cs="Arial"/>
                <w:sz w:val="12"/>
                <w:szCs w:val="16"/>
              </w:rPr>
            </w:pPr>
          </w:p>
          <w:p>
            <w:pPr>
              <w:rPr>
                <w:rFonts w:ascii="LFT Etica Lt" w:hAnsi="LFT Etica Lt" w:cs="Arial"/>
                <w:sz w:val="12"/>
                <w:szCs w:val="16"/>
              </w:rPr>
            </w:pPr>
            <w:proofErr w:type="spellStart"/>
            <w:r>
              <w:rPr>
                <w:rFonts w:ascii="LFT Etica Lt" w:hAnsi="LFT Etica Lt" w:cs="Arial"/>
                <w:b/>
                <w:bCs/>
                <w:sz w:val="18"/>
                <w:szCs w:val="16"/>
              </w:rPr>
              <w:t>Ubuntu</w:t>
            </w:r>
            <w:proofErr w:type="spellEnd"/>
            <w:r>
              <w:rPr>
                <w:rFonts w:ascii="LFT Etica Lt" w:hAnsi="LFT Etica Lt" w:cs="Arial"/>
                <w:sz w:val="18"/>
                <w:szCs w:val="16"/>
              </w:rPr>
              <w:t xml:space="preserve"> 14.10 e 15.04: verrà dismesso il supporto il 31 luglio 2018 </w:t>
            </w:r>
          </w:p>
          <w:p>
            <w:pPr>
              <w:rPr>
                <w:rFonts w:ascii="LFT Etica Lt" w:hAnsi="LFT Etica Lt" w:cs="Arial"/>
                <w:sz w:val="18"/>
                <w:szCs w:val="16"/>
              </w:rPr>
            </w:pPr>
            <w:r>
              <w:rPr>
                <w:rFonts w:ascii="LFT Etica Lt" w:hAnsi="LFT Etica Lt" w:cs="Arial"/>
                <w:b/>
                <w:bCs/>
                <w:sz w:val="18"/>
                <w:szCs w:val="16"/>
              </w:rPr>
              <w:t xml:space="preserve">Fedora </w:t>
            </w:r>
            <w:r>
              <w:rPr>
                <w:rFonts w:ascii="LFT Etica Lt" w:hAnsi="LFT Etica Lt" w:cs="Arial"/>
                <w:sz w:val="18"/>
                <w:szCs w:val="16"/>
              </w:rPr>
              <w:t>20: verrà dismesso il supporto il 31 luglio 2018</w:t>
            </w:r>
          </w:p>
        </w:tc>
      </w:tr>
    </w:tbl>
    <w:p>
      <w:pPr>
        <w:pStyle w:val="Ignora"/>
        <w:rPr>
          <w:sz w:val="10"/>
          <w:szCs w:val="10"/>
        </w:rPr>
      </w:pPr>
    </w:p>
    <w:p>
      <w:pPr>
        <w:jc w:val="both"/>
        <w:rPr>
          <w:rFonts w:ascii="LFT Etica Lt" w:hAnsi="LFT Etica Lt"/>
          <w:sz w:val="18"/>
          <w:szCs w:val="18"/>
        </w:rPr>
      </w:pPr>
      <w:r>
        <w:rPr>
          <w:rFonts w:ascii="LFT Etica Lt" w:hAnsi="LFT Etica Lt"/>
          <w:sz w:val="18"/>
          <w:szCs w:val="18"/>
        </w:rPr>
        <w:t xml:space="preserve">In alternativa a </w:t>
      </w:r>
      <w:proofErr w:type="spellStart"/>
      <w:r>
        <w:rPr>
          <w:rFonts w:ascii="LFT Etica Lt" w:hAnsi="LFT Etica Lt"/>
          <w:sz w:val="18"/>
          <w:szCs w:val="18"/>
        </w:rPr>
        <w:t>TeamLinux</w:t>
      </w:r>
      <w:proofErr w:type="spellEnd"/>
      <w:r>
        <w:rPr>
          <w:rFonts w:ascii="LFT Etica Lt" w:hAnsi="LFT Etica Lt"/>
          <w:sz w:val="18"/>
          <w:szCs w:val="18"/>
        </w:rPr>
        <w:t xml:space="preserve"> si suggerisce l’utilizzo dei seguenti sistemi operativi:</w:t>
      </w:r>
    </w:p>
    <w:p>
      <w:pPr>
        <w:pStyle w:val="CorpoAltF0"/>
        <w:numPr>
          <w:ilvl w:val="0"/>
          <w:numId w:val="9"/>
        </w:numPr>
        <w:ind w:left="426" w:hanging="284"/>
        <w:rPr>
          <w:b/>
          <w:spacing w:val="10"/>
          <w:sz w:val="16"/>
          <w:szCs w:val="16"/>
        </w:rPr>
      </w:pPr>
      <w:proofErr w:type="spellStart"/>
      <w:r>
        <w:rPr>
          <w:b/>
          <w:spacing w:val="10"/>
          <w:sz w:val="16"/>
          <w:szCs w:val="16"/>
        </w:rPr>
        <w:t>Ubuntu</w:t>
      </w:r>
      <w:proofErr w:type="spellEnd"/>
      <w:r>
        <w:rPr>
          <w:b/>
          <w:spacing w:val="10"/>
          <w:sz w:val="16"/>
          <w:szCs w:val="16"/>
        </w:rPr>
        <w:t xml:space="preserve"> 16.04 LTS 64 bit</w:t>
      </w:r>
    </w:p>
    <w:p>
      <w:pPr>
        <w:pStyle w:val="CorpoAltF0"/>
        <w:numPr>
          <w:ilvl w:val="0"/>
          <w:numId w:val="9"/>
        </w:numPr>
        <w:ind w:left="426" w:hanging="284"/>
        <w:rPr>
          <w:b/>
          <w:spacing w:val="10"/>
          <w:sz w:val="16"/>
          <w:szCs w:val="16"/>
        </w:rPr>
      </w:pPr>
      <w:proofErr w:type="spellStart"/>
      <w:r>
        <w:rPr>
          <w:b/>
          <w:spacing w:val="10"/>
          <w:sz w:val="16"/>
          <w:szCs w:val="16"/>
        </w:rPr>
        <w:t>CentOS</w:t>
      </w:r>
      <w:proofErr w:type="spellEnd"/>
      <w:r>
        <w:rPr>
          <w:b/>
          <w:spacing w:val="10"/>
          <w:sz w:val="16"/>
          <w:szCs w:val="16"/>
        </w:rPr>
        <w:t xml:space="preserve"> 7.3 64 bit</w:t>
      </w:r>
    </w:p>
    <w:p>
      <w:pPr>
        <w:pStyle w:val="Ignora"/>
        <w:rPr>
          <w:sz w:val="10"/>
          <w:szCs w:val="10"/>
        </w:rPr>
      </w:pPr>
    </w:p>
    <w:p>
      <w:pPr>
        <w:jc w:val="both"/>
        <w:rPr>
          <w:rFonts w:ascii="LFT Etica Lt" w:hAnsi="LFT Etica Lt" w:cs="Arial"/>
          <w:i/>
          <w:sz w:val="18"/>
          <w:szCs w:val="18"/>
        </w:rPr>
      </w:pPr>
      <w:r>
        <w:rPr>
          <w:rFonts w:ascii="LFT Etica Lt" w:hAnsi="LFT Etica Lt" w:cs="Arial"/>
          <w:b/>
          <w:sz w:val="18"/>
          <w:szCs w:val="18"/>
        </w:rPr>
        <w:t xml:space="preserve">Release Software di base richieste dalla linea LYNFA </w:t>
      </w:r>
    </w:p>
    <w:p>
      <w:pPr>
        <w:numPr>
          <w:ilvl w:val="0"/>
          <w:numId w:val="7"/>
        </w:numPr>
        <w:ind w:left="426" w:hanging="284"/>
        <w:jc w:val="both"/>
        <w:rPr>
          <w:rFonts w:ascii="LFT Etica Lt" w:hAnsi="LFT Etica Lt" w:cs="Arial"/>
          <w:sz w:val="18"/>
          <w:szCs w:val="18"/>
        </w:rPr>
      </w:pPr>
      <w:r>
        <w:rPr>
          <w:rFonts w:ascii="LFT Etica Lt" w:hAnsi="LFT Etica Lt" w:cs="Arial"/>
          <w:sz w:val="18"/>
          <w:szCs w:val="18"/>
        </w:rPr>
        <w:t>POLYEDRO ultima versione rilasciata</w:t>
      </w:r>
    </w:p>
    <w:p>
      <w:pPr>
        <w:pStyle w:val="Ignora"/>
        <w:rPr>
          <w:sz w:val="10"/>
          <w:szCs w:val="10"/>
        </w:rPr>
      </w:pPr>
    </w:p>
    <w:p>
      <w:pPr>
        <w:jc w:val="both"/>
        <w:rPr>
          <w:rFonts w:ascii="LFT Etica Lt" w:hAnsi="LFT Etica Lt" w:cs="Arial"/>
          <w:sz w:val="18"/>
          <w:szCs w:val="18"/>
        </w:rPr>
      </w:pPr>
      <w:r>
        <w:rPr>
          <w:rFonts w:ascii="LFT Etica Lt" w:hAnsi="LFT Etica Lt" w:cs="Arial"/>
          <w:b/>
          <w:sz w:val="18"/>
          <w:szCs w:val="18"/>
        </w:rPr>
        <w:t xml:space="preserve">Release Software di base richieste da linea </w:t>
      </w:r>
      <w:proofErr w:type="spellStart"/>
      <w:r>
        <w:rPr>
          <w:rFonts w:ascii="LFT Etica Lt" w:hAnsi="LFT Etica Lt" w:cs="Arial"/>
          <w:b/>
          <w:sz w:val="18"/>
          <w:szCs w:val="18"/>
        </w:rPr>
        <w:t>Gecom</w:t>
      </w:r>
      <w:proofErr w:type="spellEnd"/>
      <w:r>
        <w:rPr>
          <w:rFonts w:ascii="LFT Etica Lt" w:hAnsi="LFT Etica Lt" w:cs="Arial"/>
          <w:b/>
          <w:sz w:val="18"/>
          <w:szCs w:val="18"/>
        </w:rPr>
        <w:t xml:space="preserve"> e Gamma </w:t>
      </w:r>
      <w:proofErr w:type="spellStart"/>
      <w:r>
        <w:rPr>
          <w:rFonts w:ascii="LFT Etica Lt" w:hAnsi="LFT Etica Lt" w:cs="Arial"/>
          <w:b/>
          <w:sz w:val="18"/>
          <w:szCs w:val="18"/>
        </w:rPr>
        <w:t>Evolution</w:t>
      </w:r>
      <w:proofErr w:type="spellEnd"/>
    </w:p>
    <w:p>
      <w:pPr>
        <w:numPr>
          <w:ilvl w:val="0"/>
          <w:numId w:val="7"/>
        </w:numPr>
        <w:ind w:left="426" w:hanging="284"/>
        <w:jc w:val="both"/>
        <w:rPr>
          <w:rFonts w:ascii="LFT Etica Lt" w:hAnsi="LFT Etica Lt" w:cs="Arial"/>
          <w:sz w:val="18"/>
          <w:szCs w:val="18"/>
        </w:rPr>
      </w:pPr>
      <w:proofErr w:type="spellStart"/>
      <w:r>
        <w:rPr>
          <w:rFonts w:ascii="LFT Etica Lt" w:hAnsi="LFT Etica Lt" w:cs="Arial"/>
          <w:sz w:val="18"/>
          <w:szCs w:val="18"/>
        </w:rPr>
        <w:t>TeamPortal</w:t>
      </w:r>
      <w:proofErr w:type="spellEnd"/>
      <w:r>
        <w:rPr>
          <w:rFonts w:ascii="LFT Etica Lt" w:hAnsi="LFT Etica Lt" w:cs="Arial"/>
          <w:sz w:val="18"/>
          <w:szCs w:val="18"/>
        </w:rPr>
        <w:t xml:space="preserve"> ultima versione rilasciata</w:t>
      </w:r>
    </w:p>
    <w:p>
      <w:pPr>
        <w:numPr>
          <w:ilvl w:val="0"/>
          <w:numId w:val="7"/>
        </w:numPr>
        <w:ind w:left="426" w:hanging="284"/>
        <w:jc w:val="both"/>
        <w:rPr>
          <w:rFonts w:ascii="LFT Etica Lt" w:hAnsi="LFT Etica Lt" w:cs="Arial"/>
          <w:sz w:val="18"/>
          <w:szCs w:val="18"/>
        </w:rPr>
      </w:pPr>
      <w:r>
        <w:rPr>
          <w:rFonts w:ascii="LFT Etica Lt" w:hAnsi="LFT Etica Lt" w:cs="Arial"/>
          <w:sz w:val="18"/>
          <w:szCs w:val="18"/>
        </w:rPr>
        <w:t>Moduli software di base per Ambienti Integrazione:</w:t>
      </w:r>
    </w:p>
    <w:p>
      <w:pPr>
        <w:pStyle w:val="CorpoAltF0"/>
        <w:numPr>
          <w:ilvl w:val="0"/>
          <w:numId w:val="10"/>
        </w:numPr>
        <w:ind w:left="851" w:hanging="284"/>
        <w:rPr>
          <w:spacing w:val="12"/>
          <w:sz w:val="16"/>
          <w:szCs w:val="16"/>
        </w:rPr>
      </w:pPr>
      <w:proofErr w:type="spellStart"/>
      <w:r>
        <w:rPr>
          <w:spacing w:val="12"/>
          <w:sz w:val="16"/>
          <w:szCs w:val="16"/>
        </w:rPr>
        <w:t>Sysint</w:t>
      </w:r>
      <w:proofErr w:type="spellEnd"/>
      <w:r>
        <w:rPr>
          <w:spacing w:val="12"/>
          <w:sz w:val="16"/>
          <w:szCs w:val="16"/>
        </w:rPr>
        <w:t xml:space="preserve">/W 20140100 </w:t>
      </w:r>
    </w:p>
    <w:p>
      <w:pPr>
        <w:pStyle w:val="CorpoAltF0"/>
        <w:numPr>
          <w:ilvl w:val="0"/>
          <w:numId w:val="10"/>
        </w:numPr>
        <w:ind w:left="851" w:hanging="284"/>
        <w:rPr>
          <w:spacing w:val="12"/>
          <w:sz w:val="16"/>
          <w:szCs w:val="16"/>
        </w:rPr>
      </w:pPr>
      <w:proofErr w:type="spellStart"/>
      <w:r>
        <w:rPr>
          <w:spacing w:val="12"/>
          <w:sz w:val="16"/>
          <w:szCs w:val="16"/>
        </w:rPr>
        <w:t>SysIntGateway</w:t>
      </w:r>
      <w:proofErr w:type="spellEnd"/>
      <w:r>
        <w:rPr>
          <w:spacing w:val="12"/>
          <w:sz w:val="16"/>
          <w:szCs w:val="16"/>
        </w:rPr>
        <w:t xml:space="preserve"> ultima versione rilasciata</w:t>
      </w:r>
    </w:p>
    <w:p>
      <w:pPr>
        <w:pStyle w:val="CorpoAltF0"/>
        <w:numPr>
          <w:ilvl w:val="0"/>
          <w:numId w:val="10"/>
        </w:numPr>
        <w:ind w:left="851" w:hanging="284"/>
        <w:rPr>
          <w:spacing w:val="12"/>
          <w:sz w:val="16"/>
          <w:szCs w:val="16"/>
        </w:rPr>
      </w:pPr>
      <w:r>
        <w:rPr>
          <w:spacing w:val="12"/>
          <w:sz w:val="16"/>
          <w:szCs w:val="16"/>
        </w:rPr>
        <w:t>Runtime Cobol 812-20160100</w:t>
      </w:r>
    </w:p>
    <w:p>
      <w:pPr>
        <w:pStyle w:val="Ignora"/>
        <w:rPr>
          <w:sz w:val="10"/>
          <w:szCs w:val="10"/>
        </w:rPr>
      </w:pPr>
    </w:p>
    <w:p>
      <w:pPr>
        <w:jc w:val="both"/>
        <w:rPr>
          <w:rFonts w:ascii="LFT Etica Lt" w:hAnsi="LFT Etica Lt" w:cs="Arial"/>
          <w:b/>
          <w:sz w:val="18"/>
          <w:szCs w:val="18"/>
        </w:rPr>
      </w:pPr>
      <w:r>
        <w:rPr>
          <w:rFonts w:ascii="LFT Etica Lt" w:hAnsi="LFT Etica Lt" w:cs="Arial"/>
          <w:b/>
          <w:sz w:val="18"/>
          <w:szCs w:val="18"/>
        </w:rPr>
        <w:t xml:space="preserve">Dismissione modulo </w:t>
      </w:r>
      <w:proofErr w:type="spellStart"/>
      <w:r>
        <w:rPr>
          <w:rFonts w:ascii="LFT Etica Lt" w:hAnsi="LFT Etica Lt" w:cs="Arial"/>
          <w:b/>
          <w:sz w:val="18"/>
          <w:szCs w:val="18"/>
        </w:rPr>
        <w:t>AcuXDBC</w:t>
      </w:r>
      <w:proofErr w:type="spellEnd"/>
      <w:r>
        <w:rPr>
          <w:rFonts w:ascii="LFT Etica Lt" w:hAnsi="LFT Etica Lt" w:cs="Arial"/>
          <w:b/>
          <w:sz w:val="18"/>
          <w:szCs w:val="18"/>
        </w:rPr>
        <w:t xml:space="preserve"> </w:t>
      </w:r>
    </w:p>
    <w:p>
      <w:pPr>
        <w:jc w:val="both"/>
        <w:rPr>
          <w:rFonts w:ascii="LFT Etica Lt" w:hAnsi="LFT Etica Lt" w:cs="Arial"/>
          <w:sz w:val="18"/>
          <w:szCs w:val="18"/>
        </w:rPr>
      </w:pPr>
      <w:r>
        <w:rPr>
          <w:rFonts w:ascii="LFT Etica Lt" w:hAnsi="LFT Etica Lt" w:cs="Arial"/>
          <w:sz w:val="18"/>
          <w:szCs w:val="18"/>
        </w:rPr>
        <w:t>Il modulo in oggetto non sarà più supportato a partire da dicembre 2018. Le stesse funzionalità sono fornite dal C-</w:t>
      </w:r>
      <w:proofErr w:type="spellStart"/>
      <w:r>
        <w:rPr>
          <w:rFonts w:ascii="LFT Etica Lt" w:hAnsi="LFT Etica Lt" w:cs="Arial"/>
          <w:sz w:val="18"/>
          <w:szCs w:val="18"/>
        </w:rPr>
        <w:t>treeRTG</w:t>
      </w:r>
      <w:proofErr w:type="spellEnd"/>
      <w:r>
        <w:rPr>
          <w:rFonts w:ascii="LFT Etica Lt" w:hAnsi="LFT Etica Lt" w:cs="Arial"/>
          <w:sz w:val="18"/>
          <w:szCs w:val="18"/>
        </w:rPr>
        <w:t>.</w:t>
      </w:r>
      <w:bookmarkEnd w:id="2"/>
    </w:p>
    <w:sectPr>
      <w:headerReference w:type="default" r:id="rId9"/>
      <w:footerReference w:type="default" r:id="rId10"/>
      <w:pgSz w:w="11907" w:h="16840" w:code="9"/>
      <w:pgMar w:top="567" w:right="1134"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LFT Etica Lt">
    <w:altName w:val="Corbel"/>
    <w:panose1 w:val="00000000000000000000"/>
    <w:charset w:val="00"/>
    <w:family w:val="modern"/>
    <w:notTrueType/>
    <w:pitch w:val="variable"/>
    <w:sig w:usb0="A00000AF" w:usb1="5000207B" w:usb2="00000000" w:usb3="00000000" w:csb0="00000093" w:csb1="00000000"/>
  </w:font>
  <w:font w:name="Times">
    <w:altName w:val="Sylfae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orpoAltF0"/>
      <w:jc w:val="center"/>
      <w:rPr>
        <w:sz w:val="10"/>
        <w:szCs w:val="10"/>
      </w:rPr>
    </w:pPr>
    <w:r>
      <w:rPr>
        <w:noProof/>
        <w:sz w:val="10"/>
        <w:szCs w:val="10"/>
      </w:rPr>
      <w:drawing>
        <wp:inline distT="0" distB="0" distL="0" distR="0">
          <wp:extent cx="6120000" cy="36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PAGHE 2019.3.0</w:t>
          </w:r>
        </w:p>
      </w:tc>
      <w:tc>
        <w:tcPr>
          <w:tcW w:w="1701" w:type="dxa"/>
        </w:tcPr>
        <w:p>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2</w:t>
          </w:r>
          <w:r>
            <w:rPr>
              <w:rStyle w:val="Numeropagina"/>
              <w:rFonts w:ascii="Arial" w:hAnsi="Arial" w:cs="Arial"/>
              <w:sz w:val="20"/>
            </w:rPr>
            <w:fldChar w:fldCharType="end"/>
          </w:r>
        </w:p>
      </w:tc>
    </w:tr>
  </w:tbl>
  <w:p>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trPr>
        <w:cantSplit/>
      </w:trPr>
      <w:tc>
        <w:tcPr>
          <w:tcW w:w="2835" w:type="dxa"/>
          <w:tcBorders>
            <w:top w:val="nil"/>
            <w:left w:val="nil"/>
            <w:bottom w:val="single" w:sz="4" w:space="0" w:color="auto"/>
            <w:right w:val="nil"/>
          </w:tcBorders>
        </w:tcPr>
        <w:p>
          <w:pPr>
            <w:pStyle w:val="Intestazione"/>
            <w:spacing w:before="20" w:after="20"/>
            <w:rPr>
              <w:rFonts w:ascii="Courier" w:hAnsi="Courier"/>
              <w:b/>
            </w:rPr>
          </w:pPr>
          <w:r>
            <w:rPr>
              <w:rFonts w:ascii="Courier" w:hAnsi="Courier"/>
              <w:b/>
              <w:noProof/>
            </w:rPr>
            <w:drawing>
              <wp:inline distT="0" distB="0" distL="0" distR="0">
                <wp:extent cx="1693545" cy="367030"/>
                <wp:effectExtent l="0" t="0" r="1905" b="0"/>
                <wp:docPr id="2" name="Immagine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pPr>
            <w:pStyle w:val="Intestazione"/>
            <w:jc w:val="right"/>
            <w:rPr>
              <w:rFonts w:ascii="Arial" w:hAnsi="Arial" w:cs="Arial"/>
            </w:rPr>
          </w:pPr>
        </w:p>
      </w:tc>
    </w:tr>
    <w:tr>
      <w:trPr>
        <w:cantSplit/>
      </w:trPr>
      <w:tc>
        <w:tcPr>
          <w:tcW w:w="9639" w:type="dxa"/>
          <w:gridSpan w:val="3"/>
          <w:tcBorders>
            <w:top w:val="single" w:sz="4" w:space="0" w:color="auto"/>
            <w:left w:val="nil"/>
            <w:bottom w:val="nil"/>
            <w:right w:val="nil"/>
          </w:tcBorders>
          <w:vAlign w:val="bottom"/>
        </w:tcPr>
        <w:p>
          <w:pPr>
            <w:pStyle w:val="Intestazione"/>
            <w:jc w:val="center"/>
            <w:rPr>
              <w:rFonts w:ascii="Arial" w:hAnsi="Arial" w:cs="Arial"/>
              <w:color w:val="000080"/>
              <w:sz w:val="12"/>
            </w:rPr>
          </w:pPr>
        </w:p>
        <w:p>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pPr>
            <w:pStyle w:val="Intestazione"/>
            <w:rPr>
              <w:rFonts w:ascii="Arial" w:hAnsi="Arial" w:cs="Arial"/>
              <w:b/>
              <w:bCs/>
              <w:color w:val="000080"/>
              <w:sz w:val="10"/>
              <w:szCs w:val="10"/>
            </w:rPr>
          </w:pPr>
        </w:p>
      </w:tc>
    </w:tr>
  </w:tbl>
  <w:p>
    <w:pPr>
      <w:pStyle w:val="CorpoAltF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535"/>
    <w:multiLevelType w:val="hybridMultilevel"/>
    <w:tmpl w:val="E3A263F8"/>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 w15:restartNumberingAfterBreak="0">
    <w:nsid w:val="17B82C70"/>
    <w:multiLevelType w:val="hybridMultilevel"/>
    <w:tmpl w:val="73FC2366"/>
    <w:lvl w:ilvl="0" w:tplc="77EC24BC">
      <w:start w:val="1"/>
      <w:numFmt w:val="decimal"/>
      <w:lvlText w:val="%1."/>
      <w:lvlJc w:val="left"/>
      <w:pPr>
        <w:tabs>
          <w:tab w:val="num" w:pos="644"/>
        </w:tabs>
        <w:ind w:left="644"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 w15:restartNumberingAfterBreak="0">
    <w:nsid w:val="220A24BE"/>
    <w:multiLevelType w:val="hybridMultilevel"/>
    <w:tmpl w:val="4D1A6E1C"/>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4" w15:restartNumberingAfterBreak="0">
    <w:nsid w:val="25F02CA0"/>
    <w:multiLevelType w:val="hybridMultilevel"/>
    <w:tmpl w:val="40988160"/>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5" w15:restartNumberingAfterBreak="0">
    <w:nsid w:val="2CF915DE"/>
    <w:multiLevelType w:val="hybridMultilevel"/>
    <w:tmpl w:val="495CD1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252924"/>
    <w:multiLevelType w:val="hybridMultilevel"/>
    <w:tmpl w:val="EDDCD4FA"/>
    <w:lvl w:ilvl="0" w:tplc="310E6890">
      <w:start w:val="2019"/>
      <w:numFmt w:val="bullet"/>
      <w:lvlText w:val="-"/>
      <w:lvlJc w:val="left"/>
      <w:pPr>
        <w:ind w:left="814" w:hanging="360"/>
      </w:pPr>
      <w:rPr>
        <w:rFonts w:ascii="Arial" w:eastAsia="Times New Roman" w:hAnsi="Arial"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7" w15:restartNumberingAfterBreak="0">
    <w:nsid w:val="30A9740C"/>
    <w:multiLevelType w:val="hybridMultilevel"/>
    <w:tmpl w:val="C2B63682"/>
    <w:lvl w:ilvl="0" w:tplc="0410000B">
      <w:start w:val="1"/>
      <w:numFmt w:val="bullet"/>
      <w:lvlText w:val=""/>
      <w:lvlJc w:val="left"/>
      <w:pPr>
        <w:ind w:left="1174" w:hanging="360"/>
      </w:pPr>
      <w:rPr>
        <w:rFonts w:ascii="Wingdings" w:hAnsi="Wingdings"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8" w15:restartNumberingAfterBreak="0">
    <w:nsid w:val="30D94219"/>
    <w:multiLevelType w:val="hybridMultilevel"/>
    <w:tmpl w:val="9DD0B012"/>
    <w:lvl w:ilvl="0" w:tplc="0410000B">
      <w:start w:val="1"/>
      <w:numFmt w:val="bullet"/>
      <w:lvlText w:val=""/>
      <w:lvlJc w:val="left"/>
      <w:pPr>
        <w:ind w:left="1174" w:hanging="360"/>
      </w:pPr>
      <w:rPr>
        <w:rFonts w:ascii="Wingdings" w:hAnsi="Wingdings"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367B49AA"/>
    <w:multiLevelType w:val="hybridMultilevel"/>
    <w:tmpl w:val="8EB2CABE"/>
    <w:lvl w:ilvl="0" w:tplc="105AB2E8">
      <w:numFmt w:val="bullet"/>
      <w:lvlText w:val="-"/>
      <w:lvlJc w:val="left"/>
      <w:pPr>
        <w:ind w:left="1174" w:hanging="360"/>
      </w:pPr>
      <w:rPr>
        <w:rFonts w:ascii="Arial" w:eastAsia="Berlin Sans FB" w:hAnsi="Arial" w:cs="Aria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0" w15:restartNumberingAfterBreak="0">
    <w:nsid w:val="373353B4"/>
    <w:multiLevelType w:val="hybridMultilevel"/>
    <w:tmpl w:val="110406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141485"/>
    <w:multiLevelType w:val="hybridMultilevel"/>
    <w:tmpl w:val="3D4E6412"/>
    <w:lvl w:ilvl="0" w:tplc="0410000B">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35EFC"/>
    <w:multiLevelType w:val="hybridMultilevel"/>
    <w:tmpl w:val="A62ED41E"/>
    <w:lvl w:ilvl="0" w:tplc="C748A54A">
      <w:start w:val="2"/>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43AD16DC"/>
    <w:multiLevelType w:val="hybridMultilevel"/>
    <w:tmpl w:val="601460A4"/>
    <w:lvl w:ilvl="0" w:tplc="04100001">
      <w:start w:val="1"/>
      <w:numFmt w:val="bullet"/>
      <w:lvlText w:val=""/>
      <w:lvlJc w:val="left"/>
      <w:pPr>
        <w:ind w:left="1563" w:hanging="360"/>
      </w:pPr>
      <w:rPr>
        <w:rFonts w:ascii="Symbol" w:hAnsi="Symbol" w:hint="default"/>
      </w:rPr>
    </w:lvl>
    <w:lvl w:ilvl="1" w:tplc="04100003" w:tentative="1">
      <w:start w:val="1"/>
      <w:numFmt w:val="bullet"/>
      <w:lvlText w:val="o"/>
      <w:lvlJc w:val="left"/>
      <w:pPr>
        <w:ind w:left="2283" w:hanging="360"/>
      </w:pPr>
      <w:rPr>
        <w:rFonts w:ascii="Courier New" w:hAnsi="Courier New" w:cs="Courier New" w:hint="default"/>
      </w:rPr>
    </w:lvl>
    <w:lvl w:ilvl="2" w:tplc="04100005" w:tentative="1">
      <w:start w:val="1"/>
      <w:numFmt w:val="bullet"/>
      <w:lvlText w:val=""/>
      <w:lvlJc w:val="left"/>
      <w:pPr>
        <w:ind w:left="3003" w:hanging="360"/>
      </w:pPr>
      <w:rPr>
        <w:rFonts w:ascii="Wingdings" w:hAnsi="Wingdings" w:hint="default"/>
      </w:rPr>
    </w:lvl>
    <w:lvl w:ilvl="3" w:tplc="04100001" w:tentative="1">
      <w:start w:val="1"/>
      <w:numFmt w:val="bullet"/>
      <w:lvlText w:val=""/>
      <w:lvlJc w:val="left"/>
      <w:pPr>
        <w:ind w:left="3723" w:hanging="360"/>
      </w:pPr>
      <w:rPr>
        <w:rFonts w:ascii="Symbol" w:hAnsi="Symbol" w:hint="default"/>
      </w:rPr>
    </w:lvl>
    <w:lvl w:ilvl="4" w:tplc="04100003" w:tentative="1">
      <w:start w:val="1"/>
      <w:numFmt w:val="bullet"/>
      <w:lvlText w:val="o"/>
      <w:lvlJc w:val="left"/>
      <w:pPr>
        <w:ind w:left="4443" w:hanging="360"/>
      </w:pPr>
      <w:rPr>
        <w:rFonts w:ascii="Courier New" w:hAnsi="Courier New" w:cs="Courier New" w:hint="default"/>
      </w:rPr>
    </w:lvl>
    <w:lvl w:ilvl="5" w:tplc="04100005" w:tentative="1">
      <w:start w:val="1"/>
      <w:numFmt w:val="bullet"/>
      <w:lvlText w:val=""/>
      <w:lvlJc w:val="left"/>
      <w:pPr>
        <w:ind w:left="5163" w:hanging="360"/>
      </w:pPr>
      <w:rPr>
        <w:rFonts w:ascii="Wingdings" w:hAnsi="Wingdings" w:hint="default"/>
      </w:rPr>
    </w:lvl>
    <w:lvl w:ilvl="6" w:tplc="04100001" w:tentative="1">
      <w:start w:val="1"/>
      <w:numFmt w:val="bullet"/>
      <w:lvlText w:val=""/>
      <w:lvlJc w:val="left"/>
      <w:pPr>
        <w:ind w:left="5883" w:hanging="360"/>
      </w:pPr>
      <w:rPr>
        <w:rFonts w:ascii="Symbol" w:hAnsi="Symbol" w:hint="default"/>
      </w:rPr>
    </w:lvl>
    <w:lvl w:ilvl="7" w:tplc="04100003" w:tentative="1">
      <w:start w:val="1"/>
      <w:numFmt w:val="bullet"/>
      <w:lvlText w:val="o"/>
      <w:lvlJc w:val="left"/>
      <w:pPr>
        <w:ind w:left="6603" w:hanging="360"/>
      </w:pPr>
      <w:rPr>
        <w:rFonts w:ascii="Courier New" w:hAnsi="Courier New" w:cs="Courier New" w:hint="default"/>
      </w:rPr>
    </w:lvl>
    <w:lvl w:ilvl="8" w:tplc="04100005" w:tentative="1">
      <w:start w:val="1"/>
      <w:numFmt w:val="bullet"/>
      <w:lvlText w:val=""/>
      <w:lvlJc w:val="left"/>
      <w:pPr>
        <w:ind w:left="7323" w:hanging="360"/>
      </w:pPr>
      <w:rPr>
        <w:rFonts w:ascii="Wingdings" w:hAnsi="Wingdings" w:hint="default"/>
      </w:rPr>
    </w:lvl>
  </w:abstractNum>
  <w:abstractNum w:abstractNumId="14" w15:restartNumberingAfterBreak="0">
    <w:nsid w:val="4FDC0330"/>
    <w:multiLevelType w:val="hybridMultilevel"/>
    <w:tmpl w:val="E5327594"/>
    <w:lvl w:ilvl="0" w:tplc="77EC24B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B43D46"/>
    <w:multiLevelType w:val="hybridMultilevel"/>
    <w:tmpl w:val="4184EC1C"/>
    <w:lvl w:ilvl="0" w:tplc="04100001">
      <w:start w:val="1"/>
      <w:numFmt w:val="bullet"/>
      <w:lvlText w:val=""/>
      <w:lvlJc w:val="left"/>
      <w:pPr>
        <w:ind w:left="4330" w:hanging="360"/>
      </w:pPr>
      <w:rPr>
        <w:rFonts w:ascii="Symbol" w:hAnsi="Symbol" w:hint="default"/>
      </w:rPr>
    </w:lvl>
    <w:lvl w:ilvl="1" w:tplc="04100003">
      <w:start w:val="1"/>
      <w:numFmt w:val="bullet"/>
      <w:lvlText w:val="o"/>
      <w:lvlJc w:val="left"/>
      <w:pPr>
        <w:ind w:left="2072" w:hanging="360"/>
      </w:pPr>
      <w:rPr>
        <w:rFonts w:ascii="Courier New" w:hAnsi="Courier New" w:cs="Courier New" w:hint="default"/>
      </w:rPr>
    </w:lvl>
    <w:lvl w:ilvl="2" w:tplc="04100005">
      <w:start w:val="1"/>
      <w:numFmt w:val="bullet"/>
      <w:lvlText w:val=""/>
      <w:lvlJc w:val="left"/>
      <w:pPr>
        <w:ind w:left="2792" w:hanging="360"/>
      </w:pPr>
      <w:rPr>
        <w:rFonts w:ascii="Wingdings" w:hAnsi="Wingdings" w:hint="default"/>
      </w:rPr>
    </w:lvl>
    <w:lvl w:ilvl="3" w:tplc="6F58E6EA">
      <w:numFmt w:val="bullet"/>
      <w:lvlText w:val="-"/>
      <w:lvlJc w:val="left"/>
      <w:pPr>
        <w:ind w:left="3512" w:hanging="360"/>
      </w:pPr>
      <w:rPr>
        <w:rFonts w:ascii="LFT Etica Lt" w:eastAsia="Times" w:hAnsi="LFT Etica Lt" w:cs="Aria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16" w15:restartNumberingAfterBreak="0">
    <w:nsid w:val="5D2D5CDA"/>
    <w:multiLevelType w:val="hybridMultilevel"/>
    <w:tmpl w:val="5096FDA8"/>
    <w:lvl w:ilvl="0" w:tplc="4F48D0CA">
      <w:numFmt w:val="bullet"/>
      <w:lvlText w:val="-"/>
      <w:lvlJc w:val="left"/>
      <w:pPr>
        <w:ind w:left="814" w:hanging="360"/>
      </w:pPr>
      <w:rPr>
        <w:rFonts w:ascii="Arial" w:eastAsia="Times New Roman" w:hAnsi="Arial"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7" w15:restartNumberingAfterBreak="0">
    <w:nsid w:val="65E603E9"/>
    <w:multiLevelType w:val="hybridMultilevel"/>
    <w:tmpl w:val="E6FE1D86"/>
    <w:lvl w:ilvl="0" w:tplc="DF288C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545A2F"/>
    <w:multiLevelType w:val="hybridMultilevel"/>
    <w:tmpl w:val="F194738C"/>
    <w:lvl w:ilvl="0" w:tplc="6F58E6EA">
      <w:numFmt w:val="bullet"/>
      <w:lvlText w:val="-"/>
      <w:lvlJc w:val="left"/>
      <w:pPr>
        <w:ind w:left="720" w:hanging="360"/>
      </w:pPr>
      <w:rPr>
        <w:rFonts w:ascii="LFT Etica Lt" w:eastAsia="Times" w:hAnsi="LFT Etica L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4D20D7"/>
    <w:multiLevelType w:val="hybridMultilevel"/>
    <w:tmpl w:val="0B4CC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A00AB5"/>
    <w:multiLevelType w:val="hybridMultilevel"/>
    <w:tmpl w:val="34CA7CC6"/>
    <w:lvl w:ilvl="0" w:tplc="0410000B">
      <w:start w:val="1"/>
      <w:numFmt w:val="bullet"/>
      <w:lvlText w:val=""/>
      <w:lvlJc w:val="left"/>
      <w:pPr>
        <w:ind w:left="1174" w:hanging="360"/>
      </w:pPr>
      <w:rPr>
        <w:rFonts w:ascii="Wingdings" w:hAnsi="Wingdings"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17"/>
  </w:num>
  <w:num w:numId="6">
    <w:abstractNumId w:val="11"/>
  </w:num>
  <w:num w:numId="7">
    <w:abstractNumId w:val="15"/>
  </w:num>
  <w:num w:numId="8">
    <w:abstractNumId w:val="12"/>
  </w:num>
  <w:num w:numId="9">
    <w:abstractNumId w:val="19"/>
  </w:num>
  <w:num w:numId="10">
    <w:abstractNumId w:val="18"/>
  </w:num>
  <w:num w:numId="11">
    <w:abstractNumId w:val="16"/>
  </w:num>
  <w:num w:numId="12">
    <w:abstractNumId w:val="10"/>
  </w:num>
  <w:num w:numId="13">
    <w:abstractNumId w:val="20"/>
  </w:num>
  <w:num w:numId="14">
    <w:abstractNumId w:val="9"/>
  </w:num>
  <w:num w:numId="15">
    <w:abstractNumId w:val="8"/>
  </w:num>
  <w:num w:numId="16">
    <w:abstractNumId w:val="5"/>
  </w:num>
  <w:num w:numId="17">
    <w:abstractNumId w:val="7"/>
  </w:num>
  <w:num w:numId="18">
    <w:abstractNumId w:val="4"/>
  </w:num>
  <w:num w:numId="19">
    <w:abstractNumId w:val="0"/>
  </w:num>
  <w:num w:numId="20">
    <w:abstractNumId w:val="13"/>
  </w:num>
  <w:num w:numId="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63489" fill="f" fillcolor="white" strokecolor="red">
      <v:fill color="white" on="f"/>
      <v:stroke color="red" weight="1.2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f" fillcolor="white" strokecolor="red">
      <v:fill color="white" on="f"/>
      <v:stroke color="red" weight="1.25pt"/>
    </o:shapedefaults>
    <o:shapelayout v:ext="edit">
      <o:idmap v:ext="edit" data="1"/>
    </o:shapelayout>
  </w:shapeDefaults>
  <w:decimalSymbol w:val=","/>
  <w:listSeparator w:val=";"/>
  <w15:docId w15:val="{C767BF0E-8EF9-4B31-8A11-02D29B85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2"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qFormat/>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qFormat/>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single" w:sz="4" w:space="1" w:color="auto"/>
        <w:bottom w:val="single" w:sz="4" w:space="0" w:color="auto"/>
      </w:pBdr>
      <w:shd w:val="clear" w:color="auto" w:fill="E0E0E0"/>
      <w:tabs>
        <w:tab w:val="right" w:leader="dot" w:pos="9629"/>
      </w:tabs>
      <w:spacing w:before="180" w:after="60"/>
    </w:pPr>
    <w:rPr>
      <w:rFonts w:ascii="Arial" w:hAnsi="Arial" w:cs="Arial"/>
      <w:b/>
      <w:noProof/>
      <w:color w:val="000000"/>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shd w:val="clear" w:color="auto" w:fill="auto"/>
      <w:spacing w:before="120"/>
      <w:ind w:left="113"/>
    </w:pPr>
  </w:style>
  <w:style w:type="paragraph" w:styleId="Sommario9">
    <w:name w:val="toc 9"/>
    <w:basedOn w:val="Normale"/>
    <w:next w:val="Normale"/>
    <w:autoRedefine/>
    <w:semiHidden/>
    <w:pPr>
      <w:ind w:left="1920"/>
    </w:pPr>
  </w:style>
  <w:style w:type="paragraph" w:styleId="Sommario3">
    <w:name w:val="toc 3"/>
    <w:basedOn w:val="Normale"/>
    <w:next w:val="Normale"/>
    <w:autoRedefine/>
    <w:semiHidden/>
    <w:pPr>
      <w:ind w:left="480"/>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qFormat/>
    <w:pPr>
      <w:tabs>
        <w:tab w:val="clear" w:pos="4819"/>
        <w:tab w:val="clear" w:pos="9638"/>
      </w:tabs>
    </w:pPr>
    <w:rPr>
      <w:rFonts w:ascii="Arial" w:hAnsi="Arial" w:cs="Arial"/>
      <w:b/>
    </w:rPr>
  </w:style>
  <w:style w:type="paragraph" w:customStyle="1" w:styleId="WWTipoDocumento">
    <w:name w:val="WW_TipoDocumento"/>
    <w:basedOn w:val="CorpoAltF0"/>
    <w:next w:val="CorpoAltF0"/>
    <w:link w:val="WWTipoDocumentoCarattere"/>
    <w:qFormat/>
    <w:rPr>
      <w:b/>
      <w:color w:val="FFFFFF" w:themeColor="background1"/>
      <w:sz w:val="10"/>
      <w:szCs w:val="22"/>
    </w:rPr>
  </w:style>
  <w:style w:type="paragraph" w:customStyle="1" w:styleId="WWContenutoRilascio">
    <w:name w:val="WW_ContenutoRilascio"/>
    <w:basedOn w:val="CorpoAltF0"/>
    <w:next w:val="CorpoAltF0"/>
    <w:link w:val="WWContenutoRilascioCarattere"/>
    <w:qFormat/>
    <w:pPr>
      <w:spacing w:before="40" w:after="40"/>
      <w:ind w:left="142"/>
    </w:pPr>
    <w:rPr>
      <w:b/>
      <w:sz w:val="22"/>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character" w:customStyle="1" w:styleId="WWContenutoRilascioCarattere">
    <w:name w:val="WW_ContenutoRilascio Carattere"/>
    <w:link w:val="WWContenutoRilascio"/>
    <w:rPr>
      <w:rFonts w:ascii="Arial" w:hAnsi="Arial" w:cs="Arial"/>
      <w:b/>
      <w:sz w:val="22"/>
      <w:szCs w:val="22"/>
    </w:rPr>
  </w:style>
  <w:style w:type="paragraph" w:styleId="Paragrafoelenco">
    <w:name w:val="List Paragraph"/>
    <w:basedOn w:val="Normale"/>
    <w:uiPriority w:val="34"/>
    <w:pPr>
      <w:ind w:left="720"/>
      <w:contextualSpacing/>
    </w:pPr>
  </w:style>
  <w:style w:type="paragraph" w:customStyle="1" w:styleId="Ignora">
    <w:name w:val="Ignora"/>
    <w:basedOn w:val="CorpoAltF0"/>
    <w:qFormat/>
  </w:style>
  <w:style w:type="character" w:customStyle="1" w:styleId="collegamentoipertestuale0">
    <w:name w:val="collegamento_ipertestuale"/>
    <w:basedOn w:val="Carpredefinitoparagrafo"/>
  </w:style>
  <w:style w:type="character" w:customStyle="1" w:styleId="searchresulthighlight1">
    <w:name w:val="search_result_highlight1"/>
    <w:basedOn w:val="Carpredefinitoparagrafo"/>
    <w:rPr>
      <w:shd w:val="clear" w:color="auto" w:fill="FFFF00"/>
    </w:rPr>
  </w:style>
  <w:style w:type="character" w:styleId="Menzionenonrisolta">
    <w:name w:val="Unresolved Mention"/>
    <w:basedOn w:val="Carpredefinitoparagrafo"/>
    <w:uiPriority w:val="99"/>
    <w:semiHidden/>
    <w:unhideWhenUsed/>
    <w:rPr>
      <w:color w:val="605E5C"/>
      <w:shd w:val="clear" w:color="auto" w:fill="E1DFDD"/>
    </w:rPr>
  </w:style>
  <w:style w:type="character" w:customStyle="1" w:styleId="normaltextrun1">
    <w:name w:val="normaltextrun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3402">
      <w:bodyDiv w:val="1"/>
      <w:marLeft w:val="0"/>
      <w:marRight w:val="0"/>
      <w:marTop w:val="0"/>
      <w:marBottom w:val="0"/>
      <w:divBdr>
        <w:top w:val="none" w:sz="0" w:space="0" w:color="auto"/>
        <w:left w:val="none" w:sz="0" w:space="0" w:color="auto"/>
        <w:bottom w:val="none" w:sz="0" w:space="0" w:color="auto"/>
        <w:right w:val="none" w:sz="0" w:space="0" w:color="auto"/>
      </w:divBdr>
    </w:div>
    <w:div w:id="99491119">
      <w:bodyDiv w:val="1"/>
      <w:marLeft w:val="0"/>
      <w:marRight w:val="0"/>
      <w:marTop w:val="0"/>
      <w:marBottom w:val="0"/>
      <w:divBdr>
        <w:top w:val="none" w:sz="0" w:space="0" w:color="auto"/>
        <w:left w:val="none" w:sz="0" w:space="0" w:color="auto"/>
        <w:bottom w:val="none" w:sz="0" w:space="0" w:color="auto"/>
        <w:right w:val="none" w:sz="0" w:space="0" w:color="auto"/>
      </w:divBdr>
    </w:div>
    <w:div w:id="243616038">
      <w:bodyDiv w:val="1"/>
      <w:marLeft w:val="0"/>
      <w:marRight w:val="0"/>
      <w:marTop w:val="0"/>
      <w:marBottom w:val="0"/>
      <w:divBdr>
        <w:top w:val="none" w:sz="0" w:space="0" w:color="auto"/>
        <w:left w:val="none" w:sz="0" w:space="0" w:color="auto"/>
        <w:bottom w:val="none" w:sz="0" w:space="0" w:color="auto"/>
        <w:right w:val="none" w:sz="0" w:space="0" w:color="auto"/>
      </w:divBdr>
    </w:div>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438140398">
      <w:bodyDiv w:val="1"/>
      <w:marLeft w:val="0"/>
      <w:marRight w:val="0"/>
      <w:marTop w:val="0"/>
      <w:marBottom w:val="0"/>
      <w:divBdr>
        <w:top w:val="none" w:sz="0" w:space="0" w:color="auto"/>
        <w:left w:val="none" w:sz="0" w:space="0" w:color="auto"/>
        <w:bottom w:val="none" w:sz="0" w:space="0" w:color="auto"/>
        <w:right w:val="none" w:sz="0" w:space="0" w:color="auto"/>
      </w:divBdr>
      <w:divsChild>
        <w:div w:id="611519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4300">
              <w:marLeft w:val="94"/>
              <w:marRight w:val="0"/>
              <w:marTop w:val="180"/>
              <w:marBottom w:val="0"/>
              <w:divBdr>
                <w:top w:val="none" w:sz="0" w:space="0" w:color="auto"/>
                <w:left w:val="none" w:sz="0" w:space="0" w:color="auto"/>
                <w:bottom w:val="none" w:sz="0" w:space="0" w:color="auto"/>
                <w:right w:val="none" w:sz="0" w:space="0" w:color="auto"/>
              </w:divBdr>
            </w:div>
          </w:divsChild>
        </w:div>
      </w:divsChild>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85585433">
      <w:bodyDiv w:val="1"/>
      <w:marLeft w:val="0"/>
      <w:marRight w:val="0"/>
      <w:marTop w:val="0"/>
      <w:marBottom w:val="0"/>
      <w:divBdr>
        <w:top w:val="none" w:sz="0" w:space="0" w:color="auto"/>
        <w:left w:val="none" w:sz="0" w:space="0" w:color="auto"/>
        <w:bottom w:val="none" w:sz="0" w:space="0" w:color="auto"/>
        <w:right w:val="none" w:sz="0" w:space="0" w:color="auto"/>
      </w:divBdr>
      <w:divsChild>
        <w:div w:id="39841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513935">
              <w:marLeft w:val="94"/>
              <w:marRight w:val="0"/>
              <w:marTop w:val="180"/>
              <w:marBottom w:val="0"/>
              <w:divBdr>
                <w:top w:val="none" w:sz="0" w:space="0" w:color="auto"/>
                <w:left w:val="none" w:sz="0" w:space="0" w:color="auto"/>
                <w:bottom w:val="none" w:sz="0" w:space="0" w:color="auto"/>
                <w:right w:val="none" w:sz="0" w:space="0" w:color="auto"/>
              </w:divBdr>
            </w:div>
            <w:div w:id="195717270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559022633">
      <w:bodyDiv w:val="1"/>
      <w:marLeft w:val="0"/>
      <w:marRight w:val="0"/>
      <w:marTop w:val="0"/>
      <w:marBottom w:val="0"/>
      <w:divBdr>
        <w:top w:val="none" w:sz="0" w:space="0" w:color="auto"/>
        <w:left w:val="none" w:sz="0" w:space="0" w:color="auto"/>
        <w:bottom w:val="none" w:sz="0" w:space="0" w:color="auto"/>
        <w:right w:val="none" w:sz="0" w:space="0" w:color="auto"/>
      </w:divBdr>
    </w:div>
    <w:div w:id="561214782">
      <w:bodyDiv w:val="1"/>
      <w:marLeft w:val="0"/>
      <w:marRight w:val="0"/>
      <w:marTop w:val="0"/>
      <w:marBottom w:val="0"/>
      <w:divBdr>
        <w:top w:val="none" w:sz="0" w:space="0" w:color="auto"/>
        <w:left w:val="none" w:sz="0" w:space="0" w:color="auto"/>
        <w:bottom w:val="none" w:sz="0" w:space="0" w:color="auto"/>
        <w:right w:val="none" w:sz="0" w:space="0" w:color="auto"/>
      </w:divBdr>
    </w:div>
    <w:div w:id="601649575">
      <w:bodyDiv w:val="1"/>
      <w:marLeft w:val="0"/>
      <w:marRight w:val="0"/>
      <w:marTop w:val="0"/>
      <w:marBottom w:val="0"/>
      <w:divBdr>
        <w:top w:val="none" w:sz="0" w:space="0" w:color="auto"/>
        <w:left w:val="none" w:sz="0" w:space="0" w:color="auto"/>
        <w:bottom w:val="none" w:sz="0" w:space="0" w:color="auto"/>
        <w:right w:val="none" w:sz="0" w:space="0" w:color="auto"/>
      </w:divBdr>
    </w:div>
    <w:div w:id="668673455">
      <w:bodyDiv w:val="1"/>
      <w:marLeft w:val="0"/>
      <w:marRight w:val="0"/>
      <w:marTop w:val="0"/>
      <w:marBottom w:val="0"/>
      <w:divBdr>
        <w:top w:val="none" w:sz="0" w:space="0" w:color="auto"/>
        <w:left w:val="none" w:sz="0" w:space="0" w:color="auto"/>
        <w:bottom w:val="none" w:sz="0" w:space="0" w:color="auto"/>
        <w:right w:val="none" w:sz="0" w:space="0" w:color="auto"/>
      </w:divBdr>
    </w:div>
    <w:div w:id="691347585">
      <w:bodyDiv w:val="1"/>
      <w:marLeft w:val="0"/>
      <w:marRight w:val="0"/>
      <w:marTop w:val="0"/>
      <w:marBottom w:val="0"/>
      <w:divBdr>
        <w:top w:val="none" w:sz="0" w:space="0" w:color="auto"/>
        <w:left w:val="none" w:sz="0" w:space="0" w:color="auto"/>
        <w:bottom w:val="none" w:sz="0" w:space="0" w:color="auto"/>
        <w:right w:val="none" w:sz="0" w:space="0" w:color="auto"/>
      </w:divBdr>
    </w:div>
    <w:div w:id="700327146">
      <w:bodyDiv w:val="1"/>
      <w:marLeft w:val="0"/>
      <w:marRight w:val="0"/>
      <w:marTop w:val="0"/>
      <w:marBottom w:val="0"/>
      <w:divBdr>
        <w:top w:val="none" w:sz="0" w:space="0" w:color="auto"/>
        <w:left w:val="none" w:sz="0" w:space="0" w:color="auto"/>
        <w:bottom w:val="none" w:sz="0" w:space="0" w:color="auto"/>
        <w:right w:val="none" w:sz="0" w:space="0" w:color="auto"/>
      </w:divBdr>
    </w:div>
    <w:div w:id="790636982">
      <w:bodyDiv w:val="1"/>
      <w:marLeft w:val="0"/>
      <w:marRight w:val="0"/>
      <w:marTop w:val="0"/>
      <w:marBottom w:val="0"/>
      <w:divBdr>
        <w:top w:val="none" w:sz="0" w:space="0" w:color="auto"/>
        <w:left w:val="none" w:sz="0" w:space="0" w:color="auto"/>
        <w:bottom w:val="none" w:sz="0" w:space="0" w:color="auto"/>
        <w:right w:val="none" w:sz="0" w:space="0" w:color="auto"/>
      </w:divBdr>
    </w:div>
    <w:div w:id="871187906">
      <w:bodyDiv w:val="1"/>
      <w:marLeft w:val="0"/>
      <w:marRight w:val="0"/>
      <w:marTop w:val="0"/>
      <w:marBottom w:val="0"/>
      <w:divBdr>
        <w:top w:val="none" w:sz="0" w:space="0" w:color="auto"/>
        <w:left w:val="none" w:sz="0" w:space="0" w:color="auto"/>
        <w:bottom w:val="none" w:sz="0" w:space="0" w:color="auto"/>
        <w:right w:val="none" w:sz="0" w:space="0" w:color="auto"/>
      </w:divBdr>
    </w:div>
    <w:div w:id="938368928">
      <w:bodyDiv w:val="1"/>
      <w:marLeft w:val="0"/>
      <w:marRight w:val="0"/>
      <w:marTop w:val="0"/>
      <w:marBottom w:val="0"/>
      <w:divBdr>
        <w:top w:val="none" w:sz="0" w:space="0" w:color="auto"/>
        <w:left w:val="none" w:sz="0" w:space="0" w:color="auto"/>
        <w:bottom w:val="none" w:sz="0" w:space="0" w:color="auto"/>
        <w:right w:val="none" w:sz="0" w:space="0" w:color="auto"/>
      </w:divBdr>
    </w:div>
    <w:div w:id="1105928901">
      <w:bodyDiv w:val="1"/>
      <w:marLeft w:val="0"/>
      <w:marRight w:val="0"/>
      <w:marTop w:val="0"/>
      <w:marBottom w:val="0"/>
      <w:divBdr>
        <w:top w:val="none" w:sz="0" w:space="0" w:color="auto"/>
        <w:left w:val="none" w:sz="0" w:space="0" w:color="auto"/>
        <w:bottom w:val="none" w:sz="0" w:space="0" w:color="auto"/>
        <w:right w:val="none" w:sz="0" w:space="0" w:color="auto"/>
      </w:divBdr>
    </w:div>
    <w:div w:id="1106148255">
      <w:bodyDiv w:val="1"/>
      <w:marLeft w:val="0"/>
      <w:marRight w:val="0"/>
      <w:marTop w:val="0"/>
      <w:marBottom w:val="0"/>
      <w:divBdr>
        <w:top w:val="none" w:sz="0" w:space="0" w:color="auto"/>
        <w:left w:val="none" w:sz="0" w:space="0" w:color="auto"/>
        <w:bottom w:val="none" w:sz="0" w:space="0" w:color="auto"/>
        <w:right w:val="none" w:sz="0" w:space="0" w:color="auto"/>
      </w:divBdr>
    </w:div>
    <w:div w:id="1137340485">
      <w:bodyDiv w:val="1"/>
      <w:marLeft w:val="0"/>
      <w:marRight w:val="0"/>
      <w:marTop w:val="0"/>
      <w:marBottom w:val="0"/>
      <w:divBdr>
        <w:top w:val="none" w:sz="0" w:space="0" w:color="auto"/>
        <w:left w:val="none" w:sz="0" w:space="0" w:color="auto"/>
        <w:bottom w:val="none" w:sz="0" w:space="0" w:color="auto"/>
        <w:right w:val="none" w:sz="0" w:space="0" w:color="auto"/>
      </w:divBdr>
    </w:div>
    <w:div w:id="1242836211">
      <w:bodyDiv w:val="1"/>
      <w:marLeft w:val="0"/>
      <w:marRight w:val="0"/>
      <w:marTop w:val="0"/>
      <w:marBottom w:val="0"/>
      <w:divBdr>
        <w:top w:val="none" w:sz="0" w:space="0" w:color="auto"/>
        <w:left w:val="none" w:sz="0" w:space="0" w:color="auto"/>
        <w:bottom w:val="none" w:sz="0" w:space="0" w:color="auto"/>
        <w:right w:val="none" w:sz="0" w:space="0" w:color="auto"/>
      </w:divBdr>
    </w:div>
    <w:div w:id="1282305000">
      <w:bodyDiv w:val="1"/>
      <w:marLeft w:val="0"/>
      <w:marRight w:val="0"/>
      <w:marTop w:val="0"/>
      <w:marBottom w:val="0"/>
      <w:divBdr>
        <w:top w:val="none" w:sz="0" w:space="0" w:color="auto"/>
        <w:left w:val="none" w:sz="0" w:space="0" w:color="auto"/>
        <w:bottom w:val="none" w:sz="0" w:space="0" w:color="auto"/>
        <w:right w:val="none" w:sz="0" w:space="0" w:color="auto"/>
      </w:divBdr>
    </w:div>
    <w:div w:id="1372193208">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37354125">
      <w:bodyDiv w:val="1"/>
      <w:marLeft w:val="0"/>
      <w:marRight w:val="0"/>
      <w:marTop w:val="0"/>
      <w:marBottom w:val="0"/>
      <w:divBdr>
        <w:top w:val="none" w:sz="0" w:space="0" w:color="auto"/>
        <w:left w:val="none" w:sz="0" w:space="0" w:color="auto"/>
        <w:bottom w:val="none" w:sz="0" w:space="0" w:color="auto"/>
        <w:right w:val="none" w:sz="0" w:space="0" w:color="auto"/>
      </w:divBdr>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8690">
      <w:bodyDiv w:val="1"/>
      <w:marLeft w:val="0"/>
      <w:marRight w:val="0"/>
      <w:marTop w:val="0"/>
      <w:marBottom w:val="0"/>
      <w:divBdr>
        <w:top w:val="none" w:sz="0" w:space="0" w:color="auto"/>
        <w:left w:val="none" w:sz="0" w:space="0" w:color="auto"/>
        <w:bottom w:val="none" w:sz="0" w:space="0" w:color="auto"/>
        <w:right w:val="none" w:sz="0" w:space="0" w:color="auto"/>
      </w:divBdr>
    </w:div>
    <w:div w:id="1989554104">
      <w:bodyDiv w:val="1"/>
      <w:marLeft w:val="0"/>
      <w:marRight w:val="0"/>
      <w:marTop w:val="0"/>
      <w:marBottom w:val="0"/>
      <w:divBdr>
        <w:top w:val="none" w:sz="0" w:space="0" w:color="auto"/>
        <w:left w:val="none" w:sz="0" w:space="0" w:color="auto"/>
        <w:bottom w:val="none" w:sz="0" w:space="0" w:color="auto"/>
        <w:right w:val="none" w:sz="0" w:space="0" w:color="auto"/>
      </w:divBdr>
    </w:div>
    <w:div w:id="2006005734">
      <w:bodyDiv w:val="1"/>
      <w:marLeft w:val="0"/>
      <w:marRight w:val="0"/>
      <w:marTop w:val="0"/>
      <w:marBottom w:val="0"/>
      <w:divBdr>
        <w:top w:val="none" w:sz="0" w:space="0" w:color="auto"/>
        <w:left w:val="none" w:sz="0" w:space="0" w:color="auto"/>
        <w:bottom w:val="none" w:sz="0" w:space="0" w:color="auto"/>
        <w:right w:val="none" w:sz="0" w:space="0" w:color="auto"/>
      </w:divBdr>
    </w:div>
    <w:div w:id="2025204392">
      <w:bodyDiv w:val="1"/>
      <w:marLeft w:val="0"/>
      <w:marRight w:val="0"/>
      <w:marTop w:val="0"/>
      <w:marBottom w:val="0"/>
      <w:divBdr>
        <w:top w:val="none" w:sz="0" w:space="0" w:color="auto"/>
        <w:left w:val="none" w:sz="0" w:space="0" w:color="auto"/>
        <w:bottom w:val="none" w:sz="0" w:space="0" w:color="auto"/>
        <w:right w:val="none" w:sz="0" w:space="0" w:color="auto"/>
      </w:divBdr>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ricoli\Documents\Modelli%20di%20Office%20personalizzati\PAGHE_AAAAXXYY_C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D735D-266F-45EF-9EFC-3EE50A82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PAGHE_AAAAXXYY_CR.dotx</Template>
  <TotalTime>930</TotalTime>
  <Pages>4</Pages>
  <Words>1261</Words>
  <Characters>7686</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Giulia Mancini</dc:creator>
  <cp:lastModifiedBy>Luca Moricoli</cp:lastModifiedBy>
  <cp:revision>438</cp:revision>
  <cp:lastPrinted>2019-07-22T15:49:00Z</cp:lastPrinted>
  <dcterms:created xsi:type="dcterms:W3CDTF">2019-03-18T14:18:00Z</dcterms:created>
  <dcterms:modified xsi:type="dcterms:W3CDTF">2019-11-20T16:37:00Z</dcterms:modified>
</cp:coreProperties>
</file>