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CorpoAltF0"/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RELEASE </w:t>
            </w:r>
            <w:proofErr w:type="spellStart"/>
            <w:r>
              <w:rPr>
                <w:lang w:val="en-US"/>
              </w:rPr>
              <w:t>Versione</w:t>
            </w:r>
            <w:proofErr w:type="spellEnd"/>
            <w:r>
              <w:rPr>
                <w:lang w:val="en-US"/>
              </w:rPr>
              <w:t xml:space="preserve"> 2019.3.1</w:t>
            </w:r>
          </w:p>
        </w:tc>
      </w:tr>
    </w:tbl>
    <w:p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PAGHE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2019.3.1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03.12.2019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EMENS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2019.3.0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F24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2019.0.5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Versione  2019.6.0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29" w:type="dxa"/>
          </w:tcPr>
          <w:p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Incentivo per assunzione beneficiari Reddito di Cittadinanza</w:t>
            </w:r>
          </w:p>
          <w:p>
            <w:pPr>
              <w:pStyle w:val="corpoAltF"/>
              <w:ind w:left="454" w:right="170"/>
            </w:pPr>
            <w:r>
              <w:t>Implementata la gestione dell’incentivo in oggetto, come previsto dalla Circolare INPS n. 104/2019 e Messaggio INPS n. 4099 del 08/11/2019.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Dirigenti settore Terziario – Contribuzione arretrata Fondo Mario Negri</w:t>
            </w:r>
          </w:p>
          <w:p>
            <w:pPr>
              <w:pStyle w:val="corpoAltF"/>
              <w:ind w:left="454" w:right="170"/>
            </w:pPr>
            <w:r>
              <w:t xml:space="preserve">In funzione dell’accordo di rinnovo del CCNL dei dirigenti del settore terziario del 10 settembre 2019, implementato il programma per effettuare il calcolo della contribuzione arretrata c/azienda da versare al Fondo di previdenza complementare MARIO NEGRI (programma di utilità </w:t>
            </w:r>
            <w:r>
              <w:rPr>
                <w:b/>
              </w:rPr>
              <w:t>UTY1931</w:t>
            </w:r>
            <w:r>
              <w:t>).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Sisma centro Italia – Ripresa versamenti tributi sospesi</w:t>
            </w:r>
          </w:p>
          <w:p>
            <w:pPr>
              <w:pStyle w:val="corpoAltF"/>
              <w:ind w:left="454" w:right="170"/>
            </w:pPr>
            <w:r>
              <w:t xml:space="preserve">Apportate implementazioni al programma ai fini della ripresa della riscossione dei tributi sospesi al 15 gennaio 2020, limitatamente al 40% degli importi dovuti (decreto-legge n. 123 del 24 ottobre 2019 articolo 8, comma 2). A tal fine è stato introdotto il programma di utilità </w:t>
            </w:r>
            <w:r>
              <w:rPr>
                <w:b/>
                <w:bCs/>
              </w:rPr>
              <w:t>UTY1931A</w:t>
            </w:r>
            <w:r>
              <w:t>.</w:t>
            </w:r>
          </w:p>
          <w:p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Riduzione contributiva per il settore Edilizia</w:t>
            </w:r>
          </w:p>
          <w:p>
            <w:pPr>
              <w:pStyle w:val="corpoAltF"/>
              <w:ind w:left="454" w:right="170"/>
            </w:pPr>
            <w:r>
              <w:t>Con Circolare INPS n. 145 del 28/11/2019 l’Istituto ha confermato, per l’anno 2019, la riduzione contributiva prevista per gli operai a tempo pieno del settore edile dall’art. 29 del D.L. 244/1995 e successive modifiche e integrazioni, nella misura del 11,50%. Sono state altresì confermate le condizioni di accesso e le modalità operative.</w:t>
            </w:r>
          </w:p>
          <w:p>
            <w:pPr>
              <w:pStyle w:val="corpoAltF"/>
              <w:ind w:left="454" w:right="170"/>
            </w:pPr>
            <w:r>
              <w:t>Il programma è già allineato per gestire la riduzione corrente ed il recupero di quella arretrata con l’elaborazione della mensilità di novembre.</w:t>
            </w:r>
          </w:p>
          <w:p>
            <w:pPr>
              <w:pStyle w:val="corpoAltF"/>
              <w:ind w:left="454" w:right="170"/>
            </w:pPr>
            <w:r>
              <w:t>Si precisa che, per gli utenti che hanno chiuso le elaborazioni di tale mensilità, il mese di novembre potrà comunque essere ricompreso nel calcolo della riduzione arretrata.</w:t>
            </w:r>
          </w:p>
          <w:p>
            <w:pPr>
              <w:pStyle w:val="corpoAltF"/>
              <w:ind w:left="454" w:right="170"/>
            </w:pPr>
            <w:r>
              <w:t>Per il dettaglio della gestione della riduzione contributiva in esame, si rimanda al corrispondente allegato della “Gestione Edilizia”, presente tra le appendici della guida in linea.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AZIE – Aggiornamento codici contratto INPS</w:t>
            </w:r>
          </w:p>
          <w:p>
            <w:pPr>
              <w:pStyle w:val="corpoAltF"/>
              <w:ind w:left="454" w:right="170"/>
            </w:pPr>
            <w:r>
              <w:t xml:space="preserve">L’INPS, con il Messaggio n. 3850 del 24.10.2019, ha comunicato la modifica, con decorrenza da novembre 2019, dei codici contratto previsti all’interno del flusso </w:t>
            </w:r>
            <w:proofErr w:type="spellStart"/>
            <w:r>
              <w:t>UniEmens</w:t>
            </w:r>
            <w:proofErr w:type="spellEnd"/>
            <w:r>
              <w:t>. L’elenco di codici contratto presente nel campo “</w:t>
            </w:r>
            <w:r>
              <w:rPr>
                <w:i/>
                <w:iCs/>
              </w:rPr>
              <w:t>Codice contratto</w:t>
            </w:r>
            <w:r>
              <w:t>” (scheda “</w:t>
            </w:r>
            <w:r>
              <w:rPr>
                <w:i/>
                <w:iCs/>
              </w:rPr>
              <w:t>Dati contributivi</w:t>
            </w:r>
            <w:r>
              <w:t xml:space="preserve">” di </w:t>
            </w:r>
            <w:r>
              <w:rPr>
                <w:b/>
                <w:bCs/>
              </w:rPr>
              <w:t>AZIE</w:t>
            </w:r>
            <w:r>
              <w:t xml:space="preserve"> e “</w:t>
            </w:r>
            <w:r>
              <w:rPr>
                <w:i/>
                <w:iCs/>
              </w:rPr>
              <w:t>Trattenute</w:t>
            </w:r>
            <w:r>
              <w:t xml:space="preserve">” di </w:t>
            </w:r>
            <w:r>
              <w:rPr>
                <w:b/>
                <w:bCs/>
              </w:rPr>
              <w:t>DIPE</w:t>
            </w:r>
            <w:r>
              <w:t>) è stato</w:t>
            </w:r>
            <w:r>
              <w:rPr>
                <w:i/>
                <w:iCs/>
              </w:rPr>
              <w:t xml:space="preserve"> </w:t>
            </w:r>
            <w:r>
              <w:t>conseguentemente aggiornato.</w:t>
            </w:r>
          </w:p>
          <w:p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VOCI – Gestione voci di calcolo</w:t>
            </w:r>
          </w:p>
          <w:p>
            <w:pPr>
              <w:pStyle w:val="corpoAltF"/>
              <w:ind w:left="454" w:right="170"/>
            </w:pPr>
            <w:r>
              <w:t xml:space="preserve">Nuovo operatore </w:t>
            </w:r>
            <w:r>
              <w:rPr>
                <w:b/>
                <w:bCs/>
              </w:rPr>
              <w:t>@JTSSC</w:t>
            </w:r>
            <w:r>
              <w:t xml:space="preserve"> utilizzabile nelle formule delle voci per richiamare l’importo unitario dello scatto di anzianità previsto per il livello di riferimento del dipendente.</w:t>
            </w:r>
          </w:p>
          <w:p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SCADE – Stampa scadenze azienda/dipendente</w:t>
            </w:r>
          </w:p>
          <w:p>
            <w:pPr>
              <w:pStyle w:val="corpoAltF"/>
              <w:ind w:left="454" w:right="170"/>
            </w:pPr>
            <w:r>
              <w:t>Inserita possibilità di selezionare il periodo con riferimento al quale rilevare ed evidenziare le scadenze presenti.</w:t>
            </w:r>
          </w:p>
          <w:p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>
            <w:pPr>
              <w:pStyle w:val="corpoAltF"/>
              <w:ind w:left="454" w:right="170"/>
            </w:pPr>
            <w:r>
              <w:t>Correzione anomalie varie.</w:t>
            </w:r>
          </w:p>
          <w:p>
            <w:pPr>
              <w:pStyle w:val="corpoAltF"/>
              <w:ind w:left="454" w:right="170"/>
            </w:pPr>
          </w:p>
        </w:tc>
      </w:tr>
    </w:tbl>
    <w:p>
      <w:pPr>
        <w:pStyle w:val="CorpoAltF0"/>
        <w:jc w:val="left"/>
      </w:pPr>
    </w:p>
    <w:p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bookmarkStart w:id="0" w:name="_Toc33011301"/>
            <w:r>
              <w:rPr>
                <w:rFonts w:cs="Arial"/>
              </w:rPr>
              <w:t>Avvertenze</w:t>
            </w:r>
          </w:p>
        </w:tc>
      </w:tr>
      <w:tr>
        <w:trPr>
          <w:jc w:val="center"/>
        </w:trPr>
        <w:tc>
          <w:tcPr>
            <w:tcW w:w="9629" w:type="dxa"/>
          </w:tcPr>
          <w:p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l’installazione della presente versione il programma effettua automaticamente la conversione degli archivi.</w:t>
            </w:r>
          </w:p>
          <w:p>
            <w:pPr>
              <w:pStyle w:val="corpoAltF"/>
              <w:ind w:right="170"/>
            </w:pPr>
          </w:p>
        </w:tc>
      </w:tr>
    </w:tbl>
    <w:p>
      <w:pPr>
        <w:pStyle w:val="CorpoAltF0"/>
        <w:jc w:val="left"/>
      </w:pPr>
    </w:p>
    <w:p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Modulo CONTRA</w:t>
            </w:r>
          </w:p>
        </w:tc>
      </w:tr>
      <w:tr>
        <w:trPr>
          <w:jc w:val="center"/>
        </w:trPr>
        <w:tc>
          <w:tcPr>
            <w:tcW w:w="9629" w:type="dxa"/>
          </w:tcPr>
          <w:p>
            <w:pPr>
              <w:pStyle w:val="corpoAltF"/>
              <w:ind w:left="134" w:right="170"/>
            </w:pPr>
          </w:p>
          <w:p>
            <w:pPr>
              <w:pStyle w:val="corpoAltF"/>
              <w:ind w:left="134" w:right="170"/>
            </w:pPr>
            <w:r>
              <w:t xml:space="preserve">A seguito dell’Accordo di rinnovo del </w:t>
            </w:r>
            <w:r>
              <w:rPr>
                <w:b/>
                <w:bCs/>
              </w:rPr>
              <w:t>CCNL Autorimesse e Noleggio Automezzi</w:t>
            </w:r>
            <w:r>
              <w:t xml:space="preserve"> (Codici contratto</w:t>
            </w:r>
            <w:r>
              <w:rPr>
                <w:b/>
                <w:bCs/>
              </w:rPr>
              <w:t xml:space="preserve"> da 8855 a 8860</w:t>
            </w:r>
            <w:r>
              <w:t>), con la presente versione PAGHE viene fornito l’aggiornamento delle relative tabelle del modulo CONTRA.</w:t>
            </w:r>
          </w:p>
          <w:p>
            <w:pPr>
              <w:pStyle w:val="corpoAltF"/>
              <w:spacing w:before="60"/>
              <w:ind w:left="136" w:right="170"/>
            </w:pPr>
            <w:r>
              <w:t>Inoltre, sono state aggiornate le tabelle dei seguenti contratti:</w:t>
            </w:r>
          </w:p>
          <w:p>
            <w:pPr>
              <w:pStyle w:val="corpoAltF"/>
              <w:numPr>
                <w:ilvl w:val="0"/>
                <w:numId w:val="23"/>
              </w:numPr>
              <w:ind w:left="423" w:right="170" w:hanging="283"/>
            </w:pPr>
            <w:r>
              <w:t xml:space="preserve">CCNL Autoferrotranvieri (Codice contratto </w:t>
            </w:r>
            <w:r>
              <w:rPr>
                <w:b/>
                <w:bCs/>
              </w:rPr>
              <w:t>8434</w:t>
            </w:r>
            <w:r>
              <w:t>);</w:t>
            </w:r>
          </w:p>
          <w:p>
            <w:pPr>
              <w:pStyle w:val="corpoAltF"/>
              <w:numPr>
                <w:ilvl w:val="0"/>
                <w:numId w:val="23"/>
              </w:numPr>
              <w:ind w:left="423" w:right="170" w:hanging="283"/>
            </w:pPr>
            <w:r>
              <w:t xml:space="preserve">CCNL Credito (Codice contratto </w:t>
            </w:r>
            <w:r>
              <w:rPr>
                <w:b/>
                <w:bCs/>
              </w:rPr>
              <w:t>8437</w:t>
            </w:r>
            <w:r>
              <w:t>);</w:t>
            </w:r>
          </w:p>
          <w:p>
            <w:pPr>
              <w:pStyle w:val="corpoAltF"/>
              <w:numPr>
                <w:ilvl w:val="0"/>
                <w:numId w:val="23"/>
              </w:numPr>
              <w:ind w:left="423" w:right="170" w:hanging="283"/>
            </w:pPr>
            <w:r>
              <w:t xml:space="preserve">CCNL Credito Cooperativo (Codice contratto </w:t>
            </w:r>
            <w:r>
              <w:rPr>
                <w:b/>
                <w:bCs/>
              </w:rPr>
              <w:t>8438</w:t>
            </w:r>
            <w:r>
              <w:t>).</w:t>
            </w:r>
          </w:p>
          <w:p>
            <w:pPr>
              <w:pStyle w:val="corpoAltF"/>
              <w:spacing w:before="60"/>
              <w:ind w:left="136" w:right="170"/>
            </w:pPr>
            <w:r>
              <w:t xml:space="preserve">Per aggiornare i suddetti codici contratto è necessario eseguire la funzione </w:t>
            </w:r>
            <w:r>
              <w:rPr>
                <w:b/>
              </w:rPr>
              <w:t>CONTRA</w:t>
            </w:r>
            <w:r>
              <w:t xml:space="preserve"> &gt; “</w:t>
            </w:r>
            <w:r>
              <w:rPr>
                <w:i/>
              </w:rPr>
              <w:t>Aggiornamento contratti</w:t>
            </w:r>
            <w:r>
              <w:t>”.</w:t>
            </w:r>
          </w:p>
          <w:p>
            <w:pPr>
              <w:pStyle w:val="corpoAltF"/>
              <w:spacing w:before="60"/>
              <w:ind w:left="136" w:right="170"/>
            </w:pPr>
            <w:r>
              <w:t xml:space="preserve">Infine, con riferimento alla riduzione contributiva per il settore Edilizia, sono state aggiornate, </w:t>
            </w:r>
            <w:r>
              <w:t>con validità da novembre 2019</w:t>
            </w:r>
            <w:r>
              <w:t>, le relative tabelle minimali contributivi (</w:t>
            </w:r>
            <w:r>
              <w:rPr>
                <w:b/>
                <w:bCs/>
              </w:rPr>
              <w:t>TB0303</w:t>
            </w:r>
            <w:r>
              <w:t>)</w:t>
            </w:r>
            <w:bookmarkStart w:id="1" w:name="_GoBack"/>
            <w:bookmarkEnd w:id="1"/>
            <w:r>
              <w:t xml:space="preserve"> codici </w:t>
            </w:r>
            <w:r>
              <w:rPr>
                <w:b/>
                <w:bCs/>
              </w:rPr>
              <w:t>8006</w:t>
            </w:r>
            <w:r>
              <w:t xml:space="preserve">, </w:t>
            </w:r>
            <w:r>
              <w:rPr>
                <w:b/>
                <w:bCs/>
              </w:rPr>
              <w:t>8007</w:t>
            </w:r>
            <w:r>
              <w:t xml:space="preserve">, </w:t>
            </w:r>
            <w:r>
              <w:rPr>
                <w:b/>
                <w:bCs/>
              </w:rPr>
              <w:t>8013</w:t>
            </w:r>
            <w:r>
              <w:t xml:space="preserve"> e </w:t>
            </w:r>
            <w:r>
              <w:rPr>
                <w:b/>
                <w:bCs/>
              </w:rPr>
              <w:t>8026</w:t>
            </w:r>
            <w:r>
              <w:t>, indicando la</w:t>
            </w:r>
            <w:r>
              <w:t xml:space="preserve"> percentuale di agevolazione al campo </w:t>
            </w:r>
            <w:r>
              <w:rPr>
                <w:iCs/>
              </w:rPr>
              <w:t>“</w:t>
            </w:r>
            <w:r>
              <w:rPr>
                <w:i/>
                <w:iCs/>
              </w:rPr>
              <w:t>% agevolazioni</w:t>
            </w:r>
            <w:r>
              <w:t>”</w:t>
            </w:r>
            <w:r>
              <w:t xml:space="preserve"> (</w:t>
            </w:r>
            <w:r>
              <w:t>11,50%</w:t>
            </w:r>
            <w:r>
              <w:t>)</w:t>
            </w:r>
            <w:r>
              <w:t xml:space="preserve"> ed </w:t>
            </w:r>
            <w:r>
              <w:t>il</w:t>
            </w:r>
            <w:r>
              <w:t xml:space="preserve"> codice di riferimento di </w:t>
            </w:r>
            <w:r>
              <w:rPr>
                <w:b/>
                <w:bCs/>
              </w:rPr>
              <w:t>TB0201</w:t>
            </w:r>
            <w:r>
              <w:t xml:space="preserve"> al campo </w:t>
            </w:r>
            <w:r>
              <w:rPr>
                <w:iCs/>
              </w:rPr>
              <w:t>“</w:t>
            </w:r>
            <w:r>
              <w:rPr>
                <w:i/>
                <w:iCs/>
              </w:rPr>
              <w:t>Cod. tabella DM10</w:t>
            </w:r>
            <w:r>
              <w:t>”</w:t>
            </w:r>
            <w:r>
              <w:t xml:space="preserve"> (9979).</w:t>
            </w:r>
          </w:p>
          <w:p>
            <w:pPr>
              <w:pStyle w:val="corpoAltF"/>
              <w:ind w:left="136" w:right="170"/>
            </w:pPr>
            <w:r>
              <w:t xml:space="preserve">In tal caso la funzione </w:t>
            </w:r>
            <w:r>
              <w:rPr>
                <w:b/>
              </w:rPr>
              <w:t>CONTRA</w:t>
            </w:r>
            <w:r>
              <w:t xml:space="preserve"> &gt; “</w:t>
            </w:r>
            <w:r>
              <w:rPr>
                <w:i/>
              </w:rPr>
              <w:t>Aggiornamento contratti</w:t>
            </w:r>
            <w:r>
              <w:t>” andrà eseguita per i codici contratto dell’edilizia/lapidei utilizzati.</w:t>
            </w:r>
          </w:p>
          <w:p>
            <w:pPr>
              <w:pStyle w:val="corpoAltF"/>
              <w:ind w:right="170"/>
              <w:rPr>
                <w:b/>
              </w:rPr>
            </w:pPr>
          </w:p>
          <w:p>
            <w:pPr>
              <w:pStyle w:val="corpoAltF"/>
              <w:ind w:right="170"/>
            </w:pPr>
            <w:r>
              <w:rPr>
                <w:b/>
              </w:rPr>
              <w:t>Allegato:</w:t>
            </w:r>
            <w:r>
              <w:t xml:space="preserve"> “CONTRA_20190301”</w:t>
            </w:r>
          </w:p>
          <w:p>
            <w:pPr>
              <w:pStyle w:val="corpoAltF"/>
              <w:spacing w:before="60"/>
              <w:ind w:left="454" w:right="170"/>
            </w:pPr>
          </w:p>
        </w:tc>
      </w:tr>
    </w:tbl>
    <w:p>
      <w:pPr>
        <w:pStyle w:val="CorpoAltF0"/>
        <w:jc w:val="left"/>
      </w:pPr>
    </w:p>
    <w:p>
      <w:pPr>
        <w:pStyle w:val="CorpoAltF0"/>
      </w:pPr>
      <w:r>
        <w:br w:type="page"/>
      </w:r>
    </w:p>
    <w:p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>
      <w:pPr>
        <w:pStyle w:val="Ignora"/>
        <w:rPr>
          <w:sz w:val="10"/>
          <w:szCs w:val="10"/>
          <w:lang w:val="en-GB"/>
        </w:rPr>
      </w:pPr>
    </w:p>
    <w:p>
      <w:pPr>
        <w:numPr>
          <w:ilvl w:val="0"/>
          <w:numId w:val="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 xml:space="preserve">In alternativa a </w:t>
      </w:r>
      <w:proofErr w:type="spellStart"/>
      <w:r>
        <w:rPr>
          <w:rFonts w:ascii="LFT Etica Lt" w:hAnsi="LFT Etica Lt"/>
          <w:sz w:val="18"/>
          <w:szCs w:val="18"/>
        </w:rPr>
        <w:t>TeamLinux</w:t>
      </w:r>
      <w:proofErr w:type="spellEnd"/>
      <w:r>
        <w:rPr>
          <w:rFonts w:ascii="LFT Etica Lt" w:hAnsi="LFT Etica Lt"/>
          <w:sz w:val="18"/>
          <w:szCs w:val="18"/>
        </w:rPr>
        <w:t xml:space="preserve"> si suggerisce l’utilizzo dei seguenti sistemi operativi:</w:t>
      </w:r>
    </w:p>
    <w:p>
      <w:pPr>
        <w:pStyle w:val="CorpoAltF0"/>
        <w:numPr>
          <w:ilvl w:val="0"/>
          <w:numId w:val="9"/>
        </w:numPr>
        <w:ind w:left="426" w:hanging="284"/>
        <w:rPr>
          <w:b/>
          <w:spacing w:val="10"/>
          <w:sz w:val="16"/>
          <w:szCs w:val="16"/>
        </w:rPr>
      </w:pPr>
      <w:proofErr w:type="spellStart"/>
      <w:r>
        <w:rPr>
          <w:b/>
          <w:spacing w:val="10"/>
          <w:sz w:val="16"/>
          <w:szCs w:val="16"/>
        </w:rPr>
        <w:t>Ubuntu</w:t>
      </w:r>
      <w:proofErr w:type="spellEnd"/>
      <w:r>
        <w:rPr>
          <w:b/>
          <w:spacing w:val="10"/>
          <w:sz w:val="16"/>
          <w:szCs w:val="16"/>
        </w:rPr>
        <w:t xml:space="preserve"> 16.04 LTS 64 bit</w:t>
      </w:r>
    </w:p>
    <w:p>
      <w:pPr>
        <w:pStyle w:val="CorpoAltF0"/>
        <w:numPr>
          <w:ilvl w:val="0"/>
          <w:numId w:val="9"/>
        </w:numPr>
        <w:ind w:left="426" w:hanging="284"/>
        <w:rPr>
          <w:b/>
          <w:spacing w:val="10"/>
          <w:sz w:val="16"/>
          <w:szCs w:val="16"/>
        </w:rPr>
      </w:pPr>
      <w:proofErr w:type="spellStart"/>
      <w:r>
        <w:rPr>
          <w:b/>
          <w:spacing w:val="10"/>
          <w:sz w:val="16"/>
          <w:szCs w:val="16"/>
        </w:rPr>
        <w:t>CentOS</w:t>
      </w:r>
      <w:proofErr w:type="spellEnd"/>
      <w:r>
        <w:rPr>
          <w:b/>
          <w:spacing w:val="10"/>
          <w:sz w:val="16"/>
          <w:szCs w:val="16"/>
        </w:rPr>
        <w:t xml:space="preserve"> 7.3 64 bit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POLYEDRO ultima versione rilasciata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>
        <w:rPr>
          <w:rFonts w:ascii="LFT Etica Lt" w:hAnsi="LFT Etica Lt" w:cs="Arial"/>
          <w:b/>
          <w:sz w:val="18"/>
          <w:szCs w:val="18"/>
        </w:rPr>
        <w:t>Gecom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TeamPortal</w:t>
      </w:r>
      <w:proofErr w:type="spellEnd"/>
      <w:r>
        <w:rPr>
          <w:rFonts w:ascii="LFT Etica Lt" w:hAnsi="LFT Etica Lt" w:cs="Arial"/>
          <w:sz w:val="18"/>
          <w:szCs w:val="18"/>
        </w:rPr>
        <w:t xml:space="preserve"> ultima versione rilasciata</w:t>
      </w:r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Moduli software di base per Ambienti Integrazione:</w:t>
      </w:r>
    </w:p>
    <w:p>
      <w:pPr>
        <w:pStyle w:val="CorpoAltF0"/>
        <w:numPr>
          <w:ilvl w:val="0"/>
          <w:numId w:val="10"/>
        </w:numPr>
        <w:ind w:left="851" w:hanging="284"/>
        <w:rPr>
          <w:spacing w:val="12"/>
          <w:sz w:val="16"/>
          <w:szCs w:val="16"/>
        </w:rPr>
      </w:pPr>
      <w:proofErr w:type="spellStart"/>
      <w:r>
        <w:rPr>
          <w:spacing w:val="12"/>
          <w:sz w:val="16"/>
          <w:szCs w:val="16"/>
        </w:rPr>
        <w:t>Sysint</w:t>
      </w:r>
      <w:proofErr w:type="spellEnd"/>
      <w:r>
        <w:rPr>
          <w:spacing w:val="12"/>
          <w:sz w:val="16"/>
          <w:szCs w:val="16"/>
        </w:rPr>
        <w:t xml:space="preserve">/W 20140100 </w:t>
      </w:r>
    </w:p>
    <w:p>
      <w:pPr>
        <w:pStyle w:val="CorpoAltF0"/>
        <w:numPr>
          <w:ilvl w:val="0"/>
          <w:numId w:val="10"/>
        </w:numPr>
        <w:ind w:left="851" w:hanging="284"/>
        <w:rPr>
          <w:spacing w:val="12"/>
          <w:sz w:val="16"/>
          <w:szCs w:val="16"/>
        </w:rPr>
      </w:pPr>
      <w:proofErr w:type="spellStart"/>
      <w:r>
        <w:rPr>
          <w:spacing w:val="12"/>
          <w:sz w:val="16"/>
          <w:szCs w:val="16"/>
        </w:rPr>
        <w:t>SysIntGateway</w:t>
      </w:r>
      <w:proofErr w:type="spellEnd"/>
      <w:r>
        <w:rPr>
          <w:spacing w:val="12"/>
          <w:sz w:val="16"/>
          <w:szCs w:val="16"/>
        </w:rPr>
        <w:t xml:space="preserve"> ultima versione rilasciata</w:t>
      </w:r>
    </w:p>
    <w:p>
      <w:pPr>
        <w:pStyle w:val="CorpoAltF0"/>
        <w:numPr>
          <w:ilvl w:val="0"/>
          <w:numId w:val="10"/>
        </w:numPr>
        <w:ind w:left="851" w:hanging="284"/>
        <w:rPr>
          <w:spacing w:val="12"/>
          <w:sz w:val="16"/>
          <w:szCs w:val="16"/>
        </w:rPr>
      </w:pPr>
      <w:r>
        <w:rPr>
          <w:spacing w:val="12"/>
          <w:sz w:val="16"/>
          <w:szCs w:val="16"/>
        </w:rPr>
        <w:t>Runtime Cobol 812-20160100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Dismissione modulo </w:t>
      </w:r>
      <w:proofErr w:type="spellStart"/>
      <w:r>
        <w:rPr>
          <w:rFonts w:ascii="LFT Etica Lt" w:hAnsi="LFT Etica Lt" w:cs="Arial"/>
          <w:b/>
          <w:sz w:val="18"/>
          <w:szCs w:val="18"/>
        </w:rPr>
        <w:t>AcuXDBC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</w:t>
      </w: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  <w:bookmarkEnd w:id="0"/>
    </w:p>
    <w:sectPr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2019.3.1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20" w:after="2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535"/>
    <w:multiLevelType w:val="hybridMultilevel"/>
    <w:tmpl w:val="E3A263F8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5F02CA0"/>
    <w:multiLevelType w:val="hybridMultilevel"/>
    <w:tmpl w:val="40988160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CF915DE"/>
    <w:multiLevelType w:val="hybridMultilevel"/>
    <w:tmpl w:val="495CD1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924"/>
    <w:multiLevelType w:val="hybridMultilevel"/>
    <w:tmpl w:val="EDDCD4FA"/>
    <w:lvl w:ilvl="0" w:tplc="310E6890">
      <w:start w:val="2019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30A9740C"/>
    <w:multiLevelType w:val="hybridMultilevel"/>
    <w:tmpl w:val="C2B63682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0D94219"/>
    <w:multiLevelType w:val="hybridMultilevel"/>
    <w:tmpl w:val="9DD0B012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67B49AA"/>
    <w:multiLevelType w:val="hybridMultilevel"/>
    <w:tmpl w:val="8EB2CABE"/>
    <w:lvl w:ilvl="0" w:tplc="105AB2E8">
      <w:numFmt w:val="bullet"/>
      <w:lvlText w:val="-"/>
      <w:lvlJc w:val="left"/>
      <w:pPr>
        <w:ind w:left="1174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73353B4"/>
    <w:multiLevelType w:val="hybridMultilevel"/>
    <w:tmpl w:val="110406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1485"/>
    <w:multiLevelType w:val="hybridMultilevel"/>
    <w:tmpl w:val="3D4E64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AD16DC"/>
    <w:multiLevelType w:val="hybridMultilevel"/>
    <w:tmpl w:val="601460A4"/>
    <w:lvl w:ilvl="0" w:tplc="0410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4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55586B30"/>
    <w:multiLevelType w:val="hybridMultilevel"/>
    <w:tmpl w:val="4552E97E"/>
    <w:lvl w:ilvl="0" w:tplc="8ADE0912">
      <w:start w:val="2"/>
      <w:numFmt w:val="bullet"/>
      <w:lvlText w:val="-"/>
      <w:lvlJc w:val="left"/>
      <w:pPr>
        <w:ind w:left="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5D2D5CDA"/>
    <w:multiLevelType w:val="hybridMultilevel"/>
    <w:tmpl w:val="5096FDA8"/>
    <w:lvl w:ilvl="0" w:tplc="4F48D0CA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45A2F"/>
    <w:multiLevelType w:val="hybridMultilevel"/>
    <w:tmpl w:val="F194738C"/>
    <w:lvl w:ilvl="0" w:tplc="6F58E6EA">
      <w:numFmt w:val="bullet"/>
      <w:lvlText w:val="-"/>
      <w:lvlJc w:val="left"/>
      <w:pPr>
        <w:ind w:left="720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F3022"/>
    <w:multiLevelType w:val="hybridMultilevel"/>
    <w:tmpl w:val="6A34C3A0"/>
    <w:lvl w:ilvl="0" w:tplc="6F58E6EA">
      <w:numFmt w:val="bullet"/>
      <w:lvlText w:val="-"/>
      <w:lvlJc w:val="left"/>
      <w:pPr>
        <w:ind w:left="854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1" w15:restartNumberingAfterBreak="0">
    <w:nsid w:val="774D20D7"/>
    <w:multiLevelType w:val="hybridMultilevel"/>
    <w:tmpl w:val="0B4C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00AB5"/>
    <w:multiLevelType w:val="hybridMultilevel"/>
    <w:tmpl w:val="34CA7CC6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4"/>
  </w:num>
  <w:num w:numId="5">
    <w:abstractNumId w:val="18"/>
  </w:num>
  <w:num w:numId="6">
    <w:abstractNumId w:val="11"/>
  </w:num>
  <w:num w:numId="7">
    <w:abstractNumId w:val="15"/>
  </w:num>
  <w:num w:numId="8">
    <w:abstractNumId w:val="12"/>
  </w:num>
  <w:num w:numId="9">
    <w:abstractNumId w:val="21"/>
  </w:num>
  <w:num w:numId="10">
    <w:abstractNumId w:val="19"/>
  </w:num>
  <w:num w:numId="11">
    <w:abstractNumId w:val="17"/>
  </w:num>
  <w:num w:numId="12">
    <w:abstractNumId w:val="10"/>
  </w:num>
  <w:num w:numId="13">
    <w:abstractNumId w:val="22"/>
  </w:num>
  <w:num w:numId="14">
    <w:abstractNumId w:val="9"/>
  </w:num>
  <w:num w:numId="15">
    <w:abstractNumId w:val="8"/>
  </w:num>
  <w:num w:numId="16">
    <w:abstractNumId w:val="5"/>
  </w:num>
  <w:num w:numId="17">
    <w:abstractNumId w:val="7"/>
  </w:num>
  <w:num w:numId="18">
    <w:abstractNumId w:val="4"/>
  </w:num>
  <w:num w:numId="19">
    <w:abstractNumId w:val="0"/>
  </w:num>
  <w:num w:numId="20">
    <w:abstractNumId w:val="13"/>
  </w:num>
  <w:num w:numId="21">
    <w:abstractNumId w:val="6"/>
  </w:num>
  <w:num w:numId="22">
    <w:abstractNumId w:val="16"/>
  </w:num>
  <w:num w:numId="2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34817" fill="f" fillcolor="white" strokecolor="red">
      <v:fill color="white" on="f"/>
      <v:stroke color="red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C767BF0E-8EF9-4B31-8A11-02D29B8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paragraph" w:customStyle="1" w:styleId="Ignora">
    <w:name w:val="Ignora"/>
    <w:basedOn w:val="CorpoAltF0"/>
    <w:qFormat/>
  </w:style>
  <w:style w:type="character" w:customStyle="1" w:styleId="collegamentoipertestuale0">
    <w:name w:val="collegamento_ipertestuale"/>
    <w:basedOn w:val="Carpredefinitoparagrafo"/>
  </w:style>
  <w:style w:type="character" w:customStyle="1" w:styleId="searchresulthighlight1">
    <w:name w:val="search_result_highlight1"/>
    <w:basedOn w:val="Carpredefinitoparagrafo"/>
    <w:rPr>
      <w:shd w:val="clear" w:color="auto" w:fill="FFFF00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1">
    <w:name w:val="normaltextrun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300">
              <w:marLeft w:val="94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1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3935">
              <w:marLeft w:val="94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704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oricoli\Documents\Modelli%20di%20Office%20personalizzati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604A-B44C-431D-AD45-2BDEBA85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1105</TotalTime>
  <Pages>3</Pages>
  <Words>936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Barbara Mandolini</cp:lastModifiedBy>
  <cp:revision>471</cp:revision>
  <cp:lastPrinted>2019-12-03T13:54:00Z</cp:lastPrinted>
  <dcterms:created xsi:type="dcterms:W3CDTF">2019-03-18T14:18:00Z</dcterms:created>
  <dcterms:modified xsi:type="dcterms:W3CDTF">2019-12-03T14:40:00Z</dcterms:modified>
</cp:coreProperties>
</file>