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WWTipoDocumento"/>
        <w:ind w:left="0"/>
      </w:pPr>
      <w:bookmarkStart w:id="0" w:name="_Toc33011301"/>
      <w:bookmarkStart w:id="1" w:name="_Hlk70682612"/>
      <w:bookmarkEnd w:id="1"/>
      <w:r>
        <w:t>IMPLEMENTAZIONI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2"/>
        <w:gridCol w:w="3538"/>
        <w:gridCol w:w="3824"/>
      </w:tblGrid>
      <w:tr>
        <w:trPr>
          <w:cantSplit/>
          <w:trHeight w:val="221"/>
          <w:jc w:val="center"/>
        </w:trPr>
        <w:tc>
          <w:tcPr>
            <w:tcW w:w="2273" w:type="dxa"/>
            <w:vMerge w:val="restart"/>
            <w:tcBorders>
              <w:top w:val="nil"/>
              <w:left w:val="nil"/>
              <w:bottom w:val="nil"/>
              <w:right w:val="single" w:sz="4" w:space="0" w:color="365F91"/>
            </w:tcBorders>
            <w:tcMar>
              <w:left w:w="28" w:type="dxa"/>
              <w:right w:w="28" w:type="dxa"/>
            </w:tcMar>
          </w:tcPr>
          <w:p>
            <w:pPr>
              <w:pStyle w:val="CorpoAltF0"/>
              <w:jc w:val="center"/>
              <w:rPr>
                <w:rFonts w:cs="Arial"/>
              </w:rPr>
            </w:pPr>
            <w:bookmarkStart w:id="2" w:name="INDICE"/>
            <w:bookmarkEnd w:id="2"/>
            <w:r>
              <w:rPr>
                <w:rFonts w:cs="Arial"/>
                <w:noProof/>
              </w:rPr>
              <w:drawing>
                <wp:inline distT="0" distB="0" distL="0" distR="0">
                  <wp:extent cx="1158875" cy="1384300"/>
                  <wp:effectExtent l="0" t="0" r="3175" b="6350"/>
                  <wp:docPr id="8" name="Immagine 1" descr="PAGHE_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HE_splas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8875" cy="1384300"/>
                          </a:xfrm>
                          <a:prstGeom prst="rect">
                            <a:avLst/>
                          </a:prstGeom>
                          <a:noFill/>
                          <a:ln>
                            <a:noFill/>
                          </a:ln>
                        </pic:spPr>
                      </pic:pic>
                    </a:graphicData>
                  </a:graphic>
                </wp:inline>
              </w:drawing>
            </w:r>
          </w:p>
        </w:tc>
        <w:tc>
          <w:tcPr>
            <w:tcW w:w="7375" w:type="dxa"/>
            <w:gridSpan w:val="2"/>
            <w:tcBorders>
              <w:top w:val="single" w:sz="4" w:space="0" w:color="365F91"/>
              <w:left w:val="single" w:sz="4" w:space="0" w:color="365F91"/>
              <w:bottom w:val="single" w:sz="4" w:space="0" w:color="365F91"/>
              <w:right w:val="single" w:sz="4" w:space="0" w:color="365F91"/>
            </w:tcBorders>
            <w:shd w:val="clear" w:color="auto" w:fill="CCCCCC"/>
            <w:vAlign w:val="center"/>
          </w:tcPr>
          <w:p>
            <w:pPr>
              <w:pStyle w:val="CorpoAltF0"/>
              <w:rPr>
                <w:rFonts w:cs="Arial"/>
                <w:b/>
                <w:lang w:val="en-US"/>
              </w:rPr>
            </w:pPr>
            <w:r>
              <w:rPr>
                <w:rFonts w:cs="Arial"/>
                <w:b/>
                <w:lang w:val="en-US"/>
              </w:rPr>
              <w:t xml:space="preserve">RELEASE </w:t>
            </w:r>
            <w:proofErr w:type="spellStart"/>
            <w:r>
              <w:rPr>
                <w:rFonts w:cs="Arial"/>
                <w:b/>
                <w:lang w:val="en-US"/>
              </w:rPr>
              <w:t>Versione</w:t>
            </w:r>
            <w:proofErr w:type="spellEnd"/>
            <w:r>
              <w:rPr>
                <w:rFonts w:cs="Arial"/>
                <w:b/>
                <w:lang w:val="en-US"/>
              </w:rPr>
              <w:t xml:space="preserve"> 2021.0.5</w:t>
            </w:r>
          </w:p>
        </w:tc>
      </w:tr>
      <w:tr>
        <w:trPr>
          <w:cantSplit/>
          <w:trHeight w:val="268"/>
          <w:jc w:val="center"/>
        </w:trPr>
        <w:tc>
          <w:tcPr>
            <w:tcW w:w="2273" w:type="dxa"/>
            <w:vMerge/>
            <w:tcBorders>
              <w:left w:val="nil"/>
              <w:bottom w:val="nil"/>
              <w:right w:val="single" w:sz="4" w:space="0" w:color="365F91"/>
            </w:tcBorders>
            <w:tcMar>
              <w:left w:w="28" w:type="dxa"/>
              <w:right w:w="28" w:type="dxa"/>
            </w:tcMar>
          </w:tcPr>
          <w:p>
            <w:pPr>
              <w:rPr>
                <w:color w:val="000000"/>
                <w:lang w:val="en-US"/>
              </w:rPr>
            </w:pPr>
          </w:p>
        </w:tc>
        <w:tc>
          <w:tcPr>
            <w:tcW w:w="3544"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ind w:right="227"/>
              <w:jc w:val="right"/>
              <w:rPr>
                <w:rFonts w:ascii="Arial" w:hAnsi="Arial" w:cs="Arial"/>
                <w:b/>
                <w:bCs/>
              </w:rPr>
            </w:pPr>
            <w:r>
              <w:rPr>
                <w:rFonts w:ascii="Arial" w:hAnsi="Arial" w:cs="Arial"/>
                <w:b/>
                <w:bCs/>
              </w:rPr>
              <w:t>Applicativo:</w:t>
            </w:r>
          </w:p>
        </w:tc>
        <w:tc>
          <w:tcPr>
            <w:tcW w:w="3831"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spacing w:before="120" w:after="120"/>
              <w:jc w:val="both"/>
              <w:rPr>
                <w:rFonts w:ascii="Arial" w:hAnsi="Arial" w:cs="Arial"/>
                <w:sz w:val="28"/>
                <w:szCs w:val="28"/>
              </w:rPr>
            </w:pPr>
            <w:r>
              <w:rPr>
                <w:rFonts w:ascii="Arial" w:hAnsi="Arial" w:cs="Arial"/>
                <w:b/>
                <w:sz w:val="28"/>
                <w:szCs w:val="28"/>
              </w:rPr>
              <w:t>EMENS</w:t>
            </w:r>
          </w:p>
        </w:tc>
      </w:tr>
      <w:tr>
        <w:trPr>
          <w:cantSplit/>
          <w:trHeight w:val="266"/>
          <w:jc w:val="center"/>
        </w:trPr>
        <w:tc>
          <w:tcPr>
            <w:tcW w:w="2273" w:type="dxa"/>
            <w:vMerge/>
            <w:tcBorders>
              <w:left w:val="nil"/>
              <w:bottom w:val="nil"/>
              <w:right w:val="single" w:sz="4" w:space="0" w:color="365F91"/>
            </w:tcBorders>
            <w:tcMar>
              <w:left w:w="28" w:type="dxa"/>
              <w:right w:w="28" w:type="dxa"/>
            </w:tcMar>
          </w:tcPr>
          <w:p>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ind w:right="227"/>
              <w:jc w:val="right"/>
              <w:rPr>
                <w:rFonts w:ascii="Arial" w:hAnsi="Arial" w:cs="Arial"/>
                <w:b/>
                <w:bCs/>
              </w:rPr>
            </w:pPr>
            <w:r>
              <w:rPr>
                <w:rFonts w:ascii="Arial" w:hAnsi="Arial" w:cs="Arial"/>
                <w:b/>
                <w:bCs/>
              </w:rPr>
              <w:t>Oggetto:</w:t>
            </w:r>
          </w:p>
        </w:tc>
        <w:tc>
          <w:tcPr>
            <w:tcW w:w="3831"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rPr>
                <w:rFonts w:ascii="Arial" w:hAnsi="Arial" w:cs="Arial"/>
                <w:b/>
              </w:rPr>
            </w:pPr>
            <w:r>
              <w:rPr>
                <w:rFonts w:ascii="Arial" w:hAnsi="Arial" w:cs="Arial"/>
              </w:rPr>
              <w:t>Aggiornamento procedura</w:t>
            </w:r>
          </w:p>
        </w:tc>
      </w:tr>
      <w:tr>
        <w:trPr>
          <w:cantSplit/>
          <w:trHeight w:val="266"/>
          <w:jc w:val="center"/>
        </w:trPr>
        <w:tc>
          <w:tcPr>
            <w:tcW w:w="2273" w:type="dxa"/>
            <w:vMerge/>
            <w:tcBorders>
              <w:left w:val="nil"/>
              <w:bottom w:val="nil"/>
              <w:right w:val="single" w:sz="4" w:space="0" w:color="365F91"/>
            </w:tcBorders>
            <w:tcMar>
              <w:left w:w="28" w:type="dxa"/>
              <w:right w:w="28" w:type="dxa"/>
            </w:tcMar>
          </w:tcPr>
          <w:p>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ind w:right="227"/>
              <w:jc w:val="right"/>
              <w:rPr>
                <w:rFonts w:ascii="Arial" w:hAnsi="Arial" w:cs="Arial"/>
                <w:b/>
                <w:bCs/>
              </w:rPr>
            </w:pPr>
            <w:r>
              <w:rPr>
                <w:rFonts w:ascii="Arial" w:hAnsi="Arial" w:cs="Arial"/>
                <w:b/>
                <w:bCs/>
              </w:rPr>
              <w:t>Versione:</w:t>
            </w:r>
          </w:p>
        </w:tc>
        <w:tc>
          <w:tcPr>
            <w:tcW w:w="3831"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rPr>
                <w:rFonts w:ascii="Arial" w:hAnsi="Arial" w:cs="Arial"/>
                <w:b/>
              </w:rPr>
            </w:pPr>
            <w:r>
              <w:rPr>
                <w:rFonts w:ascii="Arial" w:hAnsi="Arial" w:cs="Arial"/>
                <w:b/>
              </w:rPr>
              <w:t>2021.0.5 (Update)</w:t>
            </w:r>
          </w:p>
        </w:tc>
      </w:tr>
      <w:tr>
        <w:trPr>
          <w:cantSplit/>
          <w:trHeight w:val="266"/>
          <w:jc w:val="center"/>
        </w:trPr>
        <w:tc>
          <w:tcPr>
            <w:tcW w:w="2273" w:type="dxa"/>
            <w:vMerge/>
            <w:tcBorders>
              <w:left w:val="nil"/>
              <w:bottom w:val="nil"/>
              <w:right w:val="single" w:sz="4" w:space="0" w:color="365F91"/>
            </w:tcBorders>
            <w:tcMar>
              <w:left w:w="28" w:type="dxa"/>
              <w:right w:w="28" w:type="dxa"/>
            </w:tcMar>
          </w:tcPr>
          <w:p>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ind w:right="227"/>
              <w:jc w:val="right"/>
              <w:rPr>
                <w:rFonts w:ascii="Arial" w:hAnsi="Arial" w:cs="Arial"/>
                <w:b/>
                <w:bCs/>
              </w:rPr>
            </w:pPr>
            <w:r>
              <w:rPr>
                <w:rFonts w:ascii="Arial" w:hAnsi="Arial" w:cs="Arial"/>
                <w:b/>
                <w:bCs/>
              </w:rPr>
              <w:t>Data di rilascio:</w:t>
            </w:r>
          </w:p>
        </w:tc>
        <w:tc>
          <w:tcPr>
            <w:tcW w:w="3831"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rPr>
                <w:rFonts w:ascii="Arial" w:hAnsi="Arial" w:cs="Arial"/>
                <w:b/>
              </w:rPr>
            </w:pPr>
            <w:r>
              <w:rPr>
                <w:rFonts w:ascii="Arial" w:hAnsi="Arial" w:cs="Arial"/>
                <w:b/>
              </w:rPr>
              <w:t>06.05.2021</w:t>
            </w:r>
          </w:p>
        </w:tc>
      </w:tr>
      <w:tr>
        <w:trPr>
          <w:cantSplit/>
          <w:trHeight w:val="266"/>
          <w:jc w:val="center"/>
        </w:trPr>
        <w:tc>
          <w:tcPr>
            <w:tcW w:w="2273" w:type="dxa"/>
            <w:vMerge/>
            <w:tcBorders>
              <w:left w:val="nil"/>
              <w:bottom w:val="nil"/>
              <w:right w:val="single" w:sz="4" w:space="0" w:color="365F91"/>
            </w:tcBorders>
            <w:tcMar>
              <w:left w:w="28" w:type="dxa"/>
              <w:right w:w="28" w:type="dxa"/>
            </w:tcMar>
          </w:tcPr>
          <w:p>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ind w:right="227"/>
              <w:jc w:val="right"/>
              <w:rPr>
                <w:rFonts w:ascii="Arial" w:hAnsi="Arial" w:cs="Arial"/>
                <w:b/>
                <w:bCs/>
              </w:rPr>
            </w:pPr>
            <w:r>
              <w:rPr>
                <w:rFonts w:ascii="Arial" w:hAnsi="Arial" w:cs="Arial"/>
                <w:b/>
                <w:bCs/>
              </w:rPr>
              <w:t>Riferimento:</w:t>
            </w:r>
          </w:p>
        </w:tc>
        <w:tc>
          <w:tcPr>
            <w:tcW w:w="3831"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rPr>
                <w:rFonts w:ascii="Arial" w:hAnsi="Arial" w:cs="Arial"/>
                <w:b/>
              </w:rPr>
            </w:pPr>
            <w:r>
              <w:rPr>
                <w:rFonts w:ascii="Arial" w:hAnsi="Arial" w:cs="Arial"/>
                <w:b/>
              </w:rPr>
              <w:t>Implementazioni</w:t>
            </w:r>
          </w:p>
        </w:tc>
      </w:tr>
      <w:tr>
        <w:trPr>
          <w:cantSplit/>
          <w:trHeight w:val="266"/>
          <w:jc w:val="center"/>
        </w:trPr>
        <w:tc>
          <w:tcPr>
            <w:tcW w:w="2273" w:type="dxa"/>
            <w:vMerge/>
            <w:tcBorders>
              <w:left w:val="nil"/>
              <w:bottom w:val="nil"/>
              <w:right w:val="single" w:sz="4" w:space="0" w:color="365F91"/>
            </w:tcBorders>
            <w:tcMar>
              <w:left w:w="28" w:type="dxa"/>
              <w:right w:w="28" w:type="dxa"/>
            </w:tcMar>
          </w:tcPr>
          <w:p>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ind w:right="227"/>
              <w:jc w:val="right"/>
              <w:rPr>
                <w:rFonts w:ascii="Arial" w:hAnsi="Arial" w:cs="Arial"/>
                <w:b/>
                <w:bCs/>
              </w:rPr>
            </w:pPr>
            <w:r>
              <w:rPr>
                <w:rFonts w:ascii="Arial" w:hAnsi="Arial" w:cs="Arial"/>
                <w:b/>
                <w:bCs/>
              </w:rPr>
              <w:t>Classificazione:</w:t>
            </w:r>
          </w:p>
        </w:tc>
        <w:tc>
          <w:tcPr>
            <w:tcW w:w="3831"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rPr>
                <w:rFonts w:ascii="Arial" w:hAnsi="Arial" w:cs="Arial"/>
                <w:b/>
              </w:rPr>
            </w:pPr>
            <w:r>
              <w:rPr>
                <w:rFonts w:ascii="Arial" w:hAnsi="Arial" w:cs="Arial"/>
                <w:b/>
              </w:rPr>
              <w:t>Guida utente</w:t>
            </w:r>
          </w:p>
        </w:tc>
      </w:tr>
    </w:tbl>
    <w:p>
      <w:pPr>
        <w:pStyle w:val="Ignora"/>
      </w:pPr>
    </w:p>
    <w:p>
      <w:pPr>
        <w:pStyle w:val="Ignora"/>
      </w:pPr>
    </w:p>
    <w:p>
      <w:pPr>
        <w:pStyle w:val="WWNewPage"/>
      </w:pPr>
    </w:p>
    <w:p>
      <w:pPr>
        <w:pStyle w:val="Ignora"/>
        <w:pBdr>
          <w:top w:val="single" w:sz="12" w:space="1" w:color="1F497D" w:themeColor="text2"/>
          <w:left w:val="single" w:sz="12" w:space="4" w:color="1F497D" w:themeColor="text2"/>
          <w:bottom w:val="single" w:sz="18" w:space="1" w:color="1F497D" w:themeColor="text2"/>
          <w:right w:val="single" w:sz="18" w:space="4" w:color="1F497D" w:themeColor="text2"/>
        </w:pBdr>
        <w:jc w:val="center"/>
        <w:rPr>
          <w:b/>
          <w:i/>
          <w:spacing w:val="14"/>
          <w:sz w:val="28"/>
          <w:szCs w:val="28"/>
        </w:rPr>
      </w:pPr>
      <w:r>
        <w:rPr>
          <w:b/>
          <w:i/>
          <w:spacing w:val="14"/>
          <w:sz w:val="28"/>
          <w:szCs w:val="28"/>
        </w:rPr>
        <w:t>IMPLEMENTAZIONI</w:t>
      </w:r>
    </w:p>
    <w:p>
      <w:pPr>
        <w:pStyle w:val="Ignora"/>
      </w:pPr>
    </w:p>
    <w:p>
      <w:pPr>
        <w:pStyle w:val="Sommario1"/>
        <w:rPr>
          <w:rFonts w:asciiTheme="minorHAnsi" w:eastAsiaTheme="minorEastAsia" w:hAnsiTheme="minorHAnsi" w:cstheme="minorBidi"/>
          <w:b w:val="0"/>
          <w:color w:val="auto"/>
          <w:sz w:val="22"/>
          <w:szCs w:val="22"/>
        </w:rPr>
      </w:pPr>
      <w:r>
        <w:rPr>
          <w:rStyle w:val="Collegamentoipertestuale"/>
          <w:b w:val="0"/>
          <w:i/>
          <w:iCs/>
          <w:color w:val="auto"/>
          <w:spacing w:val="-20"/>
          <w:szCs w:val="28"/>
          <w:u w:val="none"/>
        </w:rPr>
        <w:fldChar w:fldCharType="begin"/>
      </w:r>
      <w:r>
        <w:rPr>
          <w:rStyle w:val="Collegamentoipertestuale"/>
          <w:b w:val="0"/>
          <w:i/>
          <w:iCs/>
          <w:color w:val="auto"/>
          <w:spacing w:val="-20"/>
          <w:szCs w:val="28"/>
          <w:u w:val="none"/>
        </w:rPr>
        <w:instrText xml:space="preserve"> TOC \h \z \t "TS-titolo-01;1;TS-titolo-04;4;TS-titolo-Comando;2;TS-titolo-05;5;WW_NormativaSoftware;3" </w:instrText>
      </w:r>
      <w:r>
        <w:rPr>
          <w:rStyle w:val="Collegamentoipertestuale"/>
          <w:b w:val="0"/>
          <w:i/>
          <w:iCs/>
          <w:color w:val="auto"/>
          <w:spacing w:val="-20"/>
          <w:szCs w:val="28"/>
          <w:u w:val="none"/>
        </w:rPr>
        <w:fldChar w:fldCharType="separate"/>
      </w:r>
      <w:hyperlink w:anchor="_Toc71218898" w:history="1">
        <w:r>
          <w:rPr>
            <w:rStyle w:val="Collegamentoipertestuale"/>
          </w:rPr>
          <w:t>Flusso Uniemens-CIG</w:t>
        </w:r>
        <w:r>
          <w:rPr>
            <w:webHidden/>
          </w:rPr>
          <w:tab/>
        </w:r>
        <w:r>
          <w:rPr>
            <w:webHidden/>
          </w:rPr>
          <w:fldChar w:fldCharType="begin"/>
        </w:r>
        <w:r>
          <w:rPr>
            <w:webHidden/>
          </w:rPr>
          <w:instrText xml:space="preserve"> PAGEREF _Toc71218898 \h </w:instrText>
        </w:r>
        <w:r>
          <w:rPr>
            <w:webHidden/>
          </w:rPr>
        </w:r>
        <w:r>
          <w:rPr>
            <w:webHidden/>
          </w:rPr>
          <w:fldChar w:fldCharType="separate"/>
        </w:r>
        <w:r>
          <w:rPr>
            <w:webHidden/>
          </w:rPr>
          <w:t>2</w:t>
        </w:r>
        <w:r>
          <w:rPr>
            <w:webHidden/>
          </w:rPr>
          <w:fldChar w:fldCharType="end"/>
        </w:r>
      </w:hyperlink>
    </w:p>
    <w:p>
      <w:pPr>
        <w:pStyle w:val="Sommario3"/>
        <w:rPr>
          <w:rFonts w:asciiTheme="minorHAnsi" w:eastAsiaTheme="minorEastAsia" w:hAnsiTheme="minorHAnsi" w:cstheme="minorBidi"/>
          <w:b w:val="0"/>
          <w:sz w:val="22"/>
          <w:szCs w:val="22"/>
        </w:rPr>
      </w:pPr>
      <w:hyperlink w:anchor="_Toc71218899" w:history="1">
        <w:r>
          <w:rPr>
            <w:rStyle w:val="Collegamentoipertestuale"/>
          </w:rPr>
          <w:t>Circolare INPS n. 62 del 14/04/2021</w:t>
        </w:r>
        <w:r>
          <w:rPr>
            <w:webHidden/>
          </w:rPr>
          <w:tab/>
        </w:r>
        <w:r>
          <w:rPr>
            <w:webHidden/>
          </w:rPr>
          <w:fldChar w:fldCharType="begin"/>
        </w:r>
        <w:r>
          <w:rPr>
            <w:webHidden/>
          </w:rPr>
          <w:instrText xml:space="preserve"> PAGEREF _Toc71218899 \h </w:instrText>
        </w:r>
        <w:r>
          <w:rPr>
            <w:webHidden/>
          </w:rPr>
        </w:r>
        <w:r>
          <w:rPr>
            <w:webHidden/>
          </w:rPr>
          <w:fldChar w:fldCharType="separate"/>
        </w:r>
        <w:r>
          <w:rPr>
            <w:webHidden/>
          </w:rPr>
          <w:t>2</w:t>
        </w:r>
        <w:r>
          <w:rPr>
            <w:webHidden/>
          </w:rPr>
          <w:fldChar w:fldCharType="end"/>
        </w:r>
      </w:hyperlink>
    </w:p>
    <w:p>
      <w:pPr>
        <w:pStyle w:val="Sommario4"/>
        <w:rPr>
          <w:rFonts w:asciiTheme="minorHAnsi" w:eastAsiaTheme="minorEastAsia" w:hAnsiTheme="minorHAnsi" w:cstheme="minorBidi"/>
          <w:i w:val="0"/>
          <w:sz w:val="22"/>
          <w:szCs w:val="22"/>
        </w:rPr>
      </w:pPr>
      <w:hyperlink w:anchor="_Toc71218900" w:history="1">
        <w:r>
          <w:rPr>
            <w:rStyle w:val="Collegamentoipertestuale"/>
          </w:rPr>
          <w:t>Caratteristiche del nuovo flusso “UniEmens-CIG”</w:t>
        </w:r>
        <w:r>
          <w:rPr>
            <w:webHidden/>
          </w:rPr>
          <w:tab/>
        </w:r>
        <w:r>
          <w:rPr>
            <w:webHidden/>
          </w:rPr>
          <w:fldChar w:fldCharType="begin"/>
        </w:r>
        <w:r>
          <w:rPr>
            <w:webHidden/>
          </w:rPr>
          <w:instrText xml:space="preserve"> PAGEREF _Toc71218900 \h </w:instrText>
        </w:r>
        <w:r>
          <w:rPr>
            <w:webHidden/>
          </w:rPr>
        </w:r>
        <w:r>
          <w:rPr>
            <w:webHidden/>
          </w:rPr>
          <w:fldChar w:fldCharType="separate"/>
        </w:r>
        <w:r>
          <w:rPr>
            <w:webHidden/>
          </w:rPr>
          <w:t>2</w:t>
        </w:r>
        <w:r>
          <w:rPr>
            <w:webHidden/>
          </w:rPr>
          <w:fldChar w:fldCharType="end"/>
        </w:r>
      </w:hyperlink>
    </w:p>
    <w:p>
      <w:pPr>
        <w:pStyle w:val="Sommario4"/>
        <w:rPr>
          <w:rFonts w:asciiTheme="minorHAnsi" w:eastAsiaTheme="minorEastAsia" w:hAnsiTheme="minorHAnsi" w:cstheme="minorBidi"/>
          <w:i w:val="0"/>
          <w:sz w:val="22"/>
          <w:szCs w:val="22"/>
        </w:rPr>
      </w:pPr>
      <w:hyperlink w:anchor="_Toc71218901" w:history="1">
        <w:r>
          <w:rPr>
            <w:rStyle w:val="Collegamentoipertestuale"/>
          </w:rPr>
          <w:t>Struttura e composizione del flusso Uniemens-CIG</w:t>
        </w:r>
        <w:r>
          <w:rPr>
            <w:webHidden/>
          </w:rPr>
          <w:tab/>
        </w:r>
        <w:r>
          <w:rPr>
            <w:webHidden/>
          </w:rPr>
          <w:fldChar w:fldCharType="begin"/>
        </w:r>
        <w:r>
          <w:rPr>
            <w:webHidden/>
          </w:rPr>
          <w:instrText xml:space="preserve"> PAGEREF _Toc71218901 \h </w:instrText>
        </w:r>
        <w:r>
          <w:rPr>
            <w:webHidden/>
          </w:rPr>
        </w:r>
        <w:r>
          <w:rPr>
            <w:webHidden/>
          </w:rPr>
          <w:fldChar w:fldCharType="separate"/>
        </w:r>
        <w:r>
          <w:rPr>
            <w:webHidden/>
          </w:rPr>
          <w:t>2</w:t>
        </w:r>
        <w:r>
          <w:rPr>
            <w:webHidden/>
          </w:rPr>
          <w:fldChar w:fldCharType="end"/>
        </w:r>
      </w:hyperlink>
    </w:p>
    <w:p>
      <w:pPr>
        <w:pStyle w:val="Sommario4"/>
        <w:rPr>
          <w:rFonts w:asciiTheme="minorHAnsi" w:eastAsiaTheme="minorEastAsia" w:hAnsiTheme="minorHAnsi" w:cstheme="minorBidi"/>
          <w:i w:val="0"/>
          <w:sz w:val="22"/>
          <w:szCs w:val="22"/>
        </w:rPr>
      </w:pPr>
      <w:hyperlink w:anchor="_Toc71218902" w:history="1">
        <w:r>
          <w:rPr>
            <w:rStyle w:val="Collegamentoipertestuale"/>
          </w:rPr>
          <w:t>Gestione e variazione del flusso UniEmens-CIG</w:t>
        </w:r>
        <w:r>
          <w:rPr>
            <w:webHidden/>
          </w:rPr>
          <w:tab/>
        </w:r>
        <w:r>
          <w:rPr>
            <w:webHidden/>
          </w:rPr>
          <w:fldChar w:fldCharType="begin"/>
        </w:r>
        <w:r>
          <w:rPr>
            <w:webHidden/>
          </w:rPr>
          <w:instrText xml:space="preserve"> PAGEREF _Toc71218902 \h </w:instrText>
        </w:r>
        <w:r>
          <w:rPr>
            <w:webHidden/>
          </w:rPr>
        </w:r>
        <w:r>
          <w:rPr>
            <w:webHidden/>
          </w:rPr>
          <w:fldChar w:fldCharType="separate"/>
        </w:r>
        <w:r>
          <w:rPr>
            <w:webHidden/>
          </w:rPr>
          <w:t>4</w:t>
        </w:r>
        <w:r>
          <w:rPr>
            <w:webHidden/>
          </w:rPr>
          <w:fldChar w:fldCharType="end"/>
        </w:r>
      </w:hyperlink>
    </w:p>
    <w:p>
      <w:pPr>
        <w:pStyle w:val="Sommario3"/>
        <w:rPr>
          <w:rFonts w:asciiTheme="minorHAnsi" w:eastAsiaTheme="minorEastAsia" w:hAnsiTheme="minorHAnsi" w:cstheme="minorBidi"/>
          <w:b w:val="0"/>
          <w:sz w:val="22"/>
          <w:szCs w:val="22"/>
        </w:rPr>
      </w:pPr>
      <w:hyperlink w:anchor="_Toc71218903" w:history="1">
        <w:r>
          <w:rPr>
            <w:rStyle w:val="Collegamentoipertestuale"/>
          </w:rPr>
          <w:t>Implementazioni Software</w:t>
        </w:r>
        <w:r>
          <w:rPr>
            <w:webHidden/>
          </w:rPr>
          <w:tab/>
        </w:r>
        <w:r>
          <w:rPr>
            <w:webHidden/>
          </w:rPr>
          <w:fldChar w:fldCharType="begin"/>
        </w:r>
        <w:r>
          <w:rPr>
            <w:webHidden/>
          </w:rPr>
          <w:instrText xml:space="preserve"> PAGEREF _Toc71218903 \h </w:instrText>
        </w:r>
        <w:r>
          <w:rPr>
            <w:webHidden/>
          </w:rPr>
        </w:r>
        <w:r>
          <w:rPr>
            <w:webHidden/>
          </w:rPr>
          <w:fldChar w:fldCharType="separate"/>
        </w:r>
        <w:r>
          <w:rPr>
            <w:webHidden/>
          </w:rPr>
          <w:t>5</w:t>
        </w:r>
        <w:r>
          <w:rPr>
            <w:webHidden/>
          </w:rPr>
          <w:fldChar w:fldCharType="end"/>
        </w:r>
      </w:hyperlink>
    </w:p>
    <w:p>
      <w:pPr>
        <w:pStyle w:val="Sommario4"/>
        <w:rPr>
          <w:rFonts w:asciiTheme="minorHAnsi" w:eastAsiaTheme="minorEastAsia" w:hAnsiTheme="minorHAnsi" w:cstheme="minorBidi"/>
          <w:i w:val="0"/>
          <w:sz w:val="22"/>
          <w:szCs w:val="22"/>
        </w:rPr>
      </w:pPr>
      <w:hyperlink w:anchor="_Toc71218904" w:history="1">
        <w:r>
          <w:rPr>
            <w:rStyle w:val="Collegamentoipertestuale"/>
          </w:rPr>
          <w:t>Denuncia Uniemens CIG</w:t>
        </w:r>
        <w:r>
          <w:rPr>
            <w:webHidden/>
          </w:rPr>
          <w:tab/>
        </w:r>
        <w:r>
          <w:rPr>
            <w:webHidden/>
          </w:rPr>
          <w:fldChar w:fldCharType="begin"/>
        </w:r>
        <w:r>
          <w:rPr>
            <w:webHidden/>
          </w:rPr>
          <w:instrText xml:space="preserve"> PAGEREF _Toc71218904 \h </w:instrText>
        </w:r>
        <w:r>
          <w:rPr>
            <w:webHidden/>
          </w:rPr>
        </w:r>
        <w:r>
          <w:rPr>
            <w:webHidden/>
          </w:rPr>
          <w:fldChar w:fldCharType="separate"/>
        </w:r>
        <w:r>
          <w:rPr>
            <w:webHidden/>
          </w:rPr>
          <w:t>6</w:t>
        </w:r>
        <w:r>
          <w:rPr>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71218905" w:history="1">
        <w:r>
          <w:rPr>
            <w:rStyle w:val="Collegamentoipertestuale"/>
            <w:noProof/>
          </w:rPr>
          <w:t>EME501 – Prelievo Uniemens-CIG</w:t>
        </w:r>
        <w:r>
          <w:rPr>
            <w:noProof/>
            <w:webHidden/>
          </w:rPr>
          <w:tab/>
        </w:r>
        <w:r>
          <w:rPr>
            <w:noProof/>
            <w:webHidden/>
          </w:rPr>
          <w:fldChar w:fldCharType="begin"/>
        </w:r>
        <w:r>
          <w:rPr>
            <w:noProof/>
            <w:webHidden/>
          </w:rPr>
          <w:instrText xml:space="preserve"> PAGEREF _Toc71218905 \h </w:instrText>
        </w:r>
        <w:r>
          <w:rPr>
            <w:noProof/>
            <w:webHidden/>
          </w:rPr>
        </w:r>
        <w:r>
          <w:rPr>
            <w:noProof/>
            <w:webHidden/>
          </w:rPr>
          <w:fldChar w:fldCharType="separate"/>
        </w:r>
        <w:r>
          <w:rPr>
            <w:noProof/>
            <w:webHidden/>
          </w:rPr>
          <w:t>6</w:t>
        </w:r>
        <w:r>
          <w:rPr>
            <w:noProof/>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71218906" w:history="1">
        <w:r>
          <w:rPr>
            <w:rStyle w:val="Collegamentoipertestuale"/>
            <w:noProof/>
          </w:rPr>
          <w:t>EME502 – Gestione Uniemens-CIG</w:t>
        </w:r>
        <w:r>
          <w:rPr>
            <w:noProof/>
            <w:webHidden/>
          </w:rPr>
          <w:tab/>
        </w:r>
        <w:r>
          <w:rPr>
            <w:noProof/>
            <w:webHidden/>
          </w:rPr>
          <w:fldChar w:fldCharType="begin"/>
        </w:r>
        <w:r>
          <w:rPr>
            <w:noProof/>
            <w:webHidden/>
          </w:rPr>
          <w:instrText xml:space="preserve"> PAGEREF _Toc71218906 \h </w:instrText>
        </w:r>
        <w:r>
          <w:rPr>
            <w:noProof/>
            <w:webHidden/>
          </w:rPr>
        </w:r>
        <w:r>
          <w:rPr>
            <w:noProof/>
            <w:webHidden/>
          </w:rPr>
          <w:fldChar w:fldCharType="separate"/>
        </w:r>
        <w:r>
          <w:rPr>
            <w:noProof/>
            <w:webHidden/>
          </w:rPr>
          <w:t>7</w:t>
        </w:r>
        <w:r>
          <w:rPr>
            <w:noProof/>
            <w:webHidden/>
          </w:rPr>
          <w:fldChar w:fldCharType="end"/>
        </w:r>
      </w:hyperlink>
    </w:p>
    <w:p>
      <w:pPr>
        <w:pStyle w:val="Sommario4"/>
        <w:rPr>
          <w:rFonts w:asciiTheme="minorHAnsi" w:eastAsiaTheme="minorEastAsia" w:hAnsiTheme="minorHAnsi" w:cstheme="minorBidi"/>
          <w:i w:val="0"/>
          <w:sz w:val="22"/>
          <w:szCs w:val="22"/>
        </w:rPr>
      </w:pPr>
      <w:hyperlink w:anchor="_Toc71218907" w:history="1">
        <w:r>
          <w:rPr>
            <w:rStyle w:val="Collegamentoipertestuale"/>
          </w:rPr>
          <w:t>Telematico Uniemens-CIG</w:t>
        </w:r>
        <w:r>
          <w:rPr>
            <w:webHidden/>
          </w:rPr>
          <w:tab/>
        </w:r>
        <w:r>
          <w:rPr>
            <w:webHidden/>
          </w:rPr>
          <w:fldChar w:fldCharType="begin"/>
        </w:r>
        <w:r>
          <w:rPr>
            <w:webHidden/>
          </w:rPr>
          <w:instrText xml:space="preserve"> PAGEREF _Toc71218907 \h </w:instrText>
        </w:r>
        <w:r>
          <w:rPr>
            <w:webHidden/>
          </w:rPr>
        </w:r>
        <w:r>
          <w:rPr>
            <w:webHidden/>
          </w:rPr>
          <w:fldChar w:fldCharType="separate"/>
        </w:r>
        <w:r>
          <w:rPr>
            <w:webHidden/>
          </w:rPr>
          <w:t>11</w:t>
        </w:r>
        <w:r>
          <w:rPr>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71218908" w:history="1">
        <w:r>
          <w:rPr>
            <w:rStyle w:val="Collegamentoipertestuale"/>
            <w:noProof/>
          </w:rPr>
          <w:t>EME601 – Generazioni dati</w:t>
        </w:r>
        <w:r>
          <w:rPr>
            <w:noProof/>
            <w:webHidden/>
          </w:rPr>
          <w:tab/>
        </w:r>
        <w:r>
          <w:rPr>
            <w:noProof/>
            <w:webHidden/>
          </w:rPr>
          <w:fldChar w:fldCharType="begin"/>
        </w:r>
        <w:r>
          <w:rPr>
            <w:noProof/>
            <w:webHidden/>
          </w:rPr>
          <w:instrText xml:space="preserve"> PAGEREF _Toc71218908 \h </w:instrText>
        </w:r>
        <w:r>
          <w:rPr>
            <w:noProof/>
            <w:webHidden/>
          </w:rPr>
        </w:r>
        <w:r>
          <w:rPr>
            <w:noProof/>
            <w:webHidden/>
          </w:rPr>
          <w:fldChar w:fldCharType="separate"/>
        </w:r>
        <w:r>
          <w:rPr>
            <w:noProof/>
            <w:webHidden/>
          </w:rPr>
          <w:t>11</w:t>
        </w:r>
        <w:r>
          <w:rPr>
            <w:noProof/>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71218909" w:history="1">
        <w:r>
          <w:rPr>
            <w:rStyle w:val="Collegamentoipertestuale"/>
            <w:noProof/>
          </w:rPr>
          <w:t>EME602 – Riepilogo Spedizioni</w:t>
        </w:r>
        <w:r>
          <w:rPr>
            <w:noProof/>
            <w:webHidden/>
          </w:rPr>
          <w:tab/>
        </w:r>
        <w:r>
          <w:rPr>
            <w:noProof/>
            <w:webHidden/>
          </w:rPr>
          <w:fldChar w:fldCharType="begin"/>
        </w:r>
        <w:r>
          <w:rPr>
            <w:noProof/>
            <w:webHidden/>
          </w:rPr>
          <w:instrText xml:space="preserve"> PAGEREF _Toc71218909 \h </w:instrText>
        </w:r>
        <w:r>
          <w:rPr>
            <w:noProof/>
            <w:webHidden/>
          </w:rPr>
        </w:r>
        <w:r>
          <w:rPr>
            <w:noProof/>
            <w:webHidden/>
          </w:rPr>
          <w:fldChar w:fldCharType="separate"/>
        </w:r>
        <w:r>
          <w:rPr>
            <w:noProof/>
            <w:webHidden/>
          </w:rPr>
          <w:t>12</w:t>
        </w:r>
        <w:r>
          <w:rPr>
            <w:noProof/>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71218910" w:history="1">
        <w:r>
          <w:rPr>
            <w:rStyle w:val="Collegamentoipertestuale"/>
            <w:noProof/>
          </w:rPr>
          <w:t>EME603 – Annulla ultima spedizione</w:t>
        </w:r>
        <w:r>
          <w:rPr>
            <w:noProof/>
            <w:webHidden/>
          </w:rPr>
          <w:tab/>
        </w:r>
        <w:r>
          <w:rPr>
            <w:noProof/>
            <w:webHidden/>
          </w:rPr>
          <w:fldChar w:fldCharType="begin"/>
        </w:r>
        <w:r>
          <w:rPr>
            <w:noProof/>
            <w:webHidden/>
          </w:rPr>
          <w:instrText xml:space="preserve"> PAGEREF _Toc71218910 \h </w:instrText>
        </w:r>
        <w:r>
          <w:rPr>
            <w:noProof/>
            <w:webHidden/>
          </w:rPr>
        </w:r>
        <w:r>
          <w:rPr>
            <w:noProof/>
            <w:webHidden/>
          </w:rPr>
          <w:fldChar w:fldCharType="separate"/>
        </w:r>
        <w:r>
          <w:rPr>
            <w:noProof/>
            <w:webHidden/>
          </w:rPr>
          <w:t>12</w:t>
        </w:r>
        <w:r>
          <w:rPr>
            <w:noProof/>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71218911" w:history="1">
        <w:r>
          <w:rPr>
            <w:rStyle w:val="Collegamentoipertestuale"/>
            <w:noProof/>
          </w:rPr>
          <w:t>EME604 – Stampa riepilogo spediz.</w:t>
        </w:r>
        <w:r>
          <w:rPr>
            <w:noProof/>
            <w:webHidden/>
          </w:rPr>
          <w:tab/>
        </w:r>
        <w:r>
          <w:rPr>
            <w:noProof/>
            <w:webHidden/>
          </w:rPr>
          <w:fldChar w:fldCharType="begin"/>
        </w:r>
        <w:r>
          <w:rPr>
            <w:noProof/>
            <w:webHidden/>
          </w:rPr>
          <w:instrText xml:space="preserve"> PAGEREF _Toc71218911 \h </w:instrText>
        </w:r>
        <w:r>
          <w:rPr>
            <w:noProof/>
            <w:webHidden/>
          </w:rPr>
        </w:r>
        <w:r>
          <w:rPr>
            <w:noProof/>
            <w:webHidden/>
          </w:rPr>
          <w:fldChar w:fldCharType="separate"/>
        </w:r>
        <w:r>
          <w:rPr>
            <w:noProof/>
            <w:webHidden/>
          </w:rPr>
          <w:t>13</w:t>
        </w:r>
        <w:r>
          <w:rPr>
            <w:noProof/>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71218912" w:history="1">
        <w:r>
          <w:rPr>
            <w:rStyle w:val="Collegamentoipertestuale"/>
            <w:noProof/>
          </w:rPr>
          <w:t>EME605 – Ricerca spediz. Azienda</w:t>
        </w:r>
        <w:r>
          <w:rPr>
            <w:noProof/>
            <w:webHidden/>
          </w:rPr>
          <w:tab/>
        </w:r>
        <w:r>
          <w:rPr>
            <w:noProof/>
            <w:webHidden/>
          </w:rPr>
          <w:fldChar w:fldCharType="begin"/>
        </w:r>
        <w:r>
          <w:rPr>
            <w:noProof/>
            <w:webHidden/>
          </w:rPr>
          <w:instrText xml:space="preserve"> PAGEREF _Toc71218912 \h </w:instrText>
        </w:r>
        <w:r>
          <w:rPr>
            <w:noProof/>
            <w:webHidden/>
          </w:rPr>
        </w:r>
        <w:r>
          <w:rPr>
            <w:noProof/>
            <w:webHidden/>
          </w:rPr>
          <w:fldChar w:fldCharType="separate"/>
        </w:r>
        <w:r>
          <w:rPr>
            <w:noProof/>
            <w:webHidden/>
          </w:rPr>
          <w:t>13</w:t>
        </w:r>
        <w:r>
          <w:rPr>
            <w:noProof/>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71218913" w:history="1">
        <w:r>
          <w:rPr>
            <w:rStyle w:val="Collegamentoipertestuale"/>
            <w:noProof/>
          </w:rPr>
          <w:t>EME606 – Esporta XML CIG</w:t>
        </w:r>
        <w:r>
          <w:rPr>
            <w:noProof/>
            <w:webHidden/>
          </w:rPr>
          <w:tab/>
        </w:r>
        <w:r>
          <w:rPr>
            <w:noProof/>
            <w:webHidden/>
          </w:rPr>
          <w:fldChar w:fldCharType="begin"/>
        </w:r>
        <w:r>
          <w:rPr>
            <w:noProof/>
            <w:webHidden/>
          </w:rPr>
          <w:instrText xml:space="preserve"> PAGEREF _Toc71218913 \h </w:instrText>
        </w:r>
        <w:r>
          <w:rPr>
            <w:noProof/>
            <w:webHidden/>
          </w:rPr>
        </w:r>
        <w:r>
          <w:rPr>
            <w:noProof/>
            <w:webHidden/>
          </w:rPr>
          <w:fldChar w:fldCharType="separate"/>
        </w:r>
        <w:r>
          <w:rPr>
            <w:noProof/>
            <w:webHidden/>
          </w:rPr>
          <w:t>13</w:t>
        </w:r>
        <w:r>
          <w:rPr>
            <w:noProof/>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71218914" w:history="1">
        <w:r>
          <w:rPr>
            <w:rStyle w:val="Collegamentoipertestuale"/>
            <w:noProof/>
          </w:rPr>
          <w:t>E</w:t>
        </w:r>
        <w:r>
          <w:rPr>
            <w:rStyle w:val="Collegamentoipertestuale"/>
            <w:noProof/>
          </w:rPr>
          <w:t>M</w:t>
        </w:r>
        <w:r>
          <w:rPr>
            <w:rStyle w:val="Collegamentoipertestuale"/>
            <w:noProof/>
          </w:rPr>
          <w:t>E607 – Importazione file xml Uniemens-CIG</w:t>
        </w:r>
        <w:r>
          <w:rPr>
            <w:noProof/>
            <w:webHidden/>
          </w:rPr>
          <w:tab/>
        </w:r>
        <w:r>
          <w:rPr>
            <w:noProof/>
            <w:webHidden/>
          </w:rPr>
          <w:fldChar w:fldCharType="begin"/>
        </w:r>
        <w:r>
          <w:rPr>
            <w:noProof/>
            <w:webHidden/>
          </w:rPr>
          <w:instrText xml:space="preserve"> PAGEREF _Toc71218914 \h </w:instrText>
        </w:r>
        <w:r>
          <w:rPr>
            <w:noProof/>
            <w:webHidden/>
          </w:rPr>
        </w:r>
        <w:r>
          <w:rPr>
            <w:noProof/>
            <w:webHidden/>
          </w:rPr>
          <w:fldChar w:fldCharType="separate"/>
        </w:r>
        <w:r>
          <w:rPr>
            <w:noProof/>
            <w:webHidden/>
          </w:rPr>
          <w:t>14</w:t>
        </w:r>
        <w:r>
          <w:rPr>
            <w:noProof/>
            <w:webHidden/>
          </w:rPr>
          <w:fldChar w:fldCharType="end"/>
        </w:r>
      </w:hyperlink>
    </w:p>
    <w:p>
      <w:pPr>
        <w:pStyle w:val="corpoAltF"/>
        <w:rPr>
          <w:rStyle w:val="Collegamentoipertestuale"/>
          <w:i/>
          <w:iCs/>
          <w:noProof/>
          <w:color w:val="auto"/>
          <w:spacing w:val="-20"/>
          <w:szCs w:val="28"/>
          <w:u w:val="none"/>
        </w:rPr>
      </w:pPr>
      <w:r>
        <w:rPr>
          <w:rStyle w:val="Collegamentoipertestuale"/>
          <w:b/>
          <w:i/>
          <w:iCs/>
          <w:noProof/>
          <w:color w:val="auto"/>
          <w:spacing w:val="-20"/>
          <w:szCs w:val="28"/>
          <w:u w:val="none"/>
        </w:rPr>
        <w:fldChar w:fldCharType="end"/>
      </w:r>
    </w:p>
    <w:p>
      <w:pPr>
        <w:pStyle w:val="Ignora"/>
        <w:rPr>
          <w:rStyle w:val="Collegamentoipertestuale"/>
          <w:color w:val="auto"/>
          <w:u w:val="none"/>
        </w:rPr>
      </w:pPr>
    </w:p>
    <w:p>
      <w:pPr>
        <w:pStyle w:val="Ignora"/>
        <w:rPr>
          <w:rStyle w:val="Collegamentoipertestuale"/>
          <w:color w:val="auto"/>
          <w:u w:val="none"/>
        </w:rPr>
      </w:pPr>
    </w:p>
    <w:p>
      <w:pPr>
        <w:pStyle w:val="Ignora"/>
        <w:rPr>
          <w:rStyle w:val="Collegamentoipertestuale"/>
          <w:color w:val="auto"/>
          <w:u w:val="none"/>
        </w:rPr>
      </w:pPr>
    </w:p>
    <w:p>
      <w:pPr>
        <w:pStyle w:val="corpoAltF"/>
      </w:pPr>
    </w:p>
    <w:p>
      <w:pPr>
        <w:pStyle w:val="corpoAltF"/>
        <w:sectPr>
          <w:headerReference w:type="default" r:id="rId9"/>
          <w:footerReference w:type="default" r:id="rId10"/>
          <w:pgSz w:w="11907" w:h="16840" w:code="9"/>
          <w:pgMar w:top="567" w:right="1134" w:bottom="1134" w:left="1134" w:header="397" w:footer="397" w:gutter="0"/>
          <w:pgNumType w:chapStyle="1" w:chapSep="period"/>
          <w:cols w:space="720"/>
          <w:noEndnote/>
        </w:sectPr>
      </w:pPr>
    </w:p>
    <w:bookmarkEnd w:id="0"/>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85"/>
        <w:gridCol w:w="2854"/>
      </w:tblGrid>
      <w:tr>
        <w:trPr>
          <w:trHeight w:val="558"/>
        </w:trPr>
        <w:tc>
          <w:tcPr>
            <w:tcW w:w="6874" w:type="dxa"/>
            <w:tcBorders>
              <w:top w:val="nil"/>
              <w:left w:val="nil"/>
              <w:bottom w:val="single" w:sz="12" w:space="0" w:color="auto"/>
              <w:right w:val="nil"/>
            </w:tcBorders>
            <w:vAlign w:val="center"/>
          </w:tcPr>
          <w:p>
            <w:pPr>
              <w:pStyle w:val="TS-titolo-01"/>
              <w:outlineLvl w:val="0"/>
            </w:pPr>
            <w:bookmarkStart w:id="3" w:name="_Toc71218898"/>
            <w:r>
              <w:t>Flusso Uniemens-CIG</w:t>
            </w:r>
            <w:bookmarkEnd w:id="3"/>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CorpoAltF0"/>
      </w:pPr>
    </w:p>
    <w:tbl>
      <w:tblPr>
        <w:tblW w:w="0" w:type="auto"/>
        <w:tblBorders>
          <w:top w:val="single" w:sz="4" w:space="0" w:color="auto"/>
          <w:left w:val="single" w:sz="4" w:space="0" w:color="auto"/>
          <w:bottom w:val="single" w:sz="4" w:space="0" w:color="auto"/>
          <w:right w:val="single" w:sz="4" w:space="0" w:color="auto"/>
        </w:tblBorders>
        <w:shd w:val="clear" w:color="auto" w:fill="FFFFFF"/>
        <w:tblLook w:val="04A0" w:firstRow="1" w:lastRow="0" w:firstColumn="1" w:lastColumn="0" w:noHBand="0" w:noVBand="1"/>
      </w:tblPr>
      <w:tblGrid>
        <w:gridCol w:w="964"/>
        <w:gridCol w:w="8665"/>
      </w:tblGrid>
      <w:tr>
        <w:tc>
          <w:tcPr>
            <w:tcW w:w="970" w:type="dxa"/>
            <w:shd w:val="clear" w:color="auto" w:fill="FFFFFF"/>
          </w:tcPr>
          <w:p>
            <w:pPr>
              <w:pStyle w:val="CorpoAltF0"/>
              <w:spacing w:before="40" w:after="40"/>
              <w:jc w:val="center"/>
              <w:rPr>
                <w:rFonts w:cs="Arial"/>
              </w:rPr>
            </w:pPr>
            <w:r>
              <w:rPr>
                <w:noProof/>
              </w:rPr>
              <w:drawing>
                <wp:inline distT="0" distB="0" distL="0" distR="0">
                  <wp:extent cx="315595" cy="231775"/>
                  <wp:effectExtent l="0" t="0" r="8255" b="0"/>
                  <wp:docPr id="2" name="Immagine 2" descr="Regalami-un-libr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galami-un-libro[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595" cy="231775"/>
                          </a:xfrm>
                          <a:prstGeom prst="rect">
                            <a:avLst/>
                          </a:prstGeom>
                          <a:noFill/>
                          <a:ln>
                            <a:noFill/>
                          </a:ln>
                        </pic:spPr>
                      </pic:pic>
                    </a:graphicData>
                  </a:graphic>
                </wp:inline>
              </w:drawing>
            </w:r>
          </w:p>
        </w:tc>
        <w:tc>
          <w:tcPr>
            <w:tcW w:w="8839" w:type="dxa"/>
            <w:tcBorders>
              <w:top w:val="single" w:sz="4" w:space="0" w:color="auto"/>
              <w:bottom w:val="single" w:sz="4" w:space="0" w:color="auto"/>
            </w:tcBorders>
            <w:shd w:val="clear" w:color="auto" w:fill="95B3D7"/>
          </w:tcPr>
          <w:p>
            <w:pPr>
              <w:pStyle w:val="WWNormativaSoftware"/>
            </w:pPr>
            <w:bookmarkStart w:id="4" w:name="_Toc71218899"/>
            <w:r>
              <w:t>Circolare INPS n. 62 del 14/04/2021</w:t>
            </w:r>
            <w:bookmarkEnd w:id="4"/>
          </w:p>
        </w:tc>
      </w:tr>
    </w:tbl>
    <w:p>
      <w:pPr>
        <w:pStyle w:val="TS-titolo-04"/>
      </w:pPr>
      <w:bookmarkStart w:id="5" w:name="_Toc71218900"/>
      <w:r>
        <w:t>Caratteristiche del nuovo flusso “UniEmens-CIG”</w:t>
      </w:r>
      <w:bookmarkEnd w:id="5"/>
    </w:p>
    <w:p>
      <w:pPr>
        <w:pStyle w:val="CorpoAltF0"/>
        <w:spacing w:before="120"/>
      </w:pPr>
      <w:r>
        <w:t>Il tracciato “</w:t>
      </w:r>
      <w:proofErr w:type="spellStart"/>
      <w:r>
        <w:t>UniEmens-Cig</w:t>
      </w:r>
      <w:proofErr w:type="spellEnd"/>
      <w:r>
        <w:t xml:space="preserve">” a pagamento diretto coincide sostanzialmente con il formato dell’UniEmens standard utilizzato per la CIG a conguaglio, mantenendo, quindi, la stessa struttura di esposizione dei dati. </w:t>
      </w:r>
    </w:p>
    <w:p>
      <w:pPr>
        <w:pStyle w:val="CorpoAltF0"/>
        <w:spacing w:before="60"/>
      </w:pPr>
      <w:r>
        <w:t>I flussi per il pagamento diretto possono essere trasmessi senza la necessità di attendere l’autorizzazione, indicando il Ticket associato alla domanda. Pertanto, la richiesta di pagamento può essere trasmessa dal datore di lavoro anche prima del rilascio dell’autorizzazione stessa. In ogni caso, il pagamento verrà comunque effettuato successivamente al rilascio dell’autorizzazione.</w:t>
      </w:r>
    </w:p>
    <w:p>
      <w:pPr>
        <w:pStyle w:val="CorpoAltF0"/>
        <w:spacing w:before="60"/>
      </w:pPr>
      <w:r>
        <w:t>Alle denunce “</w:t>
      </w:r>
      <w:proofErr w:type="spellStart"/>
      <w:r>
        <w:t>UniEmens-Cig</w:t>
      </w:r>
      <w:proofErr w:type="spellEnd"/>
      <w:r>
        <w:t>” a pagamento diretto viene applicato il medesimo processo previsto per le prestazioni a conguaglio, con conseguente uniformità dei controlli e maggiore facilità nell’incrocio dei dati tra “</w:t>
      </w:r>
      <w:proofErr w:type="spellStart"/>
      <w:r>
        <w:t>UniEmens-Cig</w:t>
      </w:r>
      <w:proofErr w:type="spellEnd"/>
      <w:r>
        <w:t>” a pagamento diretto e UniEmens ordinari, laddove sussista la necessità per il datore di lavoro, con riferimento alla stessa prestazione, di inviare entrambi i flussi, come accade in caso di riduzioni dell’attività lavorativa non a zero ore.</w:t>
      </w:r>
    </w:p>
    <w:p>
      <w:pPr>
        <w:pStyle w:val="CorpoAltF0"/>
        <w:spacing w:before="60"/>
      </w:pPr>
      <w:r>
        <w:t xml:space="preserve">L’utilizzo di un unico formato per la trasmissione dei dati consente di poter utilizzare, anche per il pagamento diretto, le informazioni del calendario giornaliero, con l’esposizione del Dato orario, del Codice evento e del Ticket. Risulta, dunque, più flessibile la rappresentazione dell’articolazione dell’attività lavorativa, considerato che, in virtù del calendario giornaliero, non occorrono forzature nel caso di attività lavorativa svolta nelle giornate festive. </w:t>
      </w:r>
    </w:p>
    <w:p>
      <w:pPr>
        <w:pStyle w:val="CorpoAltF0"/>
        <w:spacing w:before="60"/>
      </w:pPr>
      <w:r>
        <w:t>Con l’invio del flusso “</w:t>
      </w:r>
      <w:proofErr w:type="spellStart"/>
      <w:r>
        <w:t>UniEmens-Cig</w:t>
      </w:r>
      <w:proofErr w:type="spellEnd"/>
      <w:r>
        <w:t>” è possibile trasmettere un unico flusso che contiene al suo interno i dati riferiti ai lavoratori di più aziende.</w:t>
      </w:r>
    </w:p>
    <w:p>
      <w:pPr>
        <w:pStyle w:val="CorpoAltF0"/>
        <w:spacing w:before="60"/>
      </w:pPr>
      <w:r>
        <w:t>Ai fini della compilazione dei flussi “</w:t>
      </w:r>
      <w:proofErr w:type="spellStart"/>
      <w:r>
        <w:t>UniEmens-Cig</w:t>
      </w:r>
      <w:proofErr w:type="spellEnd"/>
      <w:r>
        <w:t>”, si evidenzia che il Ticket richiesto per la gestione dei pagamenti diretti tramite tale flusso sarà un Ticket tipizzato per tali pagamenti. In fase di accoglienza verranno applicati controlli di coerenza del Ticket dichiarato nel flusso. Il Ticket tipizzato richiesto per il pagamento diretto potrà essere dichiarato unicamente nei flussi “</w:t>
      </w:r>
      <w:proofErr w:type="spellStart"/>
      <w:r>
        <w:t>UniEmens-Cig</w:t>
      </w:r>
      <w:proofErr w:type="spellEnd"/>
      <w:r>
        <w:t>”. Di conseguenza, un Ticket tipizzato per il pagamento diretto produrrà un errore bloccante se indicato in un flusso ordinario e un Ticket non tipizzato per il pagamento diretto produrrà un errore se indicato in un flusso “</w:t>
      </w:r>
      <w:proofErr w:type="spellStart"/>
      <w:r>
        <w:t>UniEmens-Cig</w:t>
      </w:r>
      <w:proofErr w:type="spellEnd"/>
      <w:r>
        <w:t>”.</w:t>
      </w:r>
    </w:p>
    <w:p>
      <w:pPr>
        <w:pStyle w:val="CorpoAltF0"/>
        <w:spacing w:before="60"/>
      </w:pPr>
      <w:r>
        <w:t>Se nel mese sono presenti periodi (giorni) riferiti a eventi (Ticket) diversi, tale circostanza troverà riscontro sul calendario della denuncia “</w:t>
      </w:r>
      <w:proofErr w:type="spellStart"/>
      <w:r>
        <w:t>UniEmens-Cig</w:t>
      </w:r>
      <w:proofErr w:type="spellEnd"/>
      <w:r>
        <w:t>” (unica per quel mese) dove su ciascun giorno verrà indicato l’evento con il relativo Ticket (elemento &lt;</w:t>
      </w:r>
      <w:proofErr w:type="spellStart"/>
      <w:r>
        <w:t>IdentEventoCIG</w:t>
      </w:r>
      <w:proofErr w:type="spellEnd"/>
      <w:r>
        <w:t>&gt;), così come già avviene per la CIG a conguaglio.</w:t>
      </w:r>
    </w:p>
    <w:p>
      <w:pPr>
        <w:pStyle w:val="CorpoAltF0"/>
      </w:pPr>
    </w:p>
    <w:p>
      <w:pPr>
        <w:pStyle w:val="TS-titolo-04"/>
      </w:pPr>
      <w:bookmarkStart w:id="6" w:name="_Toc71218901"/>
      <w:bookmarkStart w:id="7" w:name="_Hlk71187223"/>
      <w:r>
        <w:t>Struttura e composizione del flusso Uniemens-CIG</w:t>
      </w:r>
      <w:bookmarkEnd w:id="6"/>
    </w:p>
    <w:bookmarkEnd w:id="7"/>
    <w:p>
      <w:pPr>
        <w:pStyle w:val="CorpoAltF0"/>
        <w:spacing w:before="120"/>
      </w:pPr>
      <w:r>
        <w:t>Il flusso Uniemens-CIG si basa sulle strutture standard di Uniemens in particolare sulla sezione &lt;</w:t>
      </w:r>
      <w:proofErr w:type="spellStart"/>
      <w:r>
        <w:rPr>
          <w:b/>
          <w:bCs/>
          <w:i/>
          <w:iCs/>
        </w:rPr>
        <w:t>PosContributiva</w:t>
      </w:r>
      <w:proofErr w:type="spellEnd"/>
      <w:r>
        <w:t>&gt; che viene specializzata per il trasporto della nuova tipologia di denuncia per il pagamento diretto. A tale scopo la sezione &lt;</w:t>
      </w:r>
      <w:proofErr w:type="spellStart"/>
      <w:r>
        <w:rPr>
          <w:b/>
          <w:bCs/>
          <w:i/>
          <w:iCs/>
        </w:rPr>
        <w:t>PosContributiva</w:t>
      </w:r>
      <w:proofErr w:type="spellEnd"/>
      <w:r>
        <w:t xml:space="preserve">&gt; viene caratterizzata mediante la valorizzazione dell’attributo </w:t>
      </w:r>
      <w:r>
        <w:rPr>
          <w:b/>
          <w:bCs/>
        </w:rPr>
        <w:t>Composizione</w:t>
      </w:r>
      <w:r>
        <w:t xml:space="preserve"> che assumerà il valore “</w:t>
      </w:r>
      <w:r>
        <w:rPr>
          <w:b/>
          <w:bCs/>
        </w:rPr>
        <w:t>41</w:t>
      </w:r>
      <w:r>
        <w:t>”.</w:t>
      </w:r>
    </w:p>
    <w:p>
      <w:pPr>
        <w:pStyle w:val="CorpoAltF0"/>
        <w:spacing w:before="60"/>
      </w:pPr>
      <w:r>
        <w:t xml:space="preserve">Per il flusso </w:t>
      </w:r>
      <w:proofErr w:type="spellStart"/>
      <w:r>
        <w:t>Uniemens</w:t>
      </w:r>
      <w:proofErr w:type="spellEnd"/>
      <w:r>
        <w:t>-CIG l’elemento &lt;</w:t>
      </w:r>
      <w:proofErr w:type="spellStart"/>
      <w:r>
        <w:rPr>
          <w:b/>
          <w:bCs/>
          <w:i/>
          <w:iCs/>
        </w:rPr>
        <w:t>PosContributiva</w:t>
      </w:r>
      <w:proofErr w:type="spellEnd"/>
      <w:r>
        <w:t>&gt; (con Composizione = 41) si configura come un “contenitore” di denunce individuali (elemento &lt;</w:t>
      </w:r>
      <w:r>
        <w:rPr>
          <w:i/>
          <w:iCs/>
        </w:rPr>
        <w:t>DenunciaIndividuale</w:t>
      </w:r>
      <w:r>
        <w:t>&gt;). Inoltre si caratterizza per l’assenza della sezione &lt;</w:t>
      </w:r>
      <w:proofErr w:type="spellStart"/>
      <w:r>
        <w:rPr>
          <w:i/>
          <w:iCs/>
        </w:rPr>
        <w:t>DenunciaAziendale</w:t>
      </w:r>
      <w:proofErr w:type="spellEnd"/>
      <w:r>
        <w:t>&gt;, che non dovrà essere dichiarata.</w:t>
      </w:r>
    </w:p>
    <w:p>
      <w:pPr>
        <w:pStyle w:val="CorpoAltF0"/>
        <w:spacing w:before="60"/>
      </w:pPr>
      <w:r>
        <w:t>I dati dei lavoratori per i quali vengono richieste le prestazioni a pagamento diretto vengono dichiarati utilizzando i campi di &lt;</w:t>
      </w:r>
      <w:proofErr w:type="spellStart"/>
      <w:r>
        <w:rPr>
          <w:b/>
          <w:bCs/>
        </w:rPr>
        <w:t>DenunciaIndividuale</w:t>
      </w:r>
      <w:proofErr w:type="spellEnd"/>
      <w:r>
        <w:t>&gt; di &lt;</w:t>
      </w:r>
      <w:proofErr w:type="spellStart"/>
      <w:r>
        <w:rPr>
          <w:i/>
          <w:iCs/>
        </w:rPr>
        <w:t>PosContributiva</w:t>
      </w:r>
      <w:proofErr w:type="spellEnd"/>
      <w:r>
        <w:t>&gt;, con particolare riferimento agli elementi le cui informazioni trovano una corrispondenza sull’SR41, e necessari per la gestione del processo di pagamento diretto.</w:t>
      </w:r>
    </w:p>
    <w:p>
      <w:pPr>
        <w:pStyle w:val="CorpoAltF0"/>
        <w:spacing w:before="60"/>
      </w:pPr>
      <w:r>
        <w:t>La predisposizione del flusso Uniemens-CIG per il pagamento diretto prevede l’inserimento degli elementi &lt;</w:t>
      </w:r>
      <w:proofErr w:type="spellStart"/>
      <w:r>
        <w:rPr>
          <w:i/>
          <w:iCs/>
        </w:rPr>
        <w:t>PosContributiva</w:t>
      </w:r>
      <w:proofErr w:type="spellEnd"/>
      <w:r>
        <w:t>&gt; (qualificati con Composizione = “41”) dentro la struttura tipica del flusso Uniemens, a partire dalla radice del flusso &lt;</w:t>
      </w:r>
      <w:proofErr w:type="spellStart"/>
      <w:r>
        <w:rPr>
          <w:i/>
          <w:iCs/>
        </w:rPr>
        <w:t>DenunceMensili</w:t>
      </w:r>
      <w:proofErr w:type="spellEnd"/>
      <w:r>
        <w:t>&gt;:</w:t>
      </w:r>
    </w:p>
    <w:p>
      <w:pPr>
        <w:pStyle w:val="CorpoAltF0"/>
        <w:spacing w:before="120"/>
        <w:jc w:val="center"/>
      </w:pPr>
      <w:r>
        <w:rPr>
          <w:noProof/>
        </w:rPr>
        <w:lastRenderedPageBreak/>
        <w:drawing>
          <wp:inline distT="0" distB="0" distL="0" distR="0">
            <wp:extent cx="5760000" cy="1498711"/>
            <wp:effectExtent l="0" t="0" r="0" b="635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00" cy="1498711"/>
                    </a:xfrm>
                    <a:prstGeom prst="rect">
                      <a:avLst/>
                    </a:prstGeom>
                  </pic:spPr>
                </pic:pic>
              </a:graphicData>
            </a:graphic>
          </wp:inline>
        </w:drawing>
      </w:r>
    </w:p>
    <w:p>
      <w:pPr>
        <w:pStyle w:val="CorpoAltF0"/>
      </w:pPr>
    </w:p>
    <w:p>
      <w:pPr>
        <w:pStyle w:val="CorpoAltF0"/>
        <w:spacing w:before="60"/>
      </w:pPr>
      <w:r>
        <w:t>I flussi Uniemens con denunce Uniemens-CIG per il pagamento diretto avranno solo le denunce di tipo composizione “41”.</w:t>
      </w:r>
    </w:p>
    <w:p>
      <w:pPr>
        <w:pStyle w:val="CorpoAltF0"/>
      </w:pPr>
    </w:p>
    <w:p>
      <w:pPr>
        <w:pStyle w:val="CorpoAltF0"/>
        <w:rPr>
          <w:b/>
          <w:bCs/>
        </w:rPr>
      </w:pPr>
      <w:r>
        <w:rPr>
          <w:b/>
          <w:bCs/>
        </w:rPr>
        <w:t>Elemento &lt;Dati mittente&gt;</w:t>
      </w:r>
    </w:p>
    <w:p>
      <w:pPr>
        <w:pStyle w:val="CorpoAltF0"/>
        <w:spacing w:before="60"/>
      </w:pPr>
      <w:r>
        <w:t>La sezione contiene i dati identificativi del soggetto che trasmette il flusso: codice fiscale del mittente, codice fiscale del soggetto giuridico che effettua la trasmissione, la ragione sociale del mittente, codice fiscale dell’azienda produttrice del software paghe e codice Sede destinataria del flusso stesso (non ci sono cambiamenti rispetto alla compilazione dell’Uniemens ordinario).</w:t>
      </w:r>
    </w:p>
    <w:p>
      <w:pPr>
        <w:pStyle w:val="CorpoAltF0"/>
      </w:pPr>
    </w:p>
    <w:p>
      <w:pPr>
        <w:pStyle w:val="CorpoAltF0"/>
        <w:rPr>
          <w:b/>
          <w:bCs/>
        </w:rPr>
      </w:pPr>
      <w:r>
        <w:rPr>
          <w:b/>
          <w:bCs/>
        </w:rPr>
        <w:t>Elemento &lt;Azienda&gt;</w:t>
      </w:r>
    </w:p>
    <w:p>
      <w:pPr>
        <w:pStyle w:val="CorpoAltF0"/>
        <w:spacing w:before="60"/>
      </w:pPr>
      <w:r>
        <w:t>Per azienda si intende il soggetto presso il quale prestano attività lavorativa i lavoratori per i quai viene richiesta la prestazione a pagamento diretto e contiene l’anno e mese della denuncia, il codice fiscale e la ragione sociale dell’azienda.</w:t>
      </w:r>
    </w:p>
    <w:p>
      <w:pPr>
        <w:pStyle w:val="CorpoAltF0"/>
      </w:pPr>
    </w:p>
    <w:p>
      <w:pPr>
        <w:pStyle w:val="CorpoAltF0"/>
        <w:rPr>
          <w:b/>
          <w:bCs/>
        </w:rPr>
      </w:pPr>
      <w:r>
        <w:rPr>
          <w:b/>
          <w:bCs/>
        </w:rPr>
        <w:t>Elemento &lt;</w:t>
      </w:r>
      <w:proofErr w:type="spellStart"/>
      <w:r>
        <w:rPr>
          <w:b/>
          <w:bCs/>
        </w:rPr>
        <w:t>PosContributiva</w:t>
      </w:r>
      <w:proofErr w:type="spellEnd"/>
      <w:r>
        <w:rPr>
          <w:b/>
          <w:bCs/>
        </w:rPr>
        <w:t xml:space="preserve">&gt; </w:t>
      </w:r>
    </w:p>
    <w:p>
      <w:pPr>
        <w:pStyle w:val="CorpoAltF0"/>
        <w:spacing w:before="60"/>
      </w:pPr>
      <w:r>
        <w:t>L’elemento &lt;</w:t>
      </w:r>
      <w:proofErr w:type="spellStart"/>
      <w:r>
        <w:rPr>
          <w:i/>
          <w:iCs/>
        </w:rPr>
        <w:t>PosContributiva</w:t>
      </w:r>
      <w:proofErr w:type="spellEnd"/>
      <w:r>
        <w:t>&gt; aggrega le denunce individuali dei lavoratori riferite ad una specifica Posizione contributiva dell’azienda (Matricola aziendale INPS) per i quali viene richiesto il pagamento diretto.</w:t>
      </w:r>
    </w:p>
    <w:p>
      <w:pPr>
        <w:pStyle w:val="CorpoAltF0"/>
        <w:spacing w:before="60"/>
      </w:pPr>
      <w:r>
        <w:t>Si riportano di seguito i campi richiesti nella Denuncia Individuale del flusso UNIEMENS-CIG, per la descrizione dei quali si rimanda al Documento tecnico Uniemens e all’Allegato al Documento tecnico; le sezioni &lt;</w:t>
      </w:r>
      <w:proofErr w:type="spellStart"/>
      <w:r>
        <w:rPr>
          <w:i/>
          <w:iCs/>
        </w:rPr>
        <w:t>InquadramentoLavVariaz</w:t>
      </w:r>
      <w:proofErr w:type="spellEnd"/>
      <w:r>
        <w:t>&gt;, &lt;</w:t>
      </w:r>
      <w:proofErr w:type="spellStart"/>
      <w:r>
        <w:rPr>
          <w:i/>
          <w:iCs/>
        </w:rPr>
        <w:t>CIGPregressa</w:t>
      </w:r>
      <w:proofErr w:type="spellEnd"/>
      <w:r>
        <w:t>&gt; e &lt;</w:t>
      </w:r>
      <w:proofErr w:type="spellStart"/>
      <w:r>
        <w:rPr>
          <w:i/>
          <w:iCs/>
        </w:rPr>
        <w:t>MesePrecedente</w:t>
      </w:r>
      <w:proofErr w:type="spellEnd"/>
      <w:r>
        <w:t>&gt; non devono essere presenti.</w:t>
      </w:r>
    </w:p>
    <w:p>
      <w:pPr>
        <w:pStyle w:val="CorpoAltF0"/>
      </w:pPr>
    </w:p>
    <w:p>
      <w:pPr>
        <w:pStyle w:val="CorpoAltF0"/>
        <w:rPr>
          <w:b/>
          <w:bCs/>
        </w:rPr>
      </w:pPr>
      <w:r>
        <w:rPr>
          <w:b/>
          <w:bCs/>
        </w:rPr>
        <w:t xml:space="preserve">Sezione Denuncia Individuale </w:t>
      </w:r>
    </w:p>
    <w:p>
      <w:pPr>
        <w:pStyle w:val="CorpoAltF0"/>
        <w:numPr>
          <w:ilvl w:val="0"/>
          <w:numId w:val="2"/>
        </w:numPr>
        <w:spacing w:before="20"/>
        <w:ind w:left="284" w:hanging="284"/>
      </w:pPr>
      <w:proofErr w:type="spellStart"/>
      <w:r>
        <w:t>CFLavoratore</w:t>
      </w:r>
      <w:proofErr w:type="spellEnd"/>
      <w:r>
        <w:t xml:space="preserve"> </w:t>
      </w:r>
    </w:p>
    <w:p>
      <w:pPr>
        <w:pStyle w:val="CorpoAltF0"/>
        <w:numPr>
          <w:ilvl w:val="0"/>
          <w:numId w:val="2"/>
        </w:numPr>
        <w:spacing w:before="20"/>
        <w:ind w:left="284" w:hanging="284"/>
      </w:pPr>
      <w:r>
        <w:t xml:space="preserve">Cognome </w:t>
      </w:r>
    </w:p>
    <w:p>
      <w:pPr>
        <w:pStyle w:val="CorpoAltF0"/>
        <w:numPr>
          <w:ilvl w:val="0"/>
          <w:numId w:val="2"/>
        </w:numPr>
        <w:spacing w:before="20"/>
        <w:ind w:left="284" w:hanging="284"/>
      </w:pPr>
      <w:r>
        <w:t xml:space="preserve">Nome </w:t>
      </w:r>
    </w:p>
    <w:p>
      <w:pPr>
        <w:pStyle w:val="CorpoAltF0"/>
        <w:numPr>
          <w:ilvl w:val="0"/>
          <w:numId w:val="2"/>
        </w:numPr>
        <w:spacing w:before="20"/>
        <w:ind w:left="284" w:hanging="284"/>
      </w:pPr>
      <w:r>
        <w:t xml:space="preserve">Qualifica1 </w:t>
      </w:r>
    </w:p>
    <w:p>
      <w:pPr>
        <w:pStyle w:val="CorpoAltF0"/>
        <w:numPr>
          <w:ilvl w:val="0"/>
          <w:numId w:val="2"/>
        </w:numPr>
        <w:spacing w:before="20"/>
        <w:ind w:left="284" w:hanging="284"/>
      </w:pPr>
      <w:r>
        <w:t xml:space="preserve">Qualifica2 </w:t>
      </w:r>
    </w:p>
    <w:p>
      <w:pPr>
        <w:pStyle w:val="CorpoAltF0"/>
        <w:numPr>
          <w:ilvl w:val="0"/>
          <w:numId w:val="2"/>
        </w:numPr>
        <w:spacing w:before="20"/>
        <w:ind w:left="284" w:hanging="284"/>
      </w:pPr>
      <w:r>
        <w:t xml:space="preserve">Qualifica3 </w:t>
      </w:r>
    </w:p>
    <w:p>
      <w:pPr>
        <w:pStyle w:val="CorpoAltF0"/>
        <w:numPr>
          <w:ilvl w:val="0"/>
          <w:numId w:val="2"/>
        </w:numPr>
        <w:spacing w:before="20"/>
        <w:ind w:left="284" w:hanging="284"/>
      </w:pPr>
      <w:proofErr w:type="spellStart"/>
      <w:r>
        <w:t>TipoContribuzione</w:t>
      </w:r>
      <w:proofErr w:type="spellEnd"/>
      <w:r>
        <w:t xml:space="preserve"> </w:t>
      </w:r>
    </w:p>
    <w:p>
      <w:pPr>
        <w:pStyle w:val="CorpoAltF0"/>
        <w:numPr>
          <w:ilvl w:val="0"/>
          <w:numId w:val="2"/>
        </w:numPr>
        <w:spacing w:before="20"/>
        <w:ind w:left="284" w:hanging="284"/>
      </w:pPr>
      <w:proofErr w:type="spellStart"/>
      <w:r>
        <w:t>UnitaProduttiva</w:t>
      </w:r>
      <w:proofErr w:type="spellEnd"/>
      <w:r>
        <w:t xml:space="preserve"> </w:t>
      </w:r>
    </w:p>
    <w:p>
      <w:pPr>
        <w:pStyle w:val="CorpoAltF0"/>
        <w:numPr>
          <w:ilvl w:val="0"/>
          <w:numId w:val="2"/>
        </w:numPr>
        <w:spacing w:before="20"/>
        <w:ind w:left="284" w:hanging="284"/>
      </w:pPr>
      <w:proofErr w:type="spellStart"/>
      <w:r>
        <w:t>CodiceComune</w:t>
      </w:r>
      <w:proofErr w:type="spellEnd"/>
      <w:r>
        <w:t xml:space="preserve"> </w:t>
      </w:r>
    </w:p>
    <w:p>
      <w:pPr>
        <w:pStyle w:val="CorpoAltF0"/>
        <w:numPr>
          <w:ilvl w:val="0"/>
          <w:numId w:val="2"/>
        </w:numPr>
        <w:spacing w:before="20"/>
        <w:ind w:left="284" w:hanging="284"/>
      </w:pPr>
      <w:proofErr w:type="spellStart"/>
      <w:r>
        <w:t>CodiceContratto</w:t>
      </w:r>
      <w:proofErr w:type="spellEnd"/>
      <w:r>
        <w:t xml:space="preserve"> </w:t>
      </w:r>
    </w:p>
    <w:p>
      <w:pPr>
        <w:pStyle w:val="CorpoAltF0"/>
        <w:numPr>
          <w:ilvl w:val="0"/>
          <w:numId w:val="2"/>
        </w:numPr>
        <w:spacing w:before="20"/>
        <w:ind w:left="284" w:hanging="284"/>
      </w:pPr>
      <w:proofErr w:type="spellStart"/>
      <w:r>
        <w:t>TipoPaga</w:t>
      </w:r>
      <w:proofErr w:type="spellEnd"/>
      <w:r>
        <w:t xml:space="preserve"> </w:t>
      </w:r>
    </w:p>
    <w:p>
      <w:pPr>
        <w:pStyle w:val="CorpoAltF0"/>
        <w:numPr>
          <w:ilvl w:val="0"/>
          <w:numId w:val="2"/>
        </w:numPr>
        <w:spacing w:before="20"/>
        <w:ind w:left="284" w:hanging="284"/>
      </w:pPr>
      <w:proofErr w:type="spellStart"/>
      <w:r>
        <w:t>DivisoreOrarioContr</w:t>
      </w:r>
      <w:proofErr w:type="spellEnd"/>
      <w:r>
        <w:t xml:space="preserve"> </w:t>
      </w:r>
    </w:p>
    <w:p>
      <w:pPr>
        <w:pStyle w:val="CorpoAltF0"/>
        <w:numPr>
          <w:ilvl w:val="0"/>
          <w:numId w:val="2"/>
        </w:numPr>
        <w:spacing w:before="20"/>
        <w:ind w:left="284" w:hanging="284"/>
      </w:pPr>
      <w:proofErr w:type="spellStart"/>
      <w:r>
        <w:t>OrarioContrattuale</w:t>
      </w:r>
      <w:proofErr w:type="spellEnd"/>
      <w:r>
        <w:t xml:space="preserve"> </w:t>
      </w:r>
    </w:p>
    <w:p>
      <w:pPr>
        <w:pStyle w:val="CorpoAltF0"/>
        <w:numPr>
          <w:ilvl w:val="0"/>
          <w:numId w:val="2"/>
        </w:numPr>
        <w:spacing w:before="20"/>
        <w:ind w:left="284" w:hanging="284"/>
      </w:pPr>
      <w:proofErr w:type="spellStart"/>
      <w:r>
        <w:t>PercPartTime</w:t>
      </w:r>
      <w:proofErr w:type="spellEnd"/>
      <w:r>
        <w:t xml:space="preserve"> </w:t>
      </w:r>
    </w:p>
    <w:p>
      <w:pPr>
        <w:pStyle w:val="CorpoAltF0"/>
        <w:numPr>
          <w:ilvl w:val="0"/>
          <w:numId w:val="2"/>
        </w:numPr>
        <w:spacing w:before="20"/>
        <w:ind w:left="284" w:hanging="284"/>
      </w:pPr>
      <w:proofErr w:type="spellStart"/>
      <w:r>
        <w:t>PercPartTimeMese</w:t>
      </w:r>
      <w:proofErr w:type="spellEnd"/>
      <w:r>
        <w:t xml:space="preserve"> </w:t>
      </w:r>
    </w:p>
    <w:p>
      <w:pPr>
        <w:pStyle w:val="CorpoAltF0"/>
        <w:numPr>
          <w:ilvl w:val="0"/>
          <w:numId w:val="2"/>
        </w:numPr>
        <w:spacing w:before="20"/>
        <w:ind w:left="284" w:hanging="284"/>
      </w:pPr>
      <w:proofErr w:type="spellStart"/>
      <w:r>
        <w:t>NumMensilita</w:t>
      </w:r>
      <w:proofErr w:type="spellEnd"/>
      <w:r>
        <w:t xml:space="preserve"> </w:t>
      </w:r>
    </w:p>
    <w:p>
      <w:pPr>
        <w:pStyle w:val="CorpoAltF0"/>
        <w:numPr>
          <w:ilvl w:val="0"/>
          <w:numId w:val="2"/>
        </w:numPr>
        <w:spacing w:before="20"/>
        <w:ind w:left="284" w:hanging="284"/>
      </w:pPr>
      <w:r>
        <w:t xml:space="preserve">Se presenti i dati riferiti ad Assunzione e Cessazione </w:t>
      </w:r>
    </w:p>
    <w:p>
      <w:pPr>
        <w:pStyle w:val="CorpoAltF0"/>
      </w:pPr>
    </w:p>
    <w:p>
      <w:pPr>
        <w:pStyle w:val="CorpoAltF0"/>
        <w:rPr>
          <w:rFonts w:eastAsiaTheme="minorHAnsi"/>
          <w:b/>
          <w:bCs/>
        </w:rPr>
      </w:pPr>
      <w:r>
        <w:rPr>
          <w:b/>
          <w:bCs/>
        </w:rPr>
        <w:t xml:space="preserve">Sezione DatiRetributivi </w:t>
      </w:r>
    </w:p>
    <w:p>
      <w:pPr>
        <w:pStyle w:val="CorpoAltF0"/>
        <w:numPr>
          <w:ilvl w:val="0"/>
          <w:numId w:val="3"/>
        </w:numPr>
        <w:spacing w:before="20"/>
        <w:ind w:left="284" w:hanging="284"/>
      </w:pPr>
      <w:proofErr w:type="spellStart"/>
      <w:r>
        <w:t>TipoLavoratore</w:t>
      </w:r>
      <w:proofErr w:type="spellEnd"/>
      <w:r>
        <w:t xml:space="preserve"> </w:t>
      </w:r>
    </w:p>
    <w:p>
      <w:pPr>
        <w:pStyle w:val="CorpoAltF0"/>
        <w:numPr>
          <w:ilvl w:val="0"/>
          <w:numId w:val="3"/>
        </w:numPr>
        <w:spacing w:before="20"/>
        <w:ind w:left="284" w:hanging="284"/>
      </w:pPr>
      <w:proofErr w:type="spellStart"/>
      <w:r>
        <w:t>RetribTeorica</w:t>
      </w:r>
      <w:proofErr w:type="spellEnd"/>
      <w:r>
        <w:t xml:space="preserve"> </w:t>
      </w:r>
    </w:p>
    <w:p>
      <w:pPr>
        <w:pStyle w:val="CorpoAltF0"/>
        <w:numPr>
          <w:ilvl w:val="0"/>
          <w:numId w:val="3"/>
        </w:numPr>
        <w:spacing w:before="20"/>
        <w:ind w:left="284" w:hanging="284"/>
      </w:pPr>
      <w:proofErr w:type="spellStart"/>
      <w:r>
        <w:t>AumRetrCIGS</w:t>
      </w:r>
      <w:proofErr w:type="spellEnd"/>
      <w:r>
        <w:t xml:space="preserve"> </w:t>
      </w:r>
    </w:p>
    <w:p>
      <w:pPr>
        <w:pStyle w:val="CorpoAltF0"/>
        <w:numPr>
          <w:ilvl w:val="0"/>
          <w:numId w:val="3"/>
        </w:numPr>
        <w:spacing w:before="20"/>
        <w:ind w:left="284" w:hanging="284"/>
      </w:pPr>
      <w:proofErr w:type="spellStart"/>
      <w:r>
        <w:t>OreLavorabili</w:t>
      </w:r>
      <w:proofErr w:type="spellEnd"/>
      <w:r>
        <w:t xml:space="preserve"> </w:t>
      </w:r>
    </w:p>
    <w:p>
      <w:pPr>
        <w:pStyle w:val="CorpoAltF0"/>
        <w:numPr>
          <w:ilvl w:val="0"/>
          <w:numId w:val="3"/>
        </w:numPr>
        <w:spacing w:before="20"/>
        <w:ind w:left="284" w:hanging="284"/>
      </w:pPr>
      <w:proofErr w:type="spellStart"/>
      <w:r>
        <w:t>SettimaneUtili</w:t>
      </w:r>
      <w:proofErr w:type="spellEnd"/>
      <w:r>
        <w:t xml:space="preserve"> o </w:t>
      </w:r>
      <w:proofErr w:type="spellStart"/>
      <w:r>
        <w:t>GiorniUtili</w:t>
      </w:r>
      <w:proofErr w:type="spellEnd"/>
      <w:r>
        <w:t xml:space="preserve"> (se si tratta di lavoratori </w:t>
      </w:r>
      <w:proofErr w:type="spellStart"/>
      <w:r>
        <w:t>PartTime</w:t>
      </w:r>
      <w:proofErr w:type="spellEnd"/>
      <w:r>
        <w:t xml:space="preserve">) </w:t>
      </w:r>
    </w:p>
    <w:p>
      <w:pPr>
        <w:pStyle w:val="CorpoAltF0"/>
      </w:pPr>
    </w:p>
    <w:p>
      <w:pPr>
        <w:pStyle w:val="CorpoAltF0"/>
      </w:pPr>
    </w:p>
    <w:p>
      <w:pPr>
        <w:pStyle w:val="CorpoAltF0"/>
        <w:rPr>
          <w:rFonts w:eastAsiaTheme="minorHAnsi"/>
          <w:b/>
          <w:bCs/>
        </w:rPr>
      </w:pPr>
      <w:r>
        <w:rPr>
          <w:b/>
          <w:bCs/>
        </w:rPr>
        <w:t xml:space="preserve">Sezione Settimana </w:t>
      </w:r>
    </w:p>
    <w:p>
      <w:pPr>
        <w:pStyle w:val="CorpoAltF0"/>
        <w:numPr>
          <w:ilvl w:val="0"/>
          <w:numId w:val="4"/>
        </w:numPr>
        <w:spacing w:before="20"/>
        <w:ind w:left="284" w:hanging="284"/>
      </w:pPr>
      <w:proofErr w:type="spellStart"/>
      <w:r>
        <w:t>IdSettimana</w:t>
      </w:r>
      <w:proofErr w:type="spellEnd"/>
      <w:r>
        <w:t xml:space="preserve"> </w:t>
      </w:r>
    </w:p>
    <w:p>
      <w:pPr>
        <w:pStyle w:val="CorpoAltF0"/>
        <w:numPr>
          <w:ilvl w:val="0"/>
          <w:numId w:val="4"/>
        </w:numPr>
        <w:spacing w:before="20"/>
        <w:ind w:left="284" w:hanging="284"/>
      </w:pPr>
      <w:proofErr w:type="spellStart"/>
      <w:r>
        <w:t>TipoCopertura</w:t>
      </w:r>
      <w:proofErr w:type="spellEnd"/>
      <w:r>
        <w:t xml:space="preserve"> </w:t>
      </w:r>
    </w:p>
    <w:p>
      <w:pPr>
        <w:pStyle w:val="CorpoAltF0"/>
        <w:numPr>
          <w:ilvl w:val="0"/>
          <w:numId w:val="4"/>
        </w:numPr>
        <w:spacing w:before="20"/>
        <w:ind w:left="284" w:hanging="284"/>
      </w:pPr>
      <w:proofErr w:type="spellStart"/>
      <w:r>
        <w:t>CodiceEvento</w:t>
      </w:r>
      <w:proofErr w:type="spellEnd"/>
      <w:r>
        <w:t xml:space="preserve"> (sono ammessi solo i </w:t>
      </w:r>
      <w:proofErr w:type="spellStart"/>
      <w:r>
        <w:t>CodiceEvento</w:t>
      </w:r>
      <w:proofErr w:type="spellEnd"/>
      <w:r>
        <w:t xml:space="preserve"> specifici delle prestazioni CIG-Fondo) </w:t>
      </w:r>
    </w:p>
    <w:p>
      <w:pPr>
        <w:pStyle w:val="CorpoAltF0"/>
      </w:pPr>
    </w:p>
    <w:p>
      <w:pPr>
        <w:pStyle w:val="CorpoAltF0"/>
        <w:rPr>
          <w:rFonts w:eastAsiaTheme="minorHAnsi"/>
          <w:b/>
          <w:bCs/>
        </w:rPr>
      </w:pPr>
      <w:r>
        <w:rPr>
          <w:b/>
          <w:bCs/>
        </w:rPr>
        <w:t>Sezione Giorno</w:t>
      </w:r>
    </w:p>
    <w:p>
      <w:pPr>
        <w:pStyle w:val="CorpoAltF0"/>
        <w:numPr>
          <w:ilvl w:val="0"/>
          <w:numId w:val="5"/>
        </w:numPr>
        <w:spacing w:before="20"/>
        <w:ind w:left="284" w:hanging="284"/>
      </w:pPr>
      <w:r>
        <w:t xml:space="preserve">Lavorato </w:t>
      </w:r>
    </w:p>
    <w:p>
      <w:pPr>
        <w:pStyle w:val="CorpoAltF0"/>
        <w:numPr>
          <w:ilvl w:val="0"/>
          <w:numId w:val="5"/>
        </w:numPr>
        <w:spacing w:before="20"/>
        <w:ind w:left="284" w:hanging="284"/>
      </w:pPr>
      <w:proofErr w:type="spellStart"/>
      <w:r>
        <w:t>TipoCoperturaGiorn</w:t>
      </w:r>
      <w:proofErr w:type="spellEnd"/>
      <w:r>
        <w:t xml:space="preserve"> (da esporre unicamente per i lavoratori dello Sport e Spettacolo) </w:t>
      </w:r>
    </w:p>
    <w:p>
      <w:pPr>
        <w:pStyle w:val="CorpoAltF0"/>
        <w:numPr>
          <w:ilvl w:val="0"/>
          <w:numId w:val="5"/>
        </w:numPr>
        <w:spacing w:before="20"/>
        <w:ind w:left="284" w:hanging="284"/>
      </w:pPr>
      <w:proofErr w:type="spellStart"/>
      <w:r>
        <w:t>CodiceEventoGiorn</w:t>
      </w:r>
      <w:proofErr w:type="spellEnd"/>
      <w:r>
        <w:t xml:space="preserve"> (sono ammessi solo i </w:t>
      </w:r>
      <w:proofErr w:type="spellStart"/>
      <w:r>
        <w:t>CodiceEventoGiorn</w:t>
      </w:r>
      <w:proofErr w:type="spellEnd"/>
      <w:r>
        <w:t xml:space="preserve"> specifici delle prestazioni CIG-Fondo) </w:t>
      </w:r>
    </w:p>
    <w:p>
      <w:pPr>
        <w:pStyle w:val="CorpoAltF0"/>
        <w:numPr>
          <w:ilvl w:val="0"/>
          <w:numId w:val="5"/>
        </w:numPr>
        <w:spacing w:before="20"/>
        <w:ind w:left="284" w:hanging="284"/>
      </w:pPr>
      <w:proofErr w:type="spellStart"/>
      <w:r>
        <w:t>NumOreEvento</w:t>
      </w:r>
      <w:proofErr w:type="spellEnd"/>
      <w:r>
        <w:t xml:space="preserve"> </w:t>
      </w:r>
    </w:p>
    <w:p>
      <w:pPr>
        <w:pStyle w:val="CorpoAltF0"/>
        <w:numPr>
          <w:ilvl w:val="0"/>
          <w:numId w:val="5"/>
        </w:numPr>
        <w:spacing w:before="20"/>
        <w:ind w:left="284" w:hanging="284"/>
      </w:pPr>
      <w:proofErr w:type="spellStart"/>
      <w:r>
        <w:t>IdentEventoCIG</w:t>
      </w:r>
      <w:proofErr w:type="spellEnd"/>
      <w:r>
        <w:t xml:space="preserve"> (il Ticket esposto deve essere specifico per il pagamento diretto) </w:t>
      </w:r>
    </w:p>
    <w:p>
      <w:pPr>
        <w:pStyle w:val="CorpoAltF0"/>
      </w:pPr>
    </w:p>
    <w:p>
      <w:pPr>
        <w:pStyle w:val="CorpoAltF0"/>
        <w:rPr>
          <w:b/>
          <w:bCs/>
        </w:rPr>
      </w:pPr>
      <w:r>
        <w:rPr>
          <w:b/>
          <w:bCs/>
        </w:rPr>
        <w:t xml:space="preserve">Sezione </w:t>
      </w:r>
      <w:proofErr w:type="spellStart"/>
      <w:r>
        <w:rPr>
          <w:b/>
          <w:bCs/>
        </w:rPr>
        <w:t>DifferenzeAccredito</w:t>
      </w:r>
      <w:proofErr w:type="spellEnd"/>
      <w:r>
        <w:rPr>
          <w:b/>
          <w:bCs/>
        </w:rPr>
        <w:t xml:space="preserve"> </w:t>
      </w:r>
    </w:p>
    <w:p>
      <w:pPr>
        <w:pStyle w:val="CorpoAltF0"/>
        <w:numPr>
          <w:ilvl w:val="0"/>
          <w:numId w:val="6"/>
        </w:numPr>
        <w:spacing w:before="20"/>
        <w:ind w:left="284" w:hanging="284"/>
      </w:pPr>
      <w:proofErr w:type="spellStart"/>
      <w:r>
        <w:t>CodiceEvento</w:t>
      </w:r>
      <w:proofErr w:type="spellEnd"/>
      <w:r>
        <w:t xml:space="preserve"> (sono ammessi solo i </w:t>
      </w:r>
      <w:proofErr w:type="spellStart"/>
      <w:r>
        <w:t>CodiceEvento</w:t>
      </w:r>
      <w:proofErr w:type="spellEnd"/>
      <w:r>
        <w:t xml:space="preserve"> specifici delle prestazioni CIG-Fondo) </w:t>
      </w:r>
    </w:p>
    <w:p>
      <w:pPr>
        <w:pStyle w:val="CorpoAltF0"/>
        <w:numPr>
          <w:ilvl w:val="0"/>
          <w:numId w:val="6"/>
        </w:numPr>
        <w:spacing w:before="20"/>
        <w:ind w:left="284" w:hanging="284"/>
      </w:pPr>
      <w:proofErr w:type="spellStart"/>
      <w:r>
        <w:t>DiffAccredito</w:t>
      </w:r>
      <w:proofErr w:type="spellEnd"/>
      <w:r>
        <w:t xml:space="preserve"> </w:t>
      </w:r>
    </w:p>
    <w:p>
      <w:pPr>
        <w:pStyle w:val="CorpoAltF0"/>
        <w:rPr>
          <w:rFonts w:eastAsiaTheme="minorHAnsi"/>
        </w:rPr>
      </w:pPr>
    </w:p>
    <w:p>
      <w:pPr>
        <w:pStyle w:val="CorpoAltF0"/>
        <w:rPr>
          <w:b/>
          <w:bCs/>
        </w:rPr>
      </w:pPr>
      <w:r>
        <w:rPr>
          <w:b/>
          <w:bCs/>
        </w:rPr>
        <w:t xml:space="preserve">Sezione </w:t>
      </w:r>
      <w:proofErr w:type="spellStart"/>
      <w:r>
        <w:rPr>
          <w:b/>
          <w:bCs/>
        </w:rPr>
        <w:t>GestioneEventiCIG</w:t>
      </w:r>
      <w:proofErr w:type="spellEnd"/>
      <w:r>
        <w:rPr>
          <w:b/>
          <w:bCs/>
        </w:rPr>
        <w:t xml:space="preserve"> </w:t>
      </w:r>
    </w:p>
    <w:p>
      <w:pPr>
        <w:pStyle w:val="CorpoAltF0"/>
        <w:numPr>
          <w:ilvl w:val="0"/>
          <w:numId w:val="7"/>
        </w:numPr>
        <w:spacing w:before="20"/>
        <w:ind w:left="284" w:hanging="289"/>
      </w:pPr>
      <w:proofErr w:type="spellStart"/>
      <w:r>
        <w:t>IdentEventoCIG</w:t>
      </w:r>
      <w:proofErr w:type="spellEnd"/>
      <w:r>
        <w:t xml:space="preserve"> </w:t>
      </w:r>
    </w:p>
    <w:p>
      <w:pPr>
        <w:pStyle w:val="CorpoAltF0"/>
      </w:pPr>
    </w:p>
    <w:p>
      <w:pPr>
        <w:pStyle w:val="CorpoAltF0"/>
        <w:rPr>
          <w:rFonts w:eastAsiaTheme="minorHAnsi"/>
          <w:b/>
          <w:bCs/>
        </w:rPr>
      </w:pPr>
      <w:r>
        <w:rPr>
          <w:b/>
          <w:bCs/>
        </w:rPr>
        <w:t xml:space="preserve">Sezione </w:t>
      </w:r>
      <w:proofErr w:type="spellStart"/>
      <w:r>
        <w:rPr>
          <w:b/>
          <w:bCs/>
        </w:rPr>
        <w:t>PagDiretto</w:t>
      </w:r>
      <w:proofErr w:type="spellEnd"/>
      <w:r>
        <w:rPr>
          <w:b/>
          <w:bCs/>
        </w:rPr>
        <w:t xml:space="preserve"> </w:t>
      </w:r>
    </w:p>
    <w:p>
      <w:pPr>
        <w:pStyle w:val="CorpoAltF0"/>
        <w:numPr>
          <w:ilvl w:val="0"/>
          <w:numId w:val="8"/>
        </w:numPr>
        <w:spacing w:before="20"/>
        <w:ind w:left="284" w:hanging="284"/>
      </w:pPr>
      <w:r>
        <w:t xml:space="preserve">IBAN </w:t>
      </w:r>
    </w:p>
    <w:p>
      <w:pPr>
        <w:pStyle w:val="CorpoAltF0"/>
        <w:numPr>
          <w:ilvl w:val="0"/>
          <w:numId w:val="8"/>
        </w:numPr>
        <w:spacing w:before="20"/>
        <w:ind w:left="284" w:hanging="284"/>
      </w:pPr>
      <w:proofErr w:type="spellStart"/>
      <w:r>
        <w:t>CodSindacale</w:t>
      </w:r>
      <w:proofErr w:type="spellEnd"/>
      <w:r>
        <w:t xml:space="preserve"> </w:t>
      </w:r>
    </w:p>
    <w:p>
      <w:pPr>
        <w:pStyle w:val="CorpoAltF0"/>
        <w:numPr>
          <w:ilvl w:val="0"/>
          <w:numId w:val="8"/>
        </w:numPr>
        <w:spacing w:before="20"/>
        <w:ind w:left="284" w:hanging="284"/>
      </w:pPr>
      <w:proofErr w:type="spellStart"/>
      <w:r>
        <w:t>ImpANF</w:t>
      </w:r>
      <w:proofErr w:type="spellEnd"/>
      <w:r>
        <w:t xml:space="preserve"> </w:t>
      </w:r>
    </w:p>
    <w:p>
      <w:pPr>
        <w:pStyle w:val="CorpoAltF0"/>
        <w:numPr>
          <w:ilvl w:val="0"/>
          <w:numId w:val="8"/>
        </w:numPr>
        <w:spacing w:before="20"/>
        <w:ind w:left="284" w:hanging="284"/>
      </w:pPr>
      <w:proofErr w:type="spellStart"/>
      <w:r>
        <w:t>TrattPens</w:t>
      </w:r>
      <w:proofErr w:type="spellEnd"/>
      <w:r>
        <w:t xml:space="preserve"> </w:t>
      </w:r>
    </w:p>
    <w:p>
      <w:pPr>
        <w:pStyle w:val="CorpoAltF0"/>
        <w:numPr>
          <w:ilvl w:val="0"/>
          <w:numId w:val="8"/>
        </w:numPr>
        <w:spacing w:before="20"/>
        <w:ind w:left="284" w:hanging="284"/>
      </w:pPr>
      <w:proofErr w:type="spellStart"/>
      <w:r>
        <w:t>DetrazLavDip</w:t>
      </w:r>
      <w:proofErr w:type="spellEnd"/>
      <w:r>
        <w:t xml:space="preserve"> </w:t>
      </w:r>
    </w:p>
    <w:p>
      <w:pPr>
        <w:pStyle w:val="CorpoAltF0"/>
        <w:numPr>
          <w:ilvl w:val="0"/>
          <w:numId w:val="8"/>
        </w:numPr>
        <w:spacing w:before="20"/>
        <w:ind w:left="284" w:hanging="284"/>
      </w:pPr>
      <w:proofErr w:type="spellStart"/>
      <w:r>
        <w:t>DetrazCarichiFam</w:t>
      </w:r>
      <w:proofErr w:type="spellEnd"/>
      <w:r>
        <w:t xml:space="preserve"> </w:t>
      </w:r>
    </w:p>
    <w:p>
      <w:pPr>
        <w:pStyle w:val="CorpoAltF0"/>
        <w:rPr>
          <w:rFonts w:eastAsiaTheme="minorHAnsi"/>
        </w:rPr>
      </w:pPr>
    </w:p>
    <w:p>
      <w:pPr>
        <w:pStyle w:val="CorpoAltF0"/>
      </w:pPr>
      <w:r>
        <w:rPr>
          <w:b/>
          <w:bCs/>
        </w:rPr>
        <w:t xml:space="preserve">Sezione </w:t>
      </w:r>
      <w:proofErr w:type="spellStart"/>
      <w:r>
        <w:rPr>
          <w:b/>
          <w:bCs/>
        </w:rPr>
        <w:t>DatiParticolari</w:t>
      </w:r>
      <w:proofErr w:type="spellEnd"/>
      <w:r>
        <w:rPr>
          <w:b/>
          <w:bCs/>
        </w:rPr>
        <w:t xml:space="preserve"> </w:t>
      </w:r>
      <w:r>
        <w:t xml:space="preserve">(solo per i lavoratori dello Sport e Spettacolo) </w:t>
      </w:r>
    </w:p>
    <w:p>
      <w:pPr>
        <w:pStyle w:val="CorpoAltF0"/>
        <w:numPr>
          <w:ilvl w:val="0"/>
          <w:numId w:val="9"/>
        </w:numPr>
        <w:spacing w:before="20"/>
        <w:ind w:left="284" w:hanging="284"/>
      </w:pPr>
      <w:proofErr w:type="spellStart"/>
      <w:r>
        <w:t>TipoRapportoLav</w:t>
      </w:r>
      <w:proofErr w:type="spellEnd"/>
      <w:r>
        <w:t xml:space="preserve"> di </w:t>
      </w:r>
      <w:proofErr w:type="spellStart"/>
      <w:r>
        <w:t>TipoLavSportSpet</w:t>
      </w:r>
      <w:proofErr w:type="spellEnd"/>
      <w:r>
        <w:t xml:space="preserve"> </w:t>
      </w:r>
    </w:p>
    <w:p>
      <w:pPr>
        <w:pStyle w:val="CorpoAltF0"/>
        <w:numPr>
          <w:ilvl w:val="0"/>
          <w:numId w:val="9"/>
        </w:numPr>
        <w:spacing w:before="20"/>
        <w:ind w:left="284" w:hanging="284"/>
      </w:pPr>
      <w:proofErr w:type="spellStart"/>
      <w:r>
        <w:t>CodiceQualifica</w:t>
      </w:r>
      <w:proofErr w:type="spellEnd"/>
      <w:r>
        <w:t xml:space="preserve"> di </w:t>
      </w:r>
      <w:proofErr w:type="spellStart"/>
      <w:r>
        <w:t>TipoLavSportSpet</w:t>
      </w:r>
      <w:proofErr w:type="spellEnd"/>
      <w:r>
        <w:t xml:space="preserve"> </w:t>
      </w:r>
    </w:p>
    <w:p>
      <w:pPr>
        <w:pStyle w:val="CorpoAltF0"/>
      </w:pPr>
    </w:p>
    <w:p>
      <w:pPr>
        <w:pStyle w:val="CorpoAltF0"/>
      </w:pPr>
    </w:p>
    <w:p>
      <w:pPr>
        <w:pStyle w:val="TS-titolo-04"/>
      </w:pPr>
      <w:bookmarkStart w:id="8" w:name="_Toc71218902"/>
      <w:r>
        <w:t>Gestione e variazione del flusso UniEmens-CIG</w:t>
      </w:r>
      <w:bookmarkEnd w:id="8"/>
    </w:p>
    <w:p>
      <w:pPr>
        <w:pStyle w:val="CorpoAltF0"/>
        <w:spacing w:before="120"/>
      </w:pPr>
      <w:r>
        <w:t xml:space="preserve">I flussi, analogamente a quanto già avviene per l’UniEmens standard, sono sottoposti preliminarmente ai controlli di accoglienza e, una volta trasmessi, ai controlli di coerenza, congruità e compatibilità già previsti per le prestazioni a conguaglio. </w:t>
      </w:r>
    </w:p>
    <w:p>
      <w:pPr>
        <w:pStyle w:val="CorpoAltF0"/>
        <w:spacing w:before="60"/>
      </w:pPr>
      <w:r>
        <w:t>La struttura del flusso consente, peraltro, di trattare distintamente le singole posizioni/denunce in modo che eventuali posizioni che non dovessero superare i controlli non pregiudichino la lavorazione e la liquidazione delle restanti posizioni inviate con il medesimo flusso.</w:t>
      </w:r>
    </w:p>
    <w:p>
      <w:pPr>
        <w:pStyle w:val="CorpoAltF0"/>
        <w:spacing w:before="60"/>
      </w:pPr>
      <w:r>
        <w:t>Analogamente a quanto già avviene per i flussi UniEmens standard, la trasmissione di un flusso successivo, avente un ID trasmissione superiore, a parità di chiave, sostituisce il flusso precedente.</w:t>
      </w:r>
    </w:p>
    <w:p>
      <w:pPr>
        <w:pStyle w:val="CorpoAltF0"/>
        <w:spacing w:before="60"/>
      </w:pPr>
      <w:r>
        <w:t>Nel caso dei flussi “</w:t>
      </w:r>
      <w:proofErr w:type="spellStart"/>
      <w:r>
        <w:t>UniEmens-Cig</w:t>
      </w:r>
      <w:proofErr w:type="spellEnd"/>
      <w:r>
        <w:t>” tale sostituzione è efficace (cioè effettivamente applicata) in relazione allo stato in cui si trova la denuncia; in particolare, sarà possibile variare la denuncia in ogni suo elemento fintanto che la stessa non sia stata trasmessa alle procedure di gestione del pagamento.</w:t>
      </w:r>
    </w:p>
    <w:p>
      <w:pPr>
        <w:pStyle w:val="CorpoAltF0"/>
        <w:spacing w:before="60"/>
      </w:pPr>
      <w:r>
        <w:t>Diversamente, nel caso in cui sia già intervenuta la liquidazione della prestazione, potranno essere accolti solo i flussi che presentino variazioni in aumento, anche contestuali, dei seguenti elementi: &lt;</w:t>
      </w:r>
      <w:proofErr w:type="spellStart"/>
      <w:r>
        <w:rPr>
          <w:i/>
          <w:iCs/>
        </w:rPr>
        <w:t>NumOreEvento</w:t>
      </w:r>
      <w:proofErr w:type="spellEnd"/>
      <w:r>
        <w:t>/&gt;, &lt;</w:t>
      </w:r>
      <w:proofErr w:type="spellStart"/>
      <w:r>
        <w:rPr>
          <w:i/>
          <w:iCs/>
        </w:rPr>
        <w:t>ImpANF</w:t>
      </w:r>
      <w:proofErr w:type="spellEnd"/>
      <w:r>
        <w:t>/&gt;, &lt;</w:t>
      </w:r>
      <w:proofErr w:type="spellStart"/>
      <w:r>
        <w:rPr>
          <w:i/>
          <w:iCs/>
        </w:rPr>
        <w:t>RetribTeorica</w:t>
      </w:r>
      <w:proofErr w:type="spellEnd"/>
      <w:r>
        <w:t>/&gt;.</w:t>
      </w:r>
    </w:p>
    <w:p>
      <w:pPr>
        <w:pStyle w:val="CorpoAltF0"/>
        <w:spacing w:before="60"/>
      </w:pPr>
      <w:r>
        <w:t>Nel caso in cui il datore di lavoro si trovi nella necessità di dovere eliminare un nominativo di un lavoratore già trasmesso, è stato previsto, anche per i flussi “</w:t>
      </w:r>
      <w:proofErr w:type="spellStart"/>
      <w:r>
        <w:t>UniEmens-Cig</w:t>
      </w:r>
      <w:proofErr w:type="spellEnd"/>
      <w:r>
        <w:t>”, in analogia a quanto avviene per i flussi UniEmens standard, la possibilità di inviare un flusso successivo con il nominativo da eliminare.</w:t>
      </w:r>
    </w:p>
    <w:p>
      <w:pPr>
        <w:pStyle w:val="CorpoAltF0"/>
        <w:spacing w:before="60"/>
      </w:pPr>
      <w:r>
        <w:t>Ciò può essere fatto valorizzando l’attributo “Elimina” di &lt;</w:t>
      </w:r>
      <w:r>
        <w:rPr>
          <w:i/>
          <w:iCs/>
        </w:rPr>
        <w:t>DenunciaIndividuale</w:t>
      </w:r>
      <w:r>
        <w:t>&gt; con il valore “</w:t>
      </w:r>
      <w:r>
        <w:rPr>
          <w:b/>
          <w:bCs/>
        </w:rPr>
        <w:t>S</w:t>
      </w:r>
      <w:r>
        <w:t>” e gli elementi che costituiscono la chiave del lavoratore (che identificano univocamente l’elemento &lt;</w:t>
      </w:r>
      <w:r>
        <w:rPr>
          <w:i/>
          <w:iCs/>
        </w:rPr>
        <w:t>DenunciaIndividuale</w:t>
      </w:r>
      <w:r>
        <w:t>&gt; da eliminare).</w:t>
      </w:r>
    </w:p>
    <w:p>
      <w:pPr>
        <w:pStyle w:val="CorpoAltF0"/>
      </w:pPr>
      <w:r>
        <w:br w:type="page"/>
      </w:r>
    </w:p>
    <w:p>
      <w:pPr>
        <w:pStyle w:val="CorpoAltF0"/>
      </w:pPr>
    </w:p>
    <w:tbl>
      <w:tblPr>
        <w:tblW w:w="9809" w:type="dxa"/>
        <w:tblBorders>
          <w:top w:val="single" w:sz="4" w:space="0" w:color="auto"/>
          <w:left w:val="single" w:sz="4" w:space="0" w:color="auto"/>
          <w:bottom w:val="single" w:sz="4" w:space="0" w:color="auto"/>
          <w:right w:val="single" w:sz="4" w:space="0" w:color="auto"/>
        </w:tblBorders>
        <w:shd w:val="clear" w:color="auto" w:fill="FFFFFF"/>
        <w:tblLayout w:type="fixed"/>
        <w:tblLook w:val="04A0" w:firstRow="1" w:lastRow="0" w:firstColumn="1" w:lastColumn="0" w:noHBand="0" w:noVBand="1"/>
      </w:tblPr>
      <w:tblGrid>
        <w:gridCol w:w="970"/>
        <w:gridCol w:w="8839"/>
      </w:tblGrid>
      <w:tr>
        <w:tc>
          <w:tcPr>
            <w:tcW w:w="970" w:type="dxa"/>
            <w:shd w:val="clear" w:color="auto" w:fill="FFFFFF"/>
          </w:tcPr>
          <w:p>
            <w:pPr>
              <w:pStyle w:val="CorpoAltF0"/>
              <w:spacing w:before="40" w:after="40"/>
              <w:jc w:val="center"/>
              <w:rPr>
                <w:rFonts w:cs="Arial"/>
              </w:rPr>
            </w:pPr>
            <w:r>
              <w:rPr>
                <w:rFonts w:cs="Arial"/>
                <w:noProof/>
              </w:rPr>
              <w:drawing>
                <wp:inline distT="0" distB="0" distL="0" distR="0">
                  <wp:extent cx="231775" cy="231775"/>
                  <wp:effectExtent l="0" t="0" r="0" b="0"/>
                  <wp:docPr id="3" name="Immagine 3" desc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8839" w:type="dxa"/>
            <w:tcBorders>
              <w:top w:val="single" w:sz="4" w:space="0" w:color="auto"/>
              <w:bottom w:val="single" w:sz="4" w:space="0" w:color="auto"/>
            </w:tcBorders>
            <w:shd w:val="clear" w:color="auto" w:fill="95B3D7"/>
          </w:tcPr>
          <w:p>
            <w:pPr>
              <w:pStyle w:val="WWNormativaSoftware"/>
            </w:pPr>
            <w:bookmarkStart w:id="9" w:name="_Toc499828235"/>
            <w:bookmarkStart w:id="10" w:name="_Toc71218903"/>
            <w:r>
              <w:t>Implementazioni Software</w:t>
            </w:r>
            <w:bookmarkEnd w:id="9"/>
            <w:bookmarkEnd w:id="10"/>
          </w:p>
        </w:tc>
      </w:tr>
    </w:tbl>
    <w:p>
      <w:pPr>
        <w:pStyle w:val="CorpoAltF0"/>
      </w:pPr>
    </w:p>
    <w:p>
      <w:pPr>
        <w:pStyle w:val="CorpoAltF0"/>
        <w:rPr>
          <w:bCs/>
        </w:rPr>
      </w:pPr>
      <w:r>
        <w:rPr>
          <w:bCs/>
        </w:rPr>
        <w:t xml:space="preserve">L’applicativo EMENS è stato implementato per consentire l’elaborazione del flusso </w:t>
      </w:r>
      <w:r>
        <w:rPr>
          <w:b/>
        </w:rPr>
        <w:t>UNIEMENS-CIG</w:t>
      </w:r>
      <w:r>
        <w:rPr>
          <w:bCs/>
        </w:rPr>
        <w:t>, utile per la trasmissione dei dati necessari al calcolo e alla liquidazione diretta delle integrazioni salariali da parte dell’INPS nonché all’accredito della relativa contribuzione figurativa.</w:t>
      </w:r>
    </w:p>
    <w:p>
      <w:pPr>
        <w:pStyle w:val="CorpoAltF0"/>
        <w:spacing w:before="60"/>
        <w:rPr>
          <w:bCs/>
        </w:rPr>
      </w:pPr>
      <w:r>
        <w:rPr>
          <w:bCs/>
        </w:rPr>
        <w:t>In fase di conversione (eseguita automaticamente con l’installazione del presente aggiornamento) il programma provvede a creare i nuovi archivi PSINPS41, PSINPSR41 e TELEME41.</w:t>
      </w:r>
    </w:p>
    <w:p>
      <w:pPr>
        <w:pStyle w:val="CorpoAltF0"/>
      </w:pPr>
    </w:p>
    <w:p>
      <w:pPr>
        <w:pStyle w:val="CorpoAltF0"/>
        <w:spacing w:before="60"/>
      </w:pPr>
      <w:r>
        <w:t xml:space="preserve">La denuncia UNIEMENS-CIG può essere generata dopo aver elaborato i cedolini della mensilità interessata dall’evento, per la quale risulta liquidata una domanda di CIG o Assegno ordinario con Ticket a pagamento diretto </w:t>
      </w:r>
      <w:bookmarkStart w:id="11" w:name="_Hlk71043288"/>
      <w:r>
        <w:t>che presenta in “CIG – Gestone domande CIG” il valore “Si” al campo “</w:t>
      </w:r>
      <w:proofErr w:type="spellStart"/>
      <w:r>
        <w:t>UniEmensCig</w:t>
      </w:r>
      <w:proofErr w:type="spellEnd"/>
      <w:r>
        <w:t>”.</w:t>
      </w:r>
    </w:p>
    <w:bookmarkEnd w:id="11"/>
    <w:p>
      <w:pPr>
        <w:pStyle w:val="CorpoAltF0"/>
        <w:spacing w:before="60"/>
      </w:pPr>
      <w:r>
        <w:t>Ai fini del prelievo non sarà necessario eseguire preventivamente la quadratura.</w:t>
      </w:r>
    </w:p>
    <w:p>
      <w:pPr>
        <w:pStyle w:val="CorpoAltF0"/>
        <w:spacing w:before="60"/>
      </w:pPr>
      <w:r>
        <w:t>Possono essere elaborate le denunce UNIEMENS-CIG a decorrere dal mese di competenza aprile 2021.</w:t>
      </w:r>
    </w:p>
    <w:p>
      <w:pPr>
        <w:pStyle w:val="CorpoAltF0"/>
      </w:pPr>
    </w:p>
    <w:p>
      <w:pPr>
        <w:pStyle w:val="CorpoAltF0"/>
      </w:pPr>
      <w:r>
        <w:t>Nella sezione EMENS presente nel menù del contesto PAGHE, sono state inserite le nuove sottosezioni “</w:t>
      </w:r>
      <w:r>
        <w:rPr>
          <w:b/>
          <w:bCs/>
          <w:i/>
          <w:iCs/>
        </w:rPr>
        <w:t>Denuncia Uniemens-CIG</w:t>
      </w:r>
      <w:r>
        <w:t>” e “</w:t>
      </w:r>
      <w:r>
        <w:rPr>
          <w:b/>
          <w:bCs/>
          <w:i/>
          <w:iCs/>
        </w:rPr>
        <w:t>Telematico Uniemens-CIG</w:t>
      </w:r>
      <w:r>
        <w:t xml:space="preserve">” contenenti i comandi utili per il prelievo e gestione della denuncia Uniemens-CIG e la generazione del relativo file telematico. </w:t>
      </w:r>
    </w:p>
    <w:p>
      <w:pPr>
        <w:pStyle w:val="CorpoAltF0"/>
      </w:pPr>
    </w:p>
    <w:p>
      <w:pPr>
        <w:pStyle w:val="CorpoAltF0"/>
      </w:pPr>
      <w:r>
        <w:t>I nuovi comandi sono i seguenti:</w:t>
      </w:r>
    </w:p>
    <w:p>
      <w:pPr>
        <w:pStyle w:val="CorpoAltF0"/>
        <w:spacing w:before="60"/>
        <w:rPr>
          <w:b/>
          <w:bCs/>
        </w:rPr>
      </w:pPr>
      <w:r>
        <w:rPr>
          <w:b/>
          <w:bCs/>
        </w:rPr>
        <w:t>Denuncia Uniemens-CIG</w:t>
      </w:r>
    </w:p>
    <w:p>
      <w:pPr>
        <w:pStyle w:val="CorpoAltF0"/>
        <w:spacing w:before="60"/>
        <w:ind w:left="142"/>
      </w:pPr>
      <w:r>
        <w:t xml:space="preserve">EME501 – Prelievo </w:t>
      </w:r>
      <w:proofErr w:type="spellStart"/>
      <w:r>
        <w:t>Uniemes</w:t>
      </w:r>
      <w:proofErr w:type="spellEnd"/>
      <w:r>
        <w:t>-CIG</w:t>
      </w:r>
    </w:p>
    <w:p>
      <w:pPr>
        <w:pStyle w:val="CorpoAltF0"/>
        <w:spacing w:before="60"/>
        <w:ind w:left="142"/>
      </w:pPr>
      <w:r>
        <w:t xml:space="preserve">EME502 – Gestione </w:t>
      </w:r>
      <w:proofErr w:type="spellStart"/>
      <w:r>
        <w:t>Uniemes</w:t>
      </w:r>
      <w:proofErr w:type="spellEnd"/>
      <w:r>
        <w:t>-CIG</w:t>
      </w:r>
    </w:p>
    <w:p>
      <w:pPr>
        <w:pStyle w:val="CorpoAltF0"/>
        <w:spacing w:before="120"/>
        <w:rPr>
          <w:b/>
          <w:bCs/>
        </w:rPr>
      </w:pPr>
      <w:r>
        <w:rPr>
          <w:b/>
          <w:bCs/>
        </w:rPr>
        <w:t>Telematico Uniemens-CIG</w:t>
      </w:r>
    </w:p>
    <w:p>
      <w:pPr>
        <w:pStyle w:val="CorpoAltF0"/>
        <w:spacing w:before="60"/>
        <w:ind w:left="142"/>
      </w:pPr>
      <w:r>
        <w:t>EME601 – Generazioni dati</w:t>
      </w:r>
    </w:p>
    <w:p>
      <w:pPr>
        <w:pStyle w:val="CorpoAltF0"/>
        <w:spacing w:before="60"/>
        <w:ind w:left="142"/>
      </w:pPr>
      <w:r>
        <w:t>EME602 – Riepilogo spedizioni</w:t>
      </w:r>
    </w:p>
    <w:p>
      <w:pPr>
        <w:pStyle w:val="CorpoAltF0"/>
        <w:spacing w:before="60"/>
        <w:ind w:left="142"/>
      </w:pPr>
      <w:r>
        <w:t>EME603 – Annulla ultima spedizione</w:t>
      </w:r>
    </w:p>
    <w:p>
      <w:pPr>
        <w:pStyle w:val="CorpoAltF0"/>
        <w:spacing w:before="60"/>
        <w:ind w:left="142"/>
      </w:pPr>
      <w:r>
        <w:t xml:space="preserve">EME604 – Stampa riepilogo </w:t>
      </w:r>
      <w:proofErr w:type="spellStart"/>
      <w:r>
        <w:t>spediz</w:t>
      </w:r>
      <w:proofErr w:type="spellEnd"/>
      <w:r>
        <w:t>.</w:t>
      </w:r>
    </w:p>
    <w:p>
      <w:pPr>
        <w:pStyle w:val="CorpoAltF0"/>
        <w:spacing w:before="60"/>
        <w:ind w:left="142"/>
      </w:pPr>
      <w:r>
        <w:t xml:space="preserve">EME605 – Ricerca </w:t>
      </w:r>
      <w:proofErr w:type="spellStart"/>
      <w:r>
        <w:t>spediz</w:t>
      </w:r>
      <w:proofErr w:type="spellEnd"/>
      <w:r>
        <w:t>. Azienda</w:t>
      </w:r>
    </w:p>
    <w:p>
      <w:pPr>
        <w:pStyle w:val="CorpoAltF0"/>
        <w:spacing w:before="60"/>
        <w:ind w:left="142"/>
      </w:pPr>
      <w:r>
        <w:t>EME606 – Esporta file XML</w:t>
      </w:r>
    </w:p>
    <w:p>
      <w:pPr>
        <w:pStyle w:val="CorpoAltF0"/>
        <w:spacing w:before="60"/>
        <w:ind w:left="142"/>
      </w:pPr>
      <w:r>
        <w:t>EME607 – Importazione file XML Uniemens-CIG</w:t>
      </w:r>
    </w:p>
    <w:p>
      <w:pPr>
        <w:pStyle w:val="CorpoAltF0"/>
      </w:pPr>
    </w:p>
    <w:p>
      <w:pPr>
        <w:pStyle w:val="CorpoAltF0"/>
      </w:pPr>
    </w:p>
    <w:p>
      <w:pPr>
        <w:pStyle w:val="CorpoAltF0"/>
      </w:pPr>
      <w:r>
        <w:t>Pertanto:</w:t>
      </w:r>
    </w:p>
    <w:p>
      <w:pPr>
        <w:pStyle w:val="CorpoAltF0"/>
        <w:numPr>
          <w:ilvl w:val="0"/>
          <w:numId w:val="13"/>
        </w:numPr>
        <w:spacing w:before="60"/>
        <w:ind w:left="284" w:hanging="284"/>
      </w:pPr>
      <w:r>
        <w:t xml:space="preserve">il comando </w:t>
      </w:r>
      <w:r>
        <w:rPr>
          <w:b/>
          <w:bCs/>
        </w:rPr>
        <w:t>EME501</w:t>
      </w:r>
      <w:r>
        <w:t xml:space="preserve"> dovrà essere eseguito per creare la denuncia UNIEMENS-CIG per la mensilità interessata dall’evento (la denuncia non viene creata dal comando di quadratura); </w:t>
      </w:r>
    </w:p>
    <w:p>
      <w:pPr>
        <w:pStyle w:val="CorpoAltF0"/>
        <w:numPr>
          <w:ilvl w:val="0"/>
          <w:numId w:val="13"/>
        </w:numPr>
        <w:spacing w:before="60"/>
        <w:ind w:left="284" w:hanging="284"/>
      </w:pPr>
      <w:r>
        <w:t xml:space="preserve">il comando </w:t>
      </w:r>
      <w:r>
        <w:rPr>
          <w:b/>
          <w:bCs/>
        </w:rPr>
        <w:t>EME502</w:t>
      </w:r>
      <w:r>
        <w:t xml:space="preserve"> consente di accedere alla gestione delle denunce create dal comando </w:t>
      </w:r>
      <w:r>
        <w:rPr>
          <w:b/>
          <w:bCs/>
        </w:rPr>
        <w:t>EME501</w:t>
      </w:r>
      <w:r>
        <w:t xml:space="preserve"> per verificare ed eventualmente variare i dati prelevati dal programma;</w:t>
      </w:r>
    </w:p>
    <w:p>
      <w:pPr>
        <w:pStyle w:val="CorpoAltF0"/>
        <w:numPr>
          <w:ilvl w:val="0"/>
          <w:numId w:val="13"/>
        </w:numPr>
        <w:spacing w:before="60"/>
        <w:ind w:left="284" w:hanging="284"/>
      </w:pPr>
      <w:r>
        <w:t xml:space="preserve">il comando </w:t>
      </w:r>
      <w:r>
        <w:rPr>
          <w:b/>
          <w:bCs/>
        </w:rPr>
        <w:t>EME601</w:t>
      </w:r>
      <w:r>
        <w:t xml:space="preserve"> dovrà essere eseguito per generare il file da trasmettere all’Inps, contente i dati presenti in gestione.</w:t>
      </w:r>
    </w:p>
    <w:p>
      <w:pPr>
        <w:pStyle w:val="CorpoAltF0"/>
      </w:pPr>
    </w:p>
    <w:p>
      <w:pPr>
        <w:pStyle w:val="CorpoAltF0"/>
        <w:spacing w:before="120"/>
        <w:rPr>
          <w:b/>
          <w:bCs/>
          <w:u w:val="single"/>
        </w:rPr>
      </w:pPr>
      <w:r>
        <w:rPr>
          <w:b/>
          <w:bCs/>
          <w:u w:val="single"/>
        </w:rPr>
        <w:t>Console telematici</w:t>
      </w:r>
    </w:p>
    <w:p>
      <w:pPr>
        <w:pStyle w:val="CorpoAltF0"/>
        <w:spacing w:before="60"/>
      </w:pPr>
      <w:r>
        <w:t xml:space="preserve">Con riferimento agli utenti che dispongono dell’applicativo </w:t>
      </w:r>
      <w:r>
        <w:rPr>
          <w:b/>
          <w:bCs/>
        </w:rPr>
        <w:t>CON.TE</w:t>
      </w:r>
      <w:r>
        <w:t xml:space="preserve"> (versione minima </w:t>
      </w:r>
      <w:r>
        <w:rPr>
          <w:b/>
          <w:bCs/>
        </w:rPr>
        <w:t>2021.0.4</w:t>
      </w:r>
      <w:r>
        <w:t>), il programma provvede alla generazione in “</w:t>
      </w:r>
      <w:r>
        <w:rPr>
          <w:i/>
          <w:iCs/>
        </w:rPr>
        <w:t>Console Telematici</w:t>
      </w:r>
      <w:r>
        <w:t>” delle scadenze e delle forniture relative alla nuova denuncia Uniemens-CIG.</w:t>
      </w:r>
    </w:p>
    <w:p>
      <w:pPr>
        <w:pStyle w:val="CorpoAltF0"/>
        <w:spacing w:before="60"/>
      </w:pPr>
      <w:r>
        <w:t>Pertanto, con la chiusura della denuncia Uniemens-CIG il programma procederà alla creazione della relativa scadenza in Console, con adempimento EMENSCIG, mentre la creazione della fornitura avverrà contestualmente alla generazione del file telematico.</w:t>
      </w:r>
    </w:p>
    <w:p>
      <w:pPr>
        <w:pStyle w:val="CorpoAltF0"/>
      </w:pPr>
      <w:r>
        <w:br w:type="page"/>
      </w:r>
    </w:p>
    <w:p>
      <w:pPr>
        <w:pStyle w:val="CorpoAltF0"/>
      </w:pPr>
    </w:p>
    <w:p>
      <w:pPr>
        <w:pStyle w:val="TS-titolo-04"/>
      </w:pPr>
      <w:bookmarkStart w:id="12" w:name="_Toc71218904"/>
      <w:r>
        <w:t>Denuncia Uniemens CIG</w:t>
      </w:r>
      <w:bookmarkEnd w:id="12"/>
    </w:p>
    <w:p>
      <w:pPr>
        <w:pStyle w:val="CorpoAltF0"/>
        <w:spacing w:before="120"/>
      </w:pPr>
      <w:r>
        <w:t>La nuova sezione “</w:t>
      </w:r>
      <w:r>
        <w:rPr>
          <w:b/>
          <w:bCs/>
        </w:rPr>
        <w:t>Denuncia Uniemens-CIG</w:t>
      </w:r>
      <w:r>
        <w:t>” contiene i comandi utili al prelievo e gestione dei dati relativi la denuncia UNIMENS-CIG.</w:t>
      </w:r>
    </w:p>
    <w:p>
      <w:pPr>
        <w:pStyle w:val="CorpoAltF0"/>
      </w:pPr>
    </w:p>
    <w:p>
      <w:pPr>
        <w:pStyle w:val="TS-titolo-05"/>
      </w:pPr>
      <w:bookmarkStart w:id="13" w:name="_Toc71218905"/>
      <w:r>
        <w:t>EME501 – Prelievo Uniemens-CIG</w:t>
      </w:r>
      <w:bookmarkEnd w:id="13"/>
    </w:p>
    <w:p>
      <w:pPr>
        <w:pStyle w:val="CorpoAltF0"/>
        <w:spacing w:before="120"/>
      </w:pPr>
      <w:r>
        <w:t xml:space="preserve">La compilazione automatica della denuncia Uniemens-CIG viene effettuata esclusivamente mediante il nuovo comando </w:t>
      </w:r>
      <w:r>
        <w:rPr>
          <w:b/>
          <w:bCs/>
        </w:rPr>
        <w:t>EME501</w:t>
      </w:r>
      <w:r>
        <w:t xml:space="preserve"> “</w:t>
      </w:r>
      <w:r>
        <w:rPr>
          <w:b/>
          <w:bCs/>
          <w:i/>
          <w:iCs/>
        </w:rPr>
        <w:t>Prelievo Uniemens-CIG</w:t>
      </w:r>
      <w:r>
        <w:t>”.</w:t>
      </w:r>
    </w:p>
    <w:p>
      <w:pPr>
        <w:pStyle w:val="CorpoAltF0"/>
        <w:spacing w:before="120"/>
        <w:jc w:val="center"/>
      </w:pPr>
      <w:r>
        <w:rPr>
          <w:noProof/>
        </w:rPr>
        <w:drawing>
          <wp:inline distT="0" distB="0" distL="0" distR="0">
            <wp:extent cx="5760000" cy="2258824"/>
            <wp:effectExtent l="0" t="0" r="0" b="825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000" cy="2258824"/>
                    </a:xfrm>
                    <a:prstGeom prst="rect">
                      <a:avLst/>
                    </a:prstGeom>
                  </pic:spPr>
                </pic:pic>
              </a:graphicData>
            </a:graphic>
          </wp:inline>
        </w:drawing>
      </w:r>
    </w:p>
    <w:p>
      <w:pPr>
        <w:pStyle w:val="CorpoAltF0"/>
      </w:pPr>
    </w:p>
    <w:p>
      <w:pPr>
        <w:pStyle w:val="CorpoAltF0"/>
        <w:spacing w:before="60"/>
      </w:pPr>
      <w:r>
        <w:t>Al campo “</w:t>
      </w:r>
      <w:r>
        <w:rPr>
          <w:i/>
          <w:iCs/>
        </w:rPr>
        <w:t>Anno/Mese</w:t>
      </w:r>
      <w:r>
        <w:t>” dovrà essere selezionato il periodo per il quale si vuole creare la denuncia (non sarà possibile selezionare una mensilità precedente ad aprile 2021).</w:t>
      </w:r>
    </w:p>
    <w:p>
      <w:pPr>
        <w:pStyle w:val="CorpoAltF0"/>
        <w:spacing w:before="60"/>
      </w:pPr>
      <w:r>
        <w:t>Nei successivi campi è possibile selezionare un range di aziende da elaborare; nel campo “</w:t>
      </w:r>
      <w:r>
        <w:rPr>
          <w:i/>
          <w:iCs/>
        </w:rPr>
        <w:t>Tipo prelievo</w:t>
      </w:r>
      <w:r>
        <w:t>” sono disponibili le seguenti opzioni: 1 “Prelievo”, 2 “</w:t>
      </w:r>
      <w:r>
        <w:rPr>
          <w:i/>
          <w:iCs/>
        </w:rPr>
        <w:t>Prelievo e chiusura</w:t>
      </w:r>
      <w:r>
        <w:t>” (proposto come valore di default), 3 “</w:t>
      </w:r>
      <w:r>
        <w:rPr>
          <w:i/>
          <w:iCs/>
        </w:rPr>
        <w:t>Apertura,</w:t>
      </w:r>
      <w:r>
        <w:t xml:space="preserve"> p</w:t>
      </w:r>
      <w:r>
        <w:rPr>
          <w:i/>
          <w:iCs/>
        </w:rPr>
        <w:t>relievo e chiusura</w:t>
      </w:r>
      <w:r>
        <w:t xml:space="preserve">”. </w:t>
      </w:r>
    </w:p>
    <w:p>
      <w:pPr>
        <w:pStyle w:val="CorpoAltF0"/>
        <w:spacing w:before="60"/>
      </w:pPr>
      <w:r>
        <w:t>Il campo “</w:t>
      </w:r>
      <w:r>
        <w:rPr>
          <w:i/>
          <w:iCs/>
        </w:rPr>
        <w:t>Sezione da prelevare</w:t>
      </w:r>
      <w:r>
        <w:t xml:space="preserve">” risulterà compilato in maniera fissa con il valore </w:t>
      </w:r>
      <w:r>
        <w:rPr>
          <w:b/>
          <w:bCs/>
        </w:rPr>
        <w:t>D</w:t>
      </w:r>
      <w:r>
        <w:t xml:space="preserve"> “</w:t>
      </w:r>
      <w:r>
        <w:rPr>
          <w:i/>
          <w:iCs/>
        </w:rPr>
        <w:t>Dipendenti</w:t>
      </w:r>
      <w:r>
        <w:t>”.</w:t>
      </w:r>
    </w:p>
    <w:p>
      <w:pPr>
        <w:pStyle w:val="CorpoAltF0"/>
        <w:spacing w:before="60"/>
      </w:pPr>
      <w:r>
        <w:t>Alla conferma del comando in oggetto il programma provvederà alla creazione di una denuncia individuale per i dipendenti che nel cedolino del mese di elaborazione presentano delle voci di differenze di accredito che si riferiscono a domande di CIG o Assegno ordinario a pagamento diretto che presentano in “</w:t>
      </w:r>
      <w:r>
        <w:rPr>
          <w:b/>
          <w:bCs/>
        </w:rPr>
        <w:t>CIG</w:t>
      </w:r>
      <w:r>
        <w:t xml:space="preserve"> – </w:t>
      </w:r>
      <w:r>
        <w:rPr>
          <w:i/>
          <w:iCs/>
        </w:rPr>
        <w:t>Gestone domande CIG</w:t>
      </w:r>
      <w:r>
        <w:t>” il valore “</w:t>
      </w:r>
      <w:r>
        <w:rPr>
          <w:i/>
          <w:iCs/>
        </w:rPr>
        <w:t>Si</w:t>
      </w:r>
      <w:r>
        <w:t>” al campo “</w:t>
      </w:r>
      <w:proofErr w:type="spellStart"/>
      <w:r>
        <w:rPr>
          <w:i/>
          <w:iCs/>
        </w:rPr>
        <w:t>UniEmensCig</w:t>
      </w:r>
      <w:proofErr w:type="spellEnd"/>
      <w:r>
        <w:t>”.</w:t>
      </w:r>
    </w:p>
    <w:p>
      <w:pPr>
        <w:pStyle w:val="CorpoAltF0"/>
        <w:rPr>
          <w:highlight w:val="yellow"/>
        </w:rPr>
      </w:pPr>
    </w:p>
    <w:p>
      <w:pPr>
        <w:pStyle w:val="CorpoAltF0"/>
        <w:spacing w:before="60"/>
        <w:rPr>
          <w:u w:val="single"/>
        </w:rPr>
      </w:pPr>
      <w:r>
        <w:rPr>
          <w:u w:val="single"/>
        </w:rPr>
        <w:t>Calendario sfasato</w:t>
      </w:r>
    </w:p>
    <w:p>
      <w:pPr>
        <w:pStyle w:val="CorpoAltF0"/>
        <w:spacing w:before="60"/>
      </w:pPr>
      <w:r>
        <w:t>In caso di aziende che elaborano i cedolini in modalità sfasata, qualora l’evento non venga anticipato, la liquidazione delle domande di CIG/Assegno ordinario avviene con l’elaborazione del cedolino del mese successivo quello di competenza dell’evento; in tal caso l’elaborazione della denuncia UNIEMENS-CIG deve comunque essere effettuata con riferimento al mese di competenza dell’evento (nella denuncia individuale del flusso UNIEMENS-CIG non è presente l’elemento &lt;</w:t>
      </w:r>
      <w:r>
        <w:rPr>
          <w:i/>
          <w:iCs/>
        </w:rPr>
        <w:t>MesePrecedente</w:t>
      </w:r>
      <w:r>
        <w:t xml:space="preserve">&gt;). </w:t>
      </w:r>
    </w:p>
    <w:p>
      <w:pPr>
        <w:pStyle w:val="CorpoAltF0"/>
        <w:spacing w:before="60"/>
      </w:pPr>
      <w:r>
        <w:t>Esempio: per una CIG di competenza del mese di aprile, liquidata con l’elaborazione dei cedolini di maggio, l’elaborazione del flusso UNIEMENS-CIG deve essere effettuato con riferimento al mese di aprile; pertanto, la funzione di prelievo UNIEMENS-CIG può essere eseguita solo dopo aver elaborato i cedolini di maggio, selezionando in EME501 il mese di aprile.</w:t>
      </w:r>
    </w:p>
    <w:p>
      <w:pPr>
        <w:pStyle w:val="CorpoAltF0"/>
        <w:spacing w:before="60"/>
      </w:pPr>
      <w:r>
        <w:t xml:space="preserve">Il programma in questo caso verificherà la presenza delle voci di differenze di accredito, utili per la compilazione della denuncia, nei cedolini del mese di maggio (il periodo di riferimento di tali voci riguarderà il mese precedente). </w:t>
      </w:r>
    </w:p>
    <w:p>
      <w:pPr>
        <w:pStyle w:val="CorpoAltF0"/>
      </w:pPr>
      <w:r>
        <w:br w:type="page"/>
      </w:r>
    </w:p>
    <w:p>
      <w:pPr>
        <w:pStyle w:val="CorpoAltF0"/>
      </w:pPr>
    </w:p>
    <w:p>
      <w:pPr>
        <w:pStyle w:val="TS-titolo-05"/>
      </w:pPr>
      <w:bookmarkStart w:id="14" w:name="_Toc71218906"/>
      <w:r>
        <w:t>EME502 – Gestione Uniemens-CIG</w:t>
      </w:r>
      <w:bookmarkEnd w:id="14"/>
    </w:p>
    <w:p>
      <w:pPr>
        <w:pStyle w:val="CorpoAltF0"/>
        <w:spacing w:before="120"/>
      </w:pPr>
      <w:r>
        <w:t xml:space="preserve">Mediante il nuovo comando </w:t>
      </w:r>
      <w:r>
        <w:rPr>
          <w:b/>
          <w:bCs/>
        </w:rPr>
        <w:t>EME502</w:t>
      </w:r>
      <w:r>
        <w:t xml:space="preserve"> “</w:t>
      </w:r>
      <w:r>
        <w:rPr>
          <w:b/>
          <w:bCs/>
          <w:i/>
          <w:iCs/>
        </w:rPr>
        <w:t>Gestione Uniemens-CIG</w:t>
      </w:r>
      <w:r>
        <w:t>” è possibile visualizzare e gestire le informazioni che sono state trasferite dal programma di prelievo e che verranno riportate nel file telematico da trasmettere all’Inps.</w:t>
      </w:r>
    </w:p>
    <w:p>
      <w:pPr>
        <w:pStyle w:val="CorpoAltF0"/>
        <w:spacing w:before="60"/>
      </w:pPr>
      <w:r>
        <w:t>Una volta selezionato il periodo della denuncia, l’azienda e il dipendente (il campo “</w:t>
      </w:r>
      <w:r>
        <w:rPr>
          <w:i/>
          <w:iCs/>
        </w:rPr>
        <w:t>Tipo sezione</w:t>
      </w:r>
      <w:r>
        <w:t>” risulterà compilato in maniera fissa con il valore “D”) il programma propone la gestione delle sezioni “</w:t>
      </w:r>
      <w:r>
        <w:rPr>
          <w:i/>
          <w:iCs/>
        </w:rPr>
        <w:t>Dati anagrafici</w:t>
      </w:r>
      <w:r>
        <w:t>” e “</w:t>
      </w:r>
      <w:r>
        <w:rPr>
          <w:i/>
          <w:iCs/>
        </w:rPr>
        <w:t>Retribuzioni</w:t>
      </w:r>
      <w:r>
        <w:t>” contenenti i campi utili alla compilazione del flusso mensile CIG.</w:t>
      </w:r>
    </w:p>
    <w:p>
      <w:pPr>
        <w:pStyle w:val="CorpoAltF0"/>
        <w:spacing w:before="60"/>
        <w:rPr>
          <w:bCs/>
        </w:rPr>
      </w:pPr>
      <w:r>
        <w:rPr>
          <w:bCs/>
        </w:rPr>
        <w:t>Tutti i campi richiesti nel flusso UNIEMENS-CIG sono presenti anche nel flusso UNIEMENS ordinario; pertanto, i criteri di compilazione utilizzati dal programma, se non diversamente indicato, risulteranno i medesimi utilizzati per il prelievo della denuncia ordinaria.</w:t>
      </w:r>
    </w:p>
    <w:p>
      <w:pPr>
        <w:pStyle w:val="CorpoAltF0"/>
        <w:spacing w:before="60"/>
        <w:rPr>
          <w:bCs/>
        </w:rPr>
      </w:pPr>
      <w:r>
        <w:rPr>
          <w:bCs/>
        </w:rPr>
        <w:t>I campi presenti in gestione ma non richiesti nel flusso UNIEMES-CIG risulteranno disabilitati.</w:t>
      </w:r>
    </w:p>
    <w:p>
      <w:pPr>
        <w:pStyle w:val="CorpoAltF0"/>
      </w:pPr>
    </w:p>
    <w:p>
      <w:pPr>
        <w:pStyle w:val="CorpoAltF0"/>
        <w:rPr>
          <w:b/>
          <w:bCs/>
          <w:u w:val="single"/>
        </w:rPr>
      </w:pPr>
      <w:r>
        <w:rPr>
          <w:b/>
          <w:bCs/>
          <w:u w:val="single"/>
        </w:rPr>
        <w:t>Dati anagrafici</w:t>
      </w:r>
    </w:p>
    <w:p>
      <w:pPr>
        <w:pStyle w:val="CorpoAltF0"/>
        <w:spacing w:before="120"/>
        <w:jc w:val="center"/>
      </w:pPr>
      <w:r>
        <w:rPr>
          <w:noProof/>
        </w:rPr>
        <w:drawing>
          <wp:inline distT="0" distB="0" distL="0" distR="0">
            <wp:extent cx="5760000" cy="2456022"/>
            <wp:effectExtent l="0" t="0" r="0" b="190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000" cy="2456022"/>
                    </a:xfrm>
                    <a:prstGeom prst="rect">
                      <a:avLst/>
                    </a:prstGeom>
                  </pic:spPr>
                </pic:pic>
              </a:graphicData>
            </a:graphic>
          </wp:inline>
        </w:drawing>
      </w:r>
    </w:p>
    <w:p>
      <w:pPr>
        <w:pStyle w:val="CorpoAltF0"/>
      </w:pPr>
    </w:p>
    <w:p>
      <w:pPr>
        <w:pStyle w:val="CorpoAltF0"/>
        <w:spacing w:before="60"/>
        <w:rPr>
          <w:bCs/>
        </w:rPr>
      </w:pPr>
      <w:r>
        <w:t xml:space="preserve">I campi presenti nella denuncia individuale del flusso UNIEMENS-CIG sono organizzati con la stessa logica della denuncia individuale del flusso UNIEMES ordinario; pertanto, le informazioni saranno elaborate ed esposte in </w:t>
      </w:r>
      <w:r>
        <w:rPr>
          <w:bCs/>
        </w:rPr>
        <w:t xml:space="preserve">funzione dei dati identificativi propri della denuncia individuale rappresentati dalle Qualifiche Inps 1, 2, 3 e dal codice Tipo contribuzione. </w:t>
      </w:r>
    </w:p>
    <w:p>
      <w:pPr>
        <w:pStyle w:val="CorpoAltF0"/>
      </w:pPr>
    </w:p>
    <w:p>
      <w:pPr>
        <w:pStyle w:val="CorpoAltF0"/>
      </w:pPr>
    </w:p>
    <w:p>
      <w:pPr>
        <w:pStyle w:val="CorpoAltF0"/>
        <w:rPr>
          <w:b/>
          <w:bCs/>
          <w:u w:val="single"/>
        </w:rPr>
      </w:pPr>
      <w:r>
        <w:rPr>
          <w:b/>
          <w:bCs/>
          <w:u w:val="single"/>
        </w:rPr>
        <w:t>Retribuzioni</w:t>
      </w:r>
    </w:p>
    <w:p>
      <w:pPr>
        <w:pStyle w:val="CorpoAltF0"/>
        <w:spacing w:before="120"/>
        <w:jc w:val="center"/>
      </w:pPr>
      <w:r>
        <w:rPr>
          <w:noProof/>
        </w:rPr>
        <w:drawing>
          <wp:inline distT="0" distB="0" distL="0" distR="0">
            <wp:extent cx="5760000" cy="2445266"/>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00" cy="2445266"/>
                    </a:xfrm>
                    <a:prstGeom prst="rect">
                      <a:avLst/>
                    </a:prstGeom>
                  </pic:spPr>
                </pic:pic>
              </a:graphicData>
            </a:graphic>
          </wp:inline>
        </w:drawing>
      </w:r>
    </w:p>
    <w:p>
      <w:pPr>
        <w:pStyle w:val="CorpoAltF0"/>
      </w:pPr>
      <w:r>
        <w:br w:type="page"/>
      </w:r>
    </w:p>
    <w:p>
      <w:pPr>
        <w:pStyle w:val="CorpoAltF0"/>
      </w:pPr>
    </w:p>
    <w:p>
      <w:pPr>
        <w:pStyle w:val="CorpoAltF0"/>
      </w:pPr>
      <w:r>
        <w:t>Nel flusso UNIEMES-CIG l’elemento &lt;</w:t>
      </w:r>
      <w:r>
        <w:rPr>
          <w:i/>
          <w:iCs/>
        </w:rPr>
        <w:t>Settimana</w:t>
      </w:r>
      <w:r>
        <w:t>&gt; e l’elemento &lt;</w:t>
      </w:r>
      <w:r>
        <w:rPr>
          <w:i/>
          <w:iCs/>
        </w:rPr>
        <w:t>Giorno</w:t>
      </w:r>
      <w:r>
        <w:t>&gt; devono essere compilati solo con riferimento ai periodi interessati da eventi di CIG o Assegno ordinario a pagamento diretto; non è ammessa per la Settimana/Giorno la copertura di tipo “</w:t>
      </w:r>
      <w:r>
        <w:rPr>
          <w:b/>
          <w:bCs/>
        </w:rPr>
        <w:t>X</w:t>
      </w:r>
      <w:r>
        <w:t>”.</w:t>
      </w:r>
    </w:p>
    <w:p>
      <w:pPr>
        <w:pStyle w:val="CorpoAltF0"/>
        <w:spacing w:before="60"/>
      </w:pPr>
      <w:r>
        <w:t xml:space="preserve">Pertanto, all’interno della sezione </w:t>
      </w:r>
      <w:r>
        <w:rPr>
          <w:b/>
          <w:bCs/>
        </w:rPr>
        <w:t>“</w:t>
      </w:r>
      <w:r>
        <w:rPr>
          <w:b/>
          <w:bCs/>
          <w:i/>
          <w:iCs/>
        </w:rPr>
        <w:t>Situazione settimanale</w:t>
      </w:r>
      <w:r>
        <w:rPr>
          <w:b/>
          <w:bCs/>
        </w:rPr>
        <w:t>”</w:t>
      </w:r>
      <w:r>
        <w:t xml:space="preserve"> il programma provvederà a compilare il tipo copertura e il relativo codice evento per le sole settimane interessate da evento a pagamento diretto, verificando le informazioni dalle voci di differenza di accredito (dalle quali verrà prelevato anche l’importo per la compilazione della sezione Differenze accredito).</w:t>
      </w:r>
    </w:p>
    <w:p>
      <w:pPr>
        <w:pStyle w:val="CorpoAltF0"/>
        <w:spacing w:before="60"/>
      </w:pPr>
      <w:r>
        <w:t xml:space="preserve">Analogamente, anche i dati presenti all’interno della </w:t>
      </w:r>
      <w:r>
        <w:rPr>
          <w:b/>
          <w:bCs/>
        </w:rPr>
        <w:t>“</w:t>
      </w:r>
      <w:r>
        <w:rPr>
          <w:b/>
          <w:bCs/>
          <w:i/>
          <w:iCs/>
        </w:rPr>
        <w:t>Gestione giorni</w:t>
      </w:r>
      <w:r>
        <w:rPr>
          <w:b/>
          <w:bCs/>
        </w:rPr>
        <w:t>”</w:t>
      </w:r>
      <w:r>
        <w:t xml:space="preserve"> (pulsante “</w:t>
      </w:r>
      <w:r>
        <w:rPr>
          <w:i/>
          <w:iCs/>
        </w:rPr>
        <w:t>Funzioni</w:t>
      </w:r>
      <w:r>
        <w:t>”) verranno compilati per le sole giornate interessate da CIG, verificando le informazioni dal programma di liquidazione.</w:t>
      </w:r>
    </w:p>
    <w:p>
      <w:pPr>
        <w:pStyle w:val="CorpoAltF0"/>
        <w:spacing w:before="120"/>
        <w:jc w:val="center"/>
      </w:pPr>
      <w:r>
        <w:rPr>
          <w:noProof/>
        </w:rPr>
        <w:drawing>
          <wp:inline distT="0" distB="0" distL="0" distR="0">
            <wp:extent cx="5760000" cy="1783156"/>
            <wp:effectExtent l="0" t="0" r="0" b="762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00" cy="1783156"/>
                    </a:xfrm>
                    <a:prstGeom prst="rect">
                      <a:avLst/>
                    </a:prstGeom>
                  </pic:spPr>
                </pic:pic>
              </a:graphicData>
            </a:graphic>
          </wp:inline>
        </w:drawing>
      </w:r>
    </w:p>
    <w:p>
      <w:pPr>
        <w:pStyle w:val="CorpoAltF0"/>
      </w:pPr>
    </w:p>
    <w:p>
      <w:pPr>
        <w:pStyle w:val="CorpoAltF0"/>
        <w:spacing w:before="60"/>
      </w:pPr>
      <w:r>
        <w:t>Nel dettaglio di tali giornate, al campo “</w:t>
      </w:r>
      <w:r>
        <w:rPr>
          <w:i/>
          <w:iCs/>
        </w:rPr>
        <w:t>Evento</w:t>
      </w:r>
      <w:r>
        <w:t>” verrà riportato il codice evento e al campo “</w:t>
      </w:r>
      <w:r>
        <w:rPr>
          <w:i/>
          <w:iCs/>
        </w:rPr>
        <w:t>Ore</w:t>
      </w:r>
      <w:r>
        <w:t>” le ore di evento per lo specifico giorno; al campo “</w:t>
      </w:r>
      <w:r>
        <w:rPr>
          <w:i/>
          <w:iCs/>
        </w:rPr>
        <w:t>identificativo</w:t>
      </w:r>
      <w:r>
        <w:t>” verrà esposto il numero ticket di riferimento (sezione “</w:t>
      </w:r>
      <w:r>
        <w:rPr>
          <w:i/>
          <w:iCs/>
        </w:rPr>
        <w:t>Dati autorizzazione</w:t>
      </w:r>
      <w:r>
        <w:t xml:space="preserve"> della relativa domanda CIG). </w:t>
      </w:r>
    </w:p>
    <w:p>
      <w:pPr>
        <w:pStyle w:val="CorpoAltF0"/>
        <w:spacing w:before="60"/>
      </w:pPr>
      <w:r>
        <w:t>Il campo Tipo copertura giornaliera (colonna TC) verrà compilato solo per i lavoratori dello Sport e Spettacolo.</w:t>
      </w:r>
    </w:p>
    <w:p>
      <w:pPr>
        <w:pStyle w:val="CorpoAltF0"/>
        <w:spacing w:before="60"/>
      </w:pPr>
      <w:r>
        <w:t>L’informazione “</w:t>
      </w:r>
      <w:r>
        <w:rPr>
          <w:i/>
          <w:iCs/>
        </w:rPr>
        <w:t>Lav</w:t>
      </w:r>
      <w:r>
        <w:t>.” (lavorato) viene verificata dalle presenze del mese.</w:t>
      </w:r>
    </w:p>
    <w:p>
      <w:pPr>
        <w:pStyle w:val="CorpoAltF0"/>
        <w:spacing w:before="60"/>
      </w:pPr>
      <w:r>
        <w:t>In presenza nello stesso mese di domande CIG/Assegno ordinario con Ticket diversi, verrà elaborata una sola denuncia individuale e per ciascun giorno verrà indicato il Ticket della domanda di riferimento.</w:t>
      </w:r>
    </w:p>
    <w:p>
      <w:pPr>
        <w:pStyle w:val="CorpoAltF0"/>
        <w:spacing w:before="60"/>
      </w:pPr>
      <w:r>
        <w:t>Inoltre, dal pulsante “</w:t>
      </w:r>
      <w:r>
        <w:rPr>
          <w:i/>
          <w:iCs/>
        </w:rPr>
        <w:t>Funzioni</w:t>
      </w:r>
      <w:r>
        <w:t xml:space="preserve">” è possibile accedere alla funzione </w:t>
      </w:r>
      <w:r>
        <w:rPr>
          <w:b/>
          <w:bCs/>
        </w:rPr>
        <w:t>“</w:t>
      </w:r>
      <w:r>
        <w:rPr>
          <w:b/>
          <w:bCs/>
          <w:i/>
          <w:iCs/>
        </w:rPr>
        <w:t>dati eventi CIG</w:t>
      </w:r>
      <w:r>
        <w:rPr>
          <w:b/>
          <w:bCs/>
        </w:rPr>
        <w:t>”</w:t>
      </w:r>
      <w:r>
        <w:t xml:space="preserve"> nella quale verranno riportate le informazioni richieste nell’elemento &lt;</w:t>
      </w:r>
      <w:proofErr w:type="spellStart"/>
      <w:r>
        <w:rPr>
          <w:i/>
          <w:iCs/>
        </w:rPr>
        <w:t>PagDiretto</w:t>
      </w:r>
      <w:proofErr w:type="spellEnd"/>
      <w:r>
        <w:t>&gt;.</w:t>
      </w:r>
    </w:p>
    <w:p>
      <w:pPr>
        <w:pStyle w:val="CorpoAltF0"/>
        <w:spacing w:before="120"/>
        <w:jc w:val="center"/>
      </w:pPr>
      <w:r>
        <w:rPr>
          <w:noProof/>
        </w:rPr>
        <w:drawing>
          <wp:inline distT="0" distB="0" distL="0" distR="0">
            <wp:extent cx="5760000" cy="222894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00" cy="2228945"/>
                    </a:xfrm>
                    <a:prstGeom prst="rect">
                      <a:avLst/>
                    </a:prstGeom>
                  </pic:spPr>
                </pic:pic>
              </a:graphicData>
            </a:graphic>
          </wp:inline>
        </w:drawing>
      </w:r>
    </w:p>
    <w:p>
      <w:pPr>
        <w:pStyle w:val="CorpoAltF0"/>
      </w:pPr>
    </w:p>
    <w:p>
      <w:pPr>
        <w:pStyle w:val="CorpoAltF0"/>
        <w:spacing w:before="60" w:after="120"/>
      </w:pPr>
      <w:r>
        <w:t>I campi presenti nella sezione “</w:t>
      </w:r>
      <w:r>
        <w:rPr>
          <w:i/>
          <w:iCs/>
        </w:rPr>
        <w:t>Dati pagamento diretto</w:t>
      </w:r>
      <w:r>
        <w:t>” verranno compilati dal programma nel seguente modo:</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6"/>
        <w:gridCol w:w="6643"/>
      </w:tblGrid>
      <w:tr>
        <w:tc>
          <w:tcPr>
            <w:tcW w:w="2996" w:type="dxa"/>
          </w:tcPr>
          <w:p>
            <w:pPr>
              <w:pStyle w:val="CorpoAltF0"/>
              <w:rPr>
                <w:i/>
                <w:iCs/>
              </w:rPr>
            </w:pPr>
            <w:r>
              <w:rPr>
                <w:i/>
                <w:iCs/>
              </w:rPr>
              <w:t>IBAN:</w:t>
            </w:r>
          </w:p>
          <w:p>
            <w:pPr>
              <w:pStyle w:val="CorpoAltF0"/>
              <w:rPr>
                <w:i/>
                <w:iCs/>
              </w:rPr>
            </w:pPr>
          </w:p>
          <w:p>
            <w:pPr>
              <w:pStyle w:val="CorpoAltF0"/>
              <w:rPr>
                <w:i/>
                <w:iCs/>
              </w:rPr>
            </w:pPr>
          </w:p>
          <w:p>
            <w:pPr>
              <w:pStyle w:val="CorpoAltF0"/>
              <w:rPr>
                <w:i/>
                <w:iCs/>
              </w:rPr>
            </w:pPr>
          </w:p>
          <w:p>
            <w:pPr>
              <w:pStyle w:val="CorpoAltF0"/>
              <w:rPr>
                <w:i/>
                <w:iCs/>
              </w:rPr>
            </w:pPr>
          </w:p>
          <w:p>
            <w:pPr>
              <w:pStyle w:val="CorpoAltF0"/>
              <w:rPr>
                <w:i/>
                <w:iCs/>
              </w:rPr>
            </w:pPr>
          </w:p>
          <w:p>
            <w:pPr>
              <w:pStyle w:val="CorpoAltF0"/>
              <w:rPr>
                <w:i/>
                <w:iCs/>
              </w:rPr>
            </w:pPr>
          </w:p>
          <w:p>
            <w:pPr>
              <w:pStyle w:val="CorpoAltF0"/>
              <w:rPr>
                <w:i/>
                <w:iCs/>
              </w:rPr>
            </w:pPr>
          </w:p>
        </w:tc>
        <w:tc>
          <w:tcPr>
            <w:tcW w:w="6643" w:type="dxa"/>
          </w:tcPr>
          <w:p>
            <w:pPr>
              <w:pStyle w:val="CorpoAltF0"/>
              <w:rPr>
                <w:color w:val="000000"/>
              </w:rPr>
            </w:pPr>
            <w:r>
              <w:rPr>
                <w:color w:val="000000"/>
              </w:rPr>
              <w:t>IBAN del dipendente.</w:t>
            </w:r>
          </w:p>
          <w:p>
            <w:pPr>
              <w:pStyle w:val="CorpoAltF0"/>
              <w:spacing w:before="60"/>
            </w:pPr>
            <w:r>
              <w:rPr>
                <w:color w:val="000000"/>
              </w:rPr>
              <w:t xml:space="preserve">Tale valore viene </w:t>
            </w:r>
            <w:r>
              <w:t>prelevato dal campo “</w:t>
            </w:r>
            <w:r>
              <w:rPr>
                <w:i/>
                <w:iCs/>
              </w:rPr>
              <w:t>IBAN</w:t>
            </w:r>
            <w:r>
              <w:t>” della sezione “</w:t>
            </w:r>
            <w:r>
              <w:rPr>
                <w:i/>
                <w:iCs/>
              </w:rPr>
              <w:t>Secondo accredito</w:t>
            </w:r>
            <w:r>
              <w:t>” della scheda “</w:t>
            </w:r>
            <w:r>
              <w:rPr>
                <w:i/>
                <w:iCs/>
              </w:rPr>
              <w:t>Pagamento</w:t>
            </w:r>
            <w:r>
              <w:t xml:space="preserve">” di </w:t>
            </w:r>
            <w:r>
              <w:rPr>
                <w:b/>
                <w:bCs/>
              </w:rPr>
              <w:t>DIPE</w:t>
            </w:r>
            <w:r>
              <w:t xml:space="preserve"> qualora nel relativo campo “</w:t>
            </w:r>
            <w:r>
              <w:rPr>
                <w:i/>
                <w:iCs/>
              </w:rPr>
              <w:t>Abilita gestione</w:t>
            </w:r>
            <w:r>
              <w:t>” risulti selezionato il valore “</w:t>
            </w:r>
            <w:r>
              <w:rPr>
                <w:i/>
                <w:iCs/>
              </w:rPr>
              <w:t>Accredito CIG a pagamento diretto</w:t>
            </w:r>
            <w:r>
              <w:t>”; in caso contrario, il valore verrà prelevato dal campo “</w:t>
            </w:r>
            <w:r>
              <w:rPr>
                <w:i/>
                <w:iCs/>
              </w:rPr>
              <w:t>IBAN</w:t>
            </w:r>
            <w:r>
              <w:t>” (o, se presente, “</w:t>
            </w:r>
            <w:r>
              <w:rPr>
                <w:i/>
                <w:iCs/>
              </w:rPr>
              <w:t>IBAN estero</w:t>
            </w:r>
            <w:r>
              <w:t>”), della prima sezione della scheda “</w:t>
            </w:r>
            <w:r>
              <w:rPr>
                <w:i/>
                <w:iCs/>
              </w:rPr>
              <w:t>Pagamento</w:t>
            </w:r>
            <w:r>
              <w:t>”;</w:t>
            </w:r>
          </w:p>
          <w:p>
            <w:pPr>
              <w:pStyle w:val="CorpoAltF0"/>
            </w:pPr>
          </w:p>
        </w:tc>
      </w:tr>
      <w:tr>
        <w:tc>
          <w:tcPr>
            <w:tcW w:w="2996" w:type="dxa"/>
          </w:tcPr>
          <w:p>
            <w:pPr>
              <w:pStyle w:val="CorpoAltF0"/>
              <w:rPr>
                <w:i/>
                <w:iCs/>
              </w:rPr>
            </w:pPr>
            <w:r>
              <w:rPr>
                <w:i/>
                <w:iCs/>
              </w:rPr>
              <w:lastRenderedPageBreak/>
              <w:t>Codice sindacale:</w:t>
            </w:r>
          </w:p>
          <w:p>
            <w:pPr>
              <w:pStyle w:val="CorpoAltF0"/>
              <w:rPr>
                <w:highlight w:val="yellow"/>
              </w:rPr>
            </w:pPr>
          </w:p>
          <w:p>
            <w:pPr>
              <w:pStyle w:val="CorpoAltF0"/>
              <w:rPr>
                <w:highlight w:val="yellow"/>
              </w:rPr>
            </w:pPr>
          </w:p>
          <w:p>
            <w:pPr>
              <w:pStyle w:val="CorpoAltF0"/>
              <w:rPr>
                <w:highlight w:val="yellow"/>
              </w:rPr>
            </w:pPr>
          </w:p>
          <w:p>
            <w:pPr>
              <w:pStyle w:val="CorpoAltF0"/>
              <w:rPr>
                <w:highlight w:val="yellow"/>
              </w:rPr>
            </w:pPr>
          </w:p>
          <w:p>
            <w:pPr>
              <w:pStyle w:val="CorpoAltF0"/>
              <w:rPr>
                <w:highlight w:val="yellow"/>
              </w:rPr>
            </w:pPr>
          </w:p>
          <w:p>
            <w:pPr>
              <w:pStyle w:val="CorpoAltF0"/>
              <w:rPr>
                <w:highlight w:val="yellow"/>
              </w:rPr>
            </w:pPr>
          </w:p>
          <w:p>
            <w:pPr>
              <w:pStyle w:val="CorpoAltF0"/>
              <w:rPr>
                <w:highlight w:val="yellow"/>
              </w:rPr>
            </w:pPr>
          </w:p>
          <w:p>
            <w:pPr>
              <w:pStyle w:val="CorpoAltF0"/>
              <w:rPr>
                <w:highlight w:val="yellow"/>
              </w:rPr>
            </w:pPr>
          </w:p>
          <w:p>
            <w:pPr>
              <w:pStyle w:val="CorpoAltF0"/>
              <w:rPr>
                <w:i/>
                <w:iCs/>
                <w:highlight w:val="yellow"/>
              </w:rPr>
            </w:pPr>
          </w:p>
        </w:tc>
        <w:tc>
          <w:tcPr>
            <w:tcW w:w="6643" w:type="dxa"/>
          </w:tcPr>
          <w:p>
            <w:pPr>
              <w:pStyle w:val="CorpoAltF0"/>
            </w:pPr>
            <w:r>
              <w:t>In tale campo deve essere indicato il codice identificativo dell’organizzazione sindacale cui versare la quota trattenuta (dall’Inps). Se assente non verrà effettuata alcuna trattenuta.</w:t>
            </w:r>
          </w:p>
          <w:p>
            <w:pPr>
              <w:pStyle w:val="CorpoAltF0"/>
              <w:spacing w:before="60"/>
            </w:pPr>
            <w:r>
              <w:t xml:space="preserve">Il programma compila questo campo in presenza nel cedolino della voce descrittiva </w:t>
            </w:r>
            <w:r>
              <w:rPr>
                <w:b/>
                <w:bCs/>
              </w:rPr>
              <w:t>9380</w:t>
            </w:r>
            <w:r>
              <w:t xml:space="preserve"> “</w:t>
            </w:r>
            <w:r>
              <w:rPr>
                <w:b/>
                <w:bCs/>
              </w:rPr>
              <w:t xml:space="preserve">CIG PAG.DIR - TRAT.SIND.” </w:t>
            </w:r>
            <w:r>
              <w:t>avente “</w:t>
            </w:r>
            <w:r>
              <w:rPr>
                <w:i/>
              </w:rPr>
              <w:t>Codice agg. EMENS</w:t>
            </w:r>
            <w:r>
              <w:t xml:space="preserve">” pari a </w:t>
            </w:r>
            <w:r>
              <w:rPr>
                <w:b/>
              </w:rPr>
              <w:t xml:space="preserve">85 </w:t>
            </w:r>
            <w:r>
              <w:rPr>
                <w:bCs/>
              </w:rPr>
              <w:t>(utile a bloccare il calcolo della trattenuta nel cedolino)</w:t>
            </w:r>
            <w:r>
              <w:rPr>
                <w:b/>
              </w:rPr>
              <w:t xml:space="preserve"> </w:t>
            </w:r>
            <w:r>
              <w:rPr>
                <w:bCs/>
              </w:rPr>
              <w:t>riportando il</w:t>
            </w:r>
            <w:r>
              <w:rPr>
                <w:b/>
              </w:rPr>
              <w:t xml:space="preserve"> </w:t>
            </w:r>
            <w:r>
              <w:t>codice sindacato Uniemens” indicato nella tabella anagrafica sindacati (</w:t>
            </w:r>
            <w:r>
              <w:rPr>
                <w:b/>
              </w:rPr>
              <w:t>TB1001</w:t>
            </w:r>
            <w:r>
              <w:t>) collegata in anagrafica dipendente (scheda “</w:t>
            </w:r>
            <w:r>
              <w:rPr>
                <w:i/>
              </w:rPr>
              <w:t>Trattenute</w:t>
            </w:r>
            <w:r>
              <w:t>”);</w:t>
            </w:r>
          </w:p>
          <w:p>
            <w:pPr>
              <w:pStyle w:val="CorpoAltF0"/>
              <w:rPr>
                <w:highlight w:val="yellow"/>
              </w:rPr>
            </w:pPr>
          </w:p>
        </w:tc>
      </w:tr>
      <w:tr>
        <w:tc>
          <w:tcPr>
            <w:tcW w:w="2996" w:type="dxa"/>
          </w:tcPr>
          <w:p>
            <w:pPr>
              <w:pStyle w:val="CorpoAltF0"/>
              <w:rPr>
                <w:i/>
                <w:iCs/>
              </w:rPr>
            </w:pPr>
            <w:r>
              <w:rPr>
                <w:i/>
                <w:iCs/>
              </w:rPr>
              <w:t>Importo ANF:</w:t>
            </w:r>
          </w:p>
          <w:p>
            <w:pPr>
              <w:pStyle w:val="CorpoAltF0"/>
              <w:rPr>
                <w:i/>
                <w:iCs/>
              </w:rPr>
            </w:pPr>
          </w:p>
          <w:p>
            <w:pPr>
              <w:pStyle w:val="CorpoAltF0"/>
              <w:rPr>
                <w:i/>
                <w:iCs/>
              </w:rPr>
            </w:pPr>
          </w:p>
          <w:p>
            <w:pPr>
              <w:pStyle w:val="CorpoAltF0"/>
              <w:rPr>
                <w:i/>
                <w:iCs/>
              </w:rPr>
            </w:pPr>
          </w:p>
          <w:p>
            <w:pPr>
              <w:pStyle w:val="CorpoAltF0"/>
              <w:rPr>
                <w:i/>
                <w:iCs/>
              </w:rPr>
            </w:pPr>
          </w:p>
        </w:tc>
        <w:tc>
          <w:tcPr>
            <w:tcW w:w="6643" w:type="dxa"/>
          </w:tcPr>
          <w:p>
            <w:pPr>
              <w:pStyle w:val="CorpoAltF0"/>
              <w:spacing w:before="60"/>
            </w:pPr>
            <w:r>
              <w:t>importo di ANF spettante per il periodo interessato da CIG a pagamento diretto, erogato direttamente dall’INPS.</w:t>
            </w:r>
          </w:p>
          <w:p>
            <w:pPr>
              <w:pStyle w:val="CorpoAltF0"/>
              <w:spacing w:before="60"/>
            </w:pPr>
            <w:r>
              <w:t xml:space="preserve">Tale importo viene prelevato dalla voce di calcolo </w:t>
            </w:r>
            <w:r>
              <w:rPr>
                <w:b/>
                <w:bCs/>
              </w:rPr>
              <w:t>9444</w:t>
            </w:r>
            <w:r>
              <w:t xml:space="preserve"> “PAG. DIRETTO ANF CIG/ASO” avente al campo “</w:t>
            </w:r>
            <w:proofErr w:type="spellStart"/>
            <w:r>
              <w:rPr>
                <w:i/>
                <w:iCs/>
              </w:rPr>
              <w:t>Cod.quadrature</w:t>
            </w:r>
            <w:proofErr w:type="spellEnd"/>
            <w:r>
              <w:rPr>
                <w:i/>
                <w:iCs/>
              </w:rPr>
              <w:t xml:space="preserve"> e DM10</w:t>
            </w:r>
            <w:r>
              <w:t xml:space="preserve">” il codice </w:t>
            </w:r>
            <w:r>
              <w:rPr>
                <w:b/>
                <w:bCs/>
              </w:rPr>
              <w:t>462</w:t>
            </w:r>
            <w:r>
              <w:t>;</w:t>
            </w:r>
          </w:p>
          <w:p>
            <w:pPr>
              <w:pStyle w:val="CorpoAltF0"/>
            </w:pPr>
          </w:p>
        </w:tc>
      </w:tr>
      <w:tr>
        <w:tc>
          <w:tcPr>
            <w:tcW w:w="2996" w:type="dxa"/>
          </w:tcPr>
          <w:p>
            <w:pPr>
              <w:pStyle w:val="CorpoAltF0"/>
              <w:rPr>
                <w:i/>
                <w:iCs/>
              </w:rPr>
            </w:pPr>
            <w:r>
              <w:rPr>
                <w:i/>
                <w:iCs/>
              </w:rPr>
              <w:t>Trattenuta pensione:</w:t>
            </w:r>
          </w:p>
          <w:p>
            <w:pPr>
              <w:pStyle w:val="CorpoAltF0"/>
            </w:pPr>
          </w:p>
          <w:p>
            <w:pPr>
              <w:pStyle w:val="CorpoAltF0"/>
            </w:pPr>
          </w:p>
          <w:p>
            <w:pPr>
              <w:pStyle w:val="CorpoAltF0"/>
            </w:pPr>
          </w:p>
          <w:p>
            <w:pPr>
              <w:pStyle w:val="CorpoAltF0"/>
              <w:rPr>
                <w:i/>
                <w:iCs/>
              </w:rPr>
            </w:pPr>
          </w:p>
        </w:tc>
        <w:tc>
          <w:tcPr>
            <w:tcW w:w="6643" w:type="dxa"/>
          </w:tcPr>
          <w:p>
            <w:pPr>
              <w:pStyle w:val="CorpoAltF0"/>
            </w:pPr>
            <w:r>
              <w:t>Contiene l’importo da trattenere qualora trattasi di lavoratore pensionato per il quale sia prevista la trattenuta giornaliera.</w:t>
            </w:r>
          </w:p>
          <w:p>
            <w:pPr>
              <w:pStyle w:val="CorpoAltF0"/>
            </w:pPr>
            <w:r>
              <w:t xml:space="preserve">Il programma riporta l’importo della voce descrittiva </w:t>
            </w:r>
            <w:r>
              <w:rPr>
                <w:b/>
                <w:bCs/>
              </w:rPr>
              <w:t>9379 “CIG PAG.DIR - TRAT.PENS.”</w:t>
            </w:r>
            <w:r>
              <w:t xml:space="preserve"> (con “</w:t>
            </w:r>
            <w:r>
              <w:rPr>
                <w:i/>
                <w:iCs/>
              </w:rPr>
              <w:t>Codice agg. EMENS</w:t>
            </w:r>
            <w:r>
              <w:t xml:space="preserve">” pari a </w:t>
            </w:r>
            <w:r>
              <w:rPr>
                <w:b/>
                <w:bCs/>
              </w:rPr>
              <w:t>84</w:t>
            </w:r>
            <w:r>
              <w:t>);</w:t>
            </w:r>
          </w:p>
          <w:p>
            <w:pPr>
              <w:pStyle w:val="CorpoAltF0"/>
            </w:pPr>
          </w:p>
        </w:tc>
      </w:tr>
      <w:tr>
        <w:tc>
          <w:tcPr>
            <w:tcW w:w="2996" w:type="dxa"/>
          </w:tcPr>
          <w:p>
            <w:pPr>
              <w:pStyle w:val="CorpoAltF0"/>
              <w:rPr>
                <w:i/>
                <w:iCs/>
              </w:rPr>
            </w:pPr>
            <w:r>
              <w:rPr>
                <w:i/>
                <w:iCs/>
              </w:rPr>
              <w:t>Detrazione lavoro dipendente:</w:t>
            </w:r>
          </w:p>
          <w:p>
            <w:pPr>
              <w:pStyle w:val="CorpoAltF0"/>
              <w:rPr>
                <w:i/>
                <w:iCs/>
              </w:rPr>
            </w:pPr>
          </w:p>
          <w:p>
            <w:pPr>
              <w:pStyle w:val="CorpoAltF0"/>
              <w:rPr>
                <w:i/>
                <w:iCs/>
              </w:rPr>
            </w:pPr>
          </w:p>
          <w:p>
            <w:pPr>
              <w:pStyle w:val="CorpoAltF0"/>
              <w:rPr>
                <w:i/>
                <w:iCs/>
              </w:rPr>
            </w:pPr>
          </w:p>
          <w:p>
            <w:pPr>
              <w:pStyle w:val="CorpoAltF0"/>
              <w:rPr>
                <w:i/>
                <w:iCs/>
              </w:rPr>
            </w:pPr>
          </w:p>
          <w:p>
            <w:pPr>
              <w:pStyle w:val="CorpoAltF0"/>
              <w:rPr>
                <w:i/>
                <w:iCs/>
              </w:rPr>
            </w:pPr>
          </w:p>
          <w:p>
            <w:pPr>
              <w:pStyle w:val="CorpoAltF0"/>
              <w:rPr>
                <w:i/>
                <w:iCs/>
              </w:rPr>
            </w:pPr>
          </w:p>
          <w:p>
            <w:pPr>
              <w:pStyle w:val="CorpoAltF0"/>
              <w:rPr>
                <w:i/>
                <w:iCs/>
              </w:rPr>
            </w:pPr>
          </w:p>
          <w:p>
            <w:pPr>
              <w:pStyle w:val="CorpoAltF0"/>
              <w:rPr>
                <w:i/>
                <w:iCs/>
              </w:rPr>
            </w:pPr>
          </w:p>
          <w:p>
            <w:pPr>
              <w:pStyle w:val="CorpoAltF0"/>
              <w:rPr>
                <w:i/>
                <w:iCs/>
              </w:rPr>
            </w:pPr>
          </w:p>
          <w:p>
            <w:pPr>
              <w:pStyle w:val="CorpoAltF0"/>
              <w:rPr>
                <w:i/>
                <w:iCs/>
              </w:rPr>
            </w:pPr>
          </w:p>
        </w:tc>
        <w:tc>
          <w:tcPr>
            <w:tcW w:w="6643" w:type="dxa"/>
          </w:tcPr>
          <w:p>
            <w:pPr>
              <w:pStyle w:val="CorpoAltF0"/>
            </w:pPr>
            <w:r>
              <w:t>viene riportato il valore “N”;</w:t>
            </w:r>
          </w:p>
          <w:p>
            <w:pPr>
              <w:pStyle w:val="CorpoAltF0"/>
              <w:spacing w:before="60"/>
            </w:pPr>
            <w:r>
              <w:t>Nella circolare n. 62/2021 viene indicato che qualora tale campo venga compilato con il codice “S”, l’informazione dei giorni di detrazione viene desunta con riferimento a ciascun Ticket presente nel flusso, a partire dal</w:t>
            </w:r>
          </w:p>
          <w:p>
            <w:pPr>
              <w:pStyle w:val="CorpoAltF0"/>
            </w:pPr>
            <w:r>
              <w:t xml:space="preserve">numero di giornate dichiarate con lo stesso Ticket. </w:t>
            </w:r>
          </w:p>
          <w:p>
            <w:pPr>
              <w:pStyle w:val="CorpoAltF0"/>
            </w:pPr>
            <w:r>
              <w:t>Si sottolinea che tale criterio comporta il mancato conteggio come giorni di detrazione per i giorni di riposo e zero ore; ad esempio, in caso di CIG di durata pari all’intero mese i giorni di detrazione riconosciuti dall’Istituto sarebbero inferiori a quelli spettanti nel mese. In attesa di ulteriori chiarimenti, in fase di prelievo il programma propone il valore “N”;</w:t>
            </w:r>
          </w:p>
          <w:p>
            <w:pPr>
              <w:pStyle w:val="CorpoAltF0"/>
            </w:pPr>
          </w:p>
        </w:tc>
      </w:tr>
      <w:tr>
        <w:tc>
          <w:tcPr>
            <w:tcW w:w="2996" w:type="dxa"/>
          </w:tcPr>
          <w:p>
            <w:pPr>
              <w:pStyle w:val="CorpoAltF0"/>
              <w:rPr>
                <w:i/>
                <w:iCs/>
              </w:rPr>
            </w:pPr>
            <w:r>
              <w:rPr>
                <w:i/>
                <w:iCs/>
              </w:rPr>
              <w:t>Detrazione carichi di famiglia:</w:t>
            </w:r>
          </w:p>
          <w:p>
            <w:pPr>
              <w:pStyle w:val="CorpoAltF0"/>
              <w:rPr>
                <w:i/>
                <w:iCs/>
              </w:rPr>
            </w:pPr>
          </w:p>
          <w:p>
            <w:pPr>
              <w:pStyle w:val="CorpoAltF0"/>
              <w:rPr>
                <w:i/>
                <w:iCs/>
              </w:rPr>
            </w:pPr>
          </w:p>
          <w:p>
            <w:pPr>
              <w:pStyle w:val="CorpoAltF0"/>
              <w:rPr>
                <w:i/>
                <w:iCs/>
              </w:rPr>
            </w:pPr>
          </w:p>
        </w:tc>
        <w:tc>
          <w:tcPr>
            <w:tcW w:w="6643" w:type="dxa"/>
          </w:tcPr>
          <w:p>
            <w:pPr>
              <w:pStyle w:val="CorpoAltF0"/>
            </w:pPr>
            <w:r>
              <w:t>tale campo non viene compilato (</w:t>
            </w:r>
            <w:r>
              <w:rPr>
                <w:i/>
                <w:iCs/>
              </w:rPr>
              <w:t>Spazio)</w:t>
            </w:r>
            <w:r>
              <w:t xml:space="preserve">. </w:t>
            </w:r>
          </w:p>
          <w:p>
            <w:pPr>
              <w:pStyle w:val="CorpoAltF0"/>
              <w:spacing w:before="60"/>
            </w:pPr>
            <w:r>
              <w:t>Si precisa che l’Inps tramite Assosoftware ha comunicato che tale campo non dovrà essere riportato nel flusso Uniemens-CIG (analogamente a quanto previsto nel modello SR41).</w:t>
            </w:r>
          </w:p>
        </w:tc>
      </w:tr>
    </w:tbl>
    <w:p>
      <w:pPr>
        <w:pStyle w:val="CorpoAltF0"/>
      </w:pPr>
    </w:p>
    <w:p>
      <w:pPr>
        <w:pStyle w:val="CorpoAltF0"/>
      </w:pPr>
      <w:r>
        <w:t>Le informazioni presenti in questa sezione sono richieste con riferimento allo specifico Ticket e quindi, in caso di domande aventi codici Ticket diversi, verranno creati distinti progressivi; gli elementi “</w:t>
      </w:r>
      <w:r>
        <w:rPr>
          <w:i/>
          <w:iCs/>
        </w:rPr>
        <w:t>Codice sindacale</w:t>
      </w:r>
      <w:r>
        <w:t>” e “</w:t>
      </w:r>
      <w:r>
        <w:rPr>
          <w:i/>
          <w:iCs/>
        </w:rPr>
        <w:t>Trattenuta pensione</w:t>
      </w:r>
      <w:r>
        <w:t>” verranno comunque compilati solo nel primo progressivo.</w:t>
      </w:r>
    </w:p>
    <w:p>
      <w:pPr>
        <w:pStyle w:val="CorpoAltF0"/>
        <w:spacing w:before="60"/>
      </w:pPr>
      <w:r>
        <w:t>Infine, con riferimento ai lavoratori dello sport e spettacolo, all’interno del pulsante “</w:t>
      </w:r>
      <w:r>
        <w:rPr>
          <w:i/>
          <w:iCs/>
        </w:rPr>
        <w:t>Funzioni</w:t>
      </w:r>
      <w:r>
        <w:t xml:space="preserve">” è possibile selezionare la scelta </w:t>
      </w:r>
      <w:r>
        <w:rPr>
          <w:b/>
          <w:bCs/>
        </w:rPr>
        <w:t>“</w:t>
      </w:r>
      <w:proofErr w:type="spellStart"/>
      <w:r>
        <w:rPr>
          <w:b/>
          <w:bCs/>
          <w:i/>
          <w:iCs/>
        </w:rPr>
        <w:t>lavor</w:t>
      </w:r>
      <w:proofErr w:type="spellEnd"/>
      <w:r>
        <w:rPr>
          <w:b/>
          <w:bCs/>
          <w:i/>
          <w:iCs/>
        </w:rPr>
        <w:t>. sport/</w:t>
      </w:r>
      <w:proofErr w:type="spellStart"/>
      <w:r>
        <w:rPr>
          <w:b/>
          <w:bCs/>
          <w:i/>
          <w:iCs/>
        </w:rPr>
        <w:t>spett</w:t>
      </w:r>
      <w:proofErr w:type="spellEnd"/>
      <w:r>
        <w:rPr>
          <w:b/>
          <w:bCs/>
        </w:rPr>
        <w:t>”</w:t>
      </w:r>
      <w:r>
        <w:t xml:space="preserve"> nella quale specificare la tipologia del rapporto di lavoro e il codice della qualifica professionale di riferimento.</w:t>
      </w:r>
    </w:p>
    <w:p>
      <w:pPr>
        <w:pStyle w:val="CorpoAltF0"/>
        <w:spacing w:before="120"/>
        <w:jc w:val="center"/>
      </w:pPr>
      <w:r>
        <w:rPr>
          <w:noProof/>
        </w:rPr>
        <w:drawing>
          <wp:inline distT="0" distB="0" distL="0" distR="0">
            <wp:extent cx="5760000" cy="1254304"/>
            <wp:effectExtent l="0" t="0" r="0" b="317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00" cy="1254304"/>
                    </a:xfrm>
                    <a:prstGeom prst="rect">
                      <a:avLst/>
                    </a:prstGeom>
                  </pic:spPr>
                </pic:pic>
              </a:graphicData>
            </a:graphic>
          </wp:inline>
        </w:drawing>
      </w:r>
    </w:p>
    <w:p>
      <w:pPr>
        <w:pStyle w:val="CorpoAltF0"/>
      </w:pPr>
      <w:r>
        <w:br w:type="page"/>
      </w:r>
    </w:p>
    <w:p>
      <w:pPr>
        <w:pStyle w:val="CorpoAltF0"/>
      </w:pPr>
    </w:p>
    <w:p>
      <w:pPr>
        <w:pStyle w:val="CorpoAltF0"/>
        <w:spacing w:before="120"/>
        <w:rPr>
          <w:b/>
          <w:bCs/>
          <w:u w:val="single"/>
        </w:rPr>
      </w:pPr>
      <w:bookmarkStart w:id="15" w:name="_Hlk71188951"/>
      <w:bookmarkStart w:id="16" w:name="_Hlk71191787"/>
      <w:r>
        <w:rPr>
          <w:b/>
          <w:bCs/>
          <w:u w:val="single"/>
        </w:rPr>
        <w:t>Variazione/Annullamento dichiarazione</w:t>
      </w:r>
    </w:p>
    <w:p>
      <w:pPr>
        <w:pStyle w:val="CorpoAltF0"/>
        <w:spacing w:before="120"/>
      </w:pPr>
      <w:r>
        <w:t>Nel caso in cui ci sia la necessità di effettuare un flusso di variazione di una singola denuncia individuale già trasmessa, sarà necessario riaprire la denuncia oggetto di rettifica (</w:t>
      </w:r>
      <w:r>
        <w:rPr>
          <w:b/>
          <w:bCs/>
        </w:rPr>
        <w:t>EME502</w:t>
      </w:r>
      <w:r>
        <w:t>), apportare le variazioni necessarie, indicare il valore “S” al campo “</w:t>
      </w:r>
      <w:r>
        <w:rPr>
          <w:i/>
          <w:iCs/>
        </w:rPr>
        <w:t>Dichiarazione Parziale</w:t>
      </w:r>
      <w:r>
        <w:t>” e richiudere la denuncia.</w:t>
      </w:r>
    </w:p>
    <w:p>
      <w:pPr>
        <w:pStyle w:val="CorpoAltF0"/>
        <w:spacing w:before="120"/>
      </w:pPr>
      <w:r>
        <w:t>In tal modo, in fase di generazione del telematico (</w:t>
      </w:r>
      <w:r>
        <w:rPr>
          <w:b/>
          <w:bCs/>
        </w:rPr>
        <w:t>EME601</w:t>
      </w:r>
      <w:r>
        <w:t>), indicando “S” al campo “</w:t>
      </w:r>
      <w:r>
        <w:rPr>
          <w:i/>
          <w:iCs/>
        </w:rPr>
        <w:t>Parziale/variazione</w:t>
      </w:r>
      <w:r>
        <w:t>” il programma provvederà a generare il file telematico contenente esclusivamente le dichiarazioni relative ai dipendenti per i quali in Gestione denuncia risulti indicato “S” al campo “</w:t>
      </w:r>
      <w:r>
        <w:rPr>
          <w:i/>
          <w:iCs/>
        </w:rPr>
        <w:t>Dichiarazione Parziale</w:t>
      </w:r>
      <w:r>
        <w:t>”.</w:t>
      </w:r>
    </w:p>
    <w:p>
      <w:pPr>
        <w:pStyle w:val="CorpoAltF0"/>
        <w:spacing w:before="120"/>
      </w:pPr>
      <w:r>
        <w:t>Nel caso in cui ci sia la necessità di annullare una denuncia individuale già trasmessa, sarà necessario riaprire la denuncia oggetto di annullamento, selezionare la funzione “</w:t>
      </w:r>
      <w:r>
        <w:rPr>
          <w:i/>
          <w:iCs/>
        </w:rPr>
        <w:t xml:space="preserve">Metti </w:t>
      </w:r>
      <w:proofErr w:type="spellStart"/>
      <w:r>
        <w:rPr>
          <w:i/>
          <w:iCs/>
        </w:rPr>
        <w:t>ann</w:t>
      </w:r>
      <w:proofErr w:type="spellEnd"/>
      <w:r>
        <w:t xml:space="preserve">.” (pulsante “Funzioni” di </w:t>
      </w:r>
      <w:r>
        <w:rPr>
          <w:b/>
          <w:bCs/>
        </w:rPr>
        <w:t>EME502</w:t>
      </w:r>
      <w:r>
        <w:t>) e richiudere la denuncia (nel caso si intenda trasmettere solo la denuncia da annullare sarà possibile anche indicare il codice “S” al campo “</w:t>
      </w:r>
      <w:r>
        <w:rPr>
          <w:i/>
          <w:iCs/>
        </w:rPr>
        <w:t>Dichiarazione parziale</w:t>
      </w:r>
      <w:r>
        <w:t>”).</w:t>
      </w:r>
    </w:p>
    <w:bookmarkEnd w:id="15"/>
    <w:bookmarkEnd w:id="16"/>
    <w:p>
      <w:pPr>
        <w:pStyle w:val="CorpoAltF0"/>
      </w:pPr>
    </w:p>
    <w:p>
      <w:pPr>
        <w:pStyle w:val="CorpoAltF0"/>
      </w:pPr>
      <w:r>
        <w:br w:type="page"/>
      </w:r>
    </w:p>
    <w:p>
      <w:pPr>
        <w:pStyle w:val="CorpoAltF0"/>
      </w:pPr>
    </w:p>
    <w:p>
      <w:pPr>
        <w:pStyle w:val="TS-titolo-04"/>
      </w:pPr>
      <w:bookmarkStart w:id="17" w:name="_Toc71218907"/>
      <w:r>
        <w:t>Telematico Uniemens-CIG</w:t>
      </w:r>
      <w:bookmarkEnd w:id="17"/>
    </w:p>
    <w:p>
      <w:pPr>
        <w:pStyle w:val="CorpoAltF0"/>
        <w:spacing w:before="120"/>
      </w:pPr>
      <w:r>
        <w:t>La nuova sezione “</w:t>
      </w:r>
      <w:r>
        <w:rPr>
          <w:b/>
          <w:bCs/>
          <w:i/>
          <w:iCs/>
        </w:rPr>
        <w:t>Telematico Uniemens-CIG</w:t>
      </w:r>
      <w:r>
        <w:t>” contiene i comandi utili alla generazione e verifica del flusso telematico in formato .xml.</w:t>
      </w:r>
    </w:p>
    <w:p>
      <w:pPr>
        <w:pStyle w:val="CorpoAltF0"/>
        <w:spacing w:before="60"/>
      </w:pPr>
      <w:r>
        <w:t xml:space="preserve">Le funzionalità presenti in tale sezione, di seguito descritte, sono analoghe a quelle previste per la gestione della denuncia UniEmens ordinaria. </w:t>
      </w:r>
    </w:p>
    <w:p>
      <w:pPr>
        <w:pStyle w:val="CorpoAltF0"/>
      </w:pPr>
    </w:p>
    <w:p>
      <w:pPr>
        <w:pStyle w:val="TS-titolo-05"/>
      </w:pPr>
      <w:bookmarkStart w:id="18" w:name="_Toc71218908"/>
      <w:r>
        <w:t>EME601 – Generazioni dati</w:t>
      </w:r>
      <w:bookmarkEnd w:id="18"/>
      <w:r>
        <w:t xml:space="preserve"> </w:t>
      </w:r>
    </w:p>
    <w:p>
      <w:pPr>
        <w:pStyle w:val="CorpoAltF0"/>
        <w:spacing w:before="120"/>
      </w:pPr>
      <w:r>
        <w:t>La scelta in oggetto consente di generare il file per l’invio telematico e la memorizzazione dello stesso all’interno della cartella indicata al campo “</w:t>
      </w:r>
      <w:r>
        <w:rPr>
          <w:i/>
          <w:iCs/>
        </w:rPr>
        <w:t>Telematico</w:t>
      </w:r>
      <w:r>
        <w:t>” di “</w:t>
      </w:r>
      <w:r>
        <w:rPr>
          <w:i/>
          <w:iCs/>
        </w:rPr>
        <w:t>Indirizzati procedura</w:t>
      </w:r>
      <w:r>
        <w:t>” (</w:t>
      </w:r>
      <w:r>
        <w:rPr>
          <w:b/>
          <w:bCs/>
        </w:rPr>
        <w:t>EME101</w:t>
      </w:r>
      <w:r>
        <w:t>); è comunque possibile copiare il file in altra posizione mediante la scelta “</w:t>
      </w:r>
      <w:r>
        <w:rPr>
          <w:i/>
          <w:iCs/>
        </w:rPr>
        <w:t>Esporta file XML</w:t>
      </w:r>
      <w:r>
        <w:t>” (</w:t>
      </w:r>
      <w:r>
        <w:rPr>
          <w:b/>
          <w:bCs/>
        </w:rPr>
        <w:t>EME606</w:t>
      </w:r>
      <w:r>
        <w:t>).</w:t>
      </w:r>
    </w:p>
    <w:p>
      <w:pPr>
        <w:pStyle w:val="CorpoAltF0"/>
        <w:spacing w:before="60"/>
      </w:pPr>
      <w:r>
        <w:t xml:space="preserve">Il file viene generato con denominazione </w:t>
      </w:r>
      <w:r>
        <w:rPr>
          <w:b/>
          <w:bCs/>
        </w:rPr>
        <w:t>UCmmaaxxx.XML</w:t>
      </w:r>
      <w:r>
        <w:t>, dove:</w:t>
      </w:r>
    </w:p>
    <w:p>
      <w:pPr>
        <w:pStyle w:val="CorpoAltF0"/>
        <w:spacing w:before="20"/>
      </w:pPr>
      <w:r>
        <w:rPr>
          <w:b/>
          <w:bCs/>
        </w:rPr>
        <w:t>mm</w:t>
      </w:r>
      <w:r>
        <w:t xml:space="preserve"> mese</w:t>
      </w:r>
    </w:p>
    <w:p>
      <w:pPr>
        <w:pStyle w:val="CorpoAltF0"/>
        <w:spacing w:before="20"/>
      </w:pPr>
      <w:r>
        <w:rPr>
          <w:b/>
          <w:bCs/>
        </w:rPr>
        <w:t>aa</w:t>
      </w:r>
      <w:r>
        <w:t xml:space="preserve"> anno</w:t>
      </w:r>
    </w:p>
    <w:p>
      <w:pPr>
        <w:pStyle w:val="CorpoAltF0"/>
        <w:spacing w:before="20"/>
      </w:pPr>
      <w:r>
        <w:rPr>
          <w:b/>
          <w:bCs/>
        </w:rPr>
        <w:t>xxx</w:t>
      </w:r>
      <w:r>
        <w:t xml:space="preserve"> numero di spedizione</w:t>
      </w:r>
    </w:p>
    <w:p>
      <w:pPr>
        <w:pStyle w:val="CorpoAltF0"/>
      </w:pPr>
    </w:p>
    <w:p>
      <w:pPr>
        <w:pStyle w:val="CorpoAltF0"/>
      </w:pPr>
      <w:r>
        <w:t>Il file viene generato per le sole denunce che risulteranno chiuse (.</w:t>
      </w:r>
    </w:p>
    <w:p>
      <w:pPr>
        <w:pStyle w:val="CorpoAltF0"/>
        <w:spacing w:before="120"/>
        <w:jc w:val="center"/>
      </w:pPr>
      <w:r>
        <w:rPr>
          <w:noProof/>
        </w:rPr>
        <w:drawing>
          <wp:inline distT="0" distB="0" distL="0" distR="0">
            <wp:extent cx="5760000" cy="2246275"/>
            <wp:effectExtent l="0" t="0" r="0" b="1905"/>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00" cy="2246275"/>
                    </a:xfrm>
                    <a:prstGeom prst="rect">
                      <a:avLst/>
                    </a:prstGeom>
                  </pic:spPr>
                </pic:pic>
              </a:graphicData>
            </a:graphic>
          </wp:inline>
        </w:drawing>
      </w:r>
    </w:p>
    <w:p>
      <w:pPr>
        <w:pStyle w:val="CorpoAltF0"/>
        <w:spacing w:before="60"/>
      </w:pPr>
    </w:p>
    <w:p>
      <w:pPr>
        <w:pStyle w:val="CorpoAltF0"/>
      </w:pPr>
      <w:r>
        <w:t>Il comando in oggetto è analogo a quello per la generazione del telematico della denuncia Uniemens ordinaria (</w:t>
      </w:r>
      <w:r>
        <w:rPr>
          <w:b/>
          <w:bCs/>
        </w:rPr>
        <w:t>EME301</w:t>
      </w:r>
      <w:r>
        <w:t>) ma con le seguenti particolarità:</w:t>
      </w:r>
    </w:p>
    <w:p>
      <w:pPr>
        <w:pStyle w:val="CorpoAltF0"/>
        <w:numPr>
          <w:ilvl w:val="0"/>
          <w:numId w:val="12"/>
        </w:numPr>
        <w:spacing w:before="60"/>
        <w:ind w:left="284" w:hanging="284"/>
      </w:pPr>
      <w:r>
        <w:t>il campo “</w:t>
      </w:r>
      <w:r>
        <w:rPr>
          <w:i/>
          <w:iCs/>
        </w:rPr>
        <w:t>Parziale/Variazione</w:t>
      </w:r>
      <w:r>
        <w:t>” accetta i valori “</w:t>
      </w:r>
      <w:r>
        <w:rPr>
          <w:i/>
          <w:iCs/>
        </w:rPr>
        <w:t>N</w:t>
      </w:r>
      <w:r>
        <w:t>” o “</w:t>
      </w:r>
      <w:r>
        <w:rPr>
          <w:i/>
          <w:iCs/>
        </w:rPr>
        <w:t>S</w:t>
      </w:r>
      <w:r>
        <w:t>”; indicando “S” sarà possibile procedere alla generazione di un flusso contenente le sole denunce individuali che presentano il valore “</w:t>
      </w:r>
      <w:r>
        <w:rPr>
          <w:i/>
          <w:iCs/>
        </w:rPr>
        <w:t>Si</w:t>
      </w:r>
      <w:r>
        <w:t>” al campo “</w:t>
      </w:r>
      <w:r>
        <w:rPr>
          <w:i/>
          <w:iCs/>
        </w:rPr>
        <w:t>Dichiarazione parziale</w:t>
      </w:r>
      <w:r>
        <w:t>” della scheda “</w:t>
      </w:r>
      <w:r>
        <w:rPr>
          <w:i/>
          <w:iCs/>
        </w:rPr>
        <w:t>Dati anagrafici</w:t>
      </w:r>
      <w:r>
        <w:t xml:space="preserve">” di </w:t>
      </w:r>
      <w:r>
        <w:rPr>
          <w:b/>
          <w:bCs/>
        </w:rPr>
        <w:t>EME502</w:t>
      </w:r>
      <w:r>
        <w:t xml:space="preserve"> “</w:t>
      </w:r>
      <w:r>
        <w:rPr>
          <w:i/>
          <w:iCs/>
        </w:rPr>
        <w:t>Gestione Uniemens-CIG</w:t>
      </w:r>
      <w:r>
        <w:t>”;</w:t>
      </w:r>
    </w:p>
    <w:p>
      <w:pPr>
        <w:pStyle w:val="CorpoAltF0"/>
        <w:numPr>
          <w:ilvl w:val="0"/>
          <w:numId w:val="12"/>
        </w:numPr>
        <w:spacing w:before="60"/>
        <w:ind w:left="284" w:hanging="284"/>
      </w:pPr>
      <w:r>
        <w:t>al campo “</w:t>
      </w:r>
      <w:r>
        <w:rPr>
          <w:i/>
          <w:iCs/>
        </w:rPr>
        <w:t>Tipo composizione</w:t>
      </w:r>
      <w:r>
        <w:t xml:space="preserve">” viene esposto in maniera fissa il nuovo codice 41 utile per identificare il flusso telematico con attributo </w:t>
      </w:r>
      <w:r>
        <w:rPr>
          <w:b/>
          <w:bCs/>
        </w:rPr>
        <w:t>Composizione</w:t>
      </w:r>
      <w:r>
        <w:t xml:space="preserve"> 41;</w:t>
      </w:r>
    </w:p>
    <w:p>
      <w:pPr>
        <w:pStyle w:val="CorpoAltF0"/>
        <w:numPr>
          <w:ilvl w:val="0"/>
          <w:numId w:val="12"/>
        </w:numPr>
        <w:spacing w:before="60"/>
        <w:ind w:left="284" w:hanging="284"/>
      </w:pPr>
      <w:r>
        <w:t>al rigo “</w:t>
      </w:r>
      <w:r>
        <w:rPr>
          <w:i/>
          <w:iCs/>
        </w:rPr>
        <w:t>Composizione flusso</w:t>
      </w:r>
      <w:r>
        <w:t>” risulterà valorizzato in maniera fissa il solo campo “</w:t>
      </w:r>
      <w:r>
        <w:rPr>
          <w:i/>
          <w:iCs/>
        </w:rPr>
        <w:t>EMENS</w:t>
      </w:r>
      <w:r>
        <w:t>” e non sarà gestibile dall’utente.</w:t>
      </w:r>
    </w:p>
    <w:p>
      <w:pPr>
        <w:pStyle w:val="CorpoAltF0"/>
        <w:spacing w:before="60"/>
      </w:pPr>
    </w:p>
    <w:p>
      <w:pPr>
        <w:pStyle w:val="CorpoAltF0"/>
        <w:spacing w:before="60"/>
      </w:pPr>
      <w:r>
        <w:t>Contestualmente alla generazione del flusso telematico, il programma procede alla validazione del file in funzione dei controlli previsti dall’INPS, con possibilità di visualizzare gli eventuali errori rilevati.</w:t>
      </w:r>
    </w:p>
    <w:p>
      <w:pPr>
        <w:pStyle w:val="CorpoAltF0"/>
      </w:pPr>
      <w:r>
        <w:br w:type="page"/>
      </w:r>
    </w:p>
    <w:p>
      <w:pPr>
        <w:pStyle w:val="CorpoAltF0"/>
      </w:pPr>
    </w:p>
    <w:p>
      <w:pPr>
        <w:pStyle w:val="TS-titolo-05"/>
      </w:pPr>
      <w:bookmarkStart w:id="19" w:name="_Toc71218909"/>
      <w:r>
        <w:t>EME602 – Riepilogo Spedizioni</w:t>
      </w:r>
      <w:bookmarkEnd w:id="19"/>
      <w:r>
        <w:t xml:space="preserve"> </w:t>
      </w:r>
    </w:p>
    <w:p>
      <w:pPr>
        <w:pStyle w:val="CorpoAltF0"/>
        <w:spacing w:before="120"/>
      </w:pPr>
      <w:r>
        <w:t xml:space="preserve">Il comando </w:t>
      </w:r>
      <w:r>
        <w:rPr>
          <w:b/>
          <w:bCs/>
        </w:rPr>
        <w:t>EME602</w:t>
      </w:r>
      <w:r>
        <w:t xml:space="preserve"> “</w:t>
      </w:r>
      <w:r>
        <w:rPr>
          <w:i/>
          <w:iCs/>
        </w:rPr>
        <w:t>Riepilogo spedizioni</w:t>
      </w:r>
      <w:r>
        <w:t>” consente di verificare il contenuto del file di spedizione; il programma propone il numero dell’ultima spedizione generata.</w:t>
      </w:r>
    </w:p>
    <w:p>
      <w:pPr>
        <w:pStyle w:val="CorpoAltF0"/>
        <w:spacing w:before="60"/>
        <w:rPr>
          <w:rFonts w:cs="Arial"/>
        </w:rPr>
      </w:pPr>
      <w:r>
        <w:rPr>
          <w:rFonts w:cs="Arial"/>
        </w:rPr>
        <w:t>Selezionando una delle aziende contenute nella spedizione è possibile visualizzare l'elenco dei dipendenti presenti.</w:t>
      </w:r>
    </w:p>
    <w:p>
      <w:pPr>
        <w:pStyle w:val="Ignora"/>
        <w:spacing w:before="120"/>
        <w:jc w:val="center"/>
      </w:pPr>
      <w:r>
        <w:rPr>
          <w:noProof/>
        </w:rPr>
        <w:drawing>
          <wp:inline distT="0" distB="0" distL="0" distR="0">
            <wp:extent cx="5760000" cy="2481718"/>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000" cy="2481718"/>
                    </a:xfrm>
                    <a:prstGeom prst="rect">
                      <a:avLst/>
                    </a:prstGeom>
                  </pic:spPr>
                </pic:pic>
              </a:graphicData>
            </a:graphic>
          </wp:inline>
        </w:drawing>
      </w:r>
    </w:p>
    <w:p>
      <w:pPr>
        <w:pStyle w:val="CorpoAltF0"/>
        <w:spacing w:before="120"/>
      </w:pPr>
      <w:r>
        <w:t>Anche in tale sede è possibile effettuare la validazione del file sulla base del programma di controllo predisposto dall’INPS (pulsante “</w:t>
      </w:r>
      <w:r>
        <w:rPr>
          <w:i/>
          <w:iCs/>
        </w:rPr>
        <w:t>Funzioni</w:t>
      </w:r>
      <w:r>
        <w:t>” &gt; “</w:t>
      </w:r>
      <w:r>
        <w:rPr>
          <w:i/>
          <w:iCs/>
        </w:rPr>
        <w:t>Validazione</w:t>
      </w:r>
      <w:r>
        <w:t>”).</w:t>
      </w:r>
    </w:p>
    <w:p>
      <w:pPr>
        <w:pStyle w:val="CorpoAltF0"/>
        <w:spacing w:before="60"/>
      </w:pPr>
      <w:r>
        <w:t>E’ inoltre disponibile la funzione “vedi XML” che consente di visualizzare il flusso di dati contenuti nel file XML.</w:t>
      </w:r>
    </w:p>
    <w:p>
      <w:pPr>
        <w:pStyle w:val="Ignora"/>
        <w:spacing w:before="120"/>
        <w:jc w:val="center"/>
      </w:pPr>
      <w:r>
        <w:rPr>
          <w:noProof/>
        </w:rPr>
        <w:drawing>
          <wp:inline distT="0" distB="0" distL="0" distR="0">
            <wp:extent cx="5760000" cy="2474547"/>
            <wp:effectExtent l="0" t="0" r="0" b="254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00" cy="2474547"/>
                    </a:xfrm>
                    <a:prstGeom prst="rect">
                      <a:avLst/>
                    </a:prstGeom>
                  </pic:spPr>
                </pic:pic>
              </a:graphicData>
            </a:graphic>
          </wp:inline>
        </w:drawing>
      </w:r>
    </w:p>
    <w:p>
      <w:pPr>
        <w:pStyle w:val="CorpoAltF0"/>
      </w:pPr>
    </w:p>
    <w:p>
      <w:pPr>
        <w:pStyle w:val="CorpoAltF0"/>
      </w:pPr>
    </w:p>
    <w:p>
      <w:pPr>
        <w:pStyle w:val="TS-titolo-05"/>
      </w:pPr>
      <w:bookmarkStart w:id="20" w:name="_Toc71218910"/>
      <w:r>
        <w:t>EME603 – Annulla ultima spedizione</w:t>
      </w:r>
      <w:bookmarkEnd w:id="20"/>
      <w:r>
        <w:t xml:space="preserve"> </w:t>
      </w:r>
    </w:p>
    <w:p>
      <w:pPr>
        <w:pStyle w:val="CorpoAltF0"/>
        <w:spacing w:before="120"/>
      </w:pPr>
      <w:r>
        <w:t xml:space="preserve">Il comando </w:t>
      </w:r>
      <w:r>
        <w:rPr>
          <w:b/>
          <w:bCs/>
        </w:rPr>
        <w:t>EME603</w:t>
      </w:r>
      <w:r>
        <w:t xml:space="preserve"> “</w:t>
      </w:r>
      <w:r>
        <w:rPr>
          <w:i/>
          <w:iCs/>
        </w:rPr>
        <w:t>Annulla ultima spedizione</w:t>
      </w:r>
      <w:r>
        <w:t>” consente di annullare l’ultimo flusso Uniemens-CIG generato.</w:t>
      </w:r>
    </w:p>
    <w:p>
      <w:pPr>
        <w:pStyle w:val="CorpoAltF0"/>
        <w:spacing w:before="120"/>
        <w:jc w:val="center"/>
      </w:pPr>
      <w:r>
        <w:rPr>
          <w:noProof/>
        </w:rPr>
        <w:drawing>
          <wp:inline distT="0" distB="0" distL="0" distR="0">
            <wp:extent cx="5760000" cy="1006909"/>
            <wp:effectExtent l="0" t="0" r="0" b="317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00" cy="1006909"/>
                    </a:xfrm>
                    <a:prstGeom prst="rect">
                      <a:avLst/>
                    </a:prstGeom>
                  </pic:spPr>
                </pic:pic>
              </a:graphicData>
            </a:graphic>
          </wp:inline>
        </w:drawing>
      </w:r>
    </w:p>
    <w:p>
      <w:pPr>
        <w:pStyle w:val="CorpoAltF0"/>
        <w:spacing w:before="60"/>
      </w:pPr>
      <w:r>
        <w:t>In caso di collegamento alla Console Telematici, l’eliminazione non sarà consentita qualora la corrispondente fornitura risulti già inviata.</w:t>
      </w:r>
    </w:p>
    <w:p>
      <w:pPr>
        <w:pStyle w:val="CorpoAltF0"/>
      </w:pPr>
    </w:p>
    <w:p>
      <w:pPr>
        <w:pStyle w:val="TS-titolo-05"/>
      </w:pPr>
      <w:bookmarkStart w:id="21" w:name="_Toc71218911"/>
      <w:r>
        <w:t xml:space="preserve">EME604 – Stampa riepilogo </w:t>
      </w:r>
      <w:proofErr w:type="spellStart"/>
      <w:r>
        <w:t>spediz</w:t>
      </w:r>
      <w:proofErr w:type="spellEnd"/>
      <w:r>
        <w:t>.</w:t>
      </w:r>
      <w:bookmarkEnd w:id="21"/>
      <w:r>
        <w:t xml:space="preserve"> </w:t>
      </w:r>
    </w:p>
    <w:p>
      <w:pPr>
        <w:pStyle w:val="CorpoAltF0"/>
        <w:spacing w:before="120"/>
      </w:pPr>
      <w:r>
        <w:t xml:space="preserve">Il comando </w:t>
      </w:r>
      <w:r>
        <w:rPr>
          <w:b/>
          <w:bCs/>
        </w:rPr>
        <w:t>EME604</w:t>
      </w:r>
      <w:r>
        <w:t xml:space="preserve"> “</w:t>
      </w:r>
      <w:r>
        <w:rPr>
          <w:i/>
          <w:iCs/>
        </w:rPr>
        <w:t xml:space="preserve">Stampa riepilogo </w:t>
      </w:r>
      <w:proofErr w:type="spellStart"/>
      <w:r>
        <w:rPr>
          <w:i/>
          <w:iCs/>
        </w:rPr>
        <w:t>spediz</w:t>
      </w:r>
      <w:proofErr w:type="spellEnd"/>
      <w:r>
        <w:t>.” consente di generare un tabulato con l’elenco delle aziende contenute in una specifica spedizione.</w:t>
      </w:r>
    </w:p>
    <w:p>
      <w:pPr>
        <w:pStyle w:val="CorpoAltF0"/>
        <w:spacing w:before="60"/>
      </w:pPr>
      <w:r>
        <w:t>Valorizzando a “</w:t>
      </w:r>
      <w:r>
        <w:rPr>
          <w:i/>
          <w:iCs/>
        </w:rPr>
        <w:t>Si</w:t>
      </w:r>
      <w:r>
        <w:t>” il campo “</w:t>
      </w:r>
      <w:r>
        <w:rPr>
          <w:i/>
          <w:iCs/>
        </w:rPr>
        <w:t>Stampa dettaglio</w:t>
      </w:r>
      <w:r>
        <w:t>” sarà possibile riportare in stampa anche l’elenco dei dipendenti presenti per ciascuna azienda:</w:t>
      </w:r>
    </w:p>
    <w:p>
      <w:pPr>
        <w:pStyle w:val="CorpoAltF0"/>
        <w:spacing w:before="120"/>
        <w:jc w:val="center"/>
      </w:pPr>
      <w:r>
        <w:rPr>
          <w:noProof/>
        </w:rPr>
        <w:drawing>
          <wp:inline distT="0" distB="0" distL="0" distR="0">
            <wp:extent cx="5760000" cy="961494"/>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00" cy="961494"/>
                    </a:xfrm>
                    <a:prstGeom prst="rect">
                      <a:avLst/>
                    </a:prstGeom>
                  </pic:spPr>
                </pic:pic>
              </a:graphicData>
            </a:graphic>
          </wp:inline>
        </w:drawing>
      </w:r>
    </w:p>
    <w:p>
      <w:pPr>
        <w:pStyle w:val="CorpoAltF0"/>
      </w:pPr>
    </w:p>
    <w:p>
      <w:pPr>
        <w:pStyle w:val="CorpoAltF0"/>
      </w:pPr>
    </w:p>
    <w:p>
      <w:pPr>
        <w:pStyle w:val="TS-titolo-05"/>
      </w:pPr>
      <w:bookmarkStart w:id="22" w:name="_Toc71218912"/>
      <w:r>
        <w:t xml:space="preserve">EME605 – Ricerca </w:t>
      </w:r>
      <w:proofErr w:type="spellStart"/>
      <w:r>
        <w:t>spediz</w:t>
      </w:r>
      <w:proofErr w:type="spellEnd"/>
      <w:r>
        <w:t>. Azienda</w:t>
      </w:r>
      <w:bookmarkEnd w:id="22"/>
      <w:r>
        <w:t xml:space="preserve"> </w:t>
      </w:r>
    </w:p>
    <w:p>
      <w:pPr>
        <w:pStyle w:val="CorpoAltF0"/>
        <w:spacing w:before="120"/>
      </w:pPr>
      <w:r>
        <w:t xml:space="preserve">Il comando </w:t>
      </w:r>
      <w:r>
        <w:rPr>
          <w:b/>
          <w:bCs/>
        </w:rPr>
        <w:t>EME605</w:t>
      </w:r>
      <w:r>
        <w:t xml:space="preserve"> “</w:t>
      </w:r>
      <w:r>
        <w:rPr>
          <w:i/>
          <w:iCs/>
        </w:rPr>
        <w:t xml:space="preserve">Ricerca </w:t>
      </w:r>
      <w:proofErr w:type="spellStart"/>
      <w:r>
        <w:rPr>
          <w:i/>
          <w:iCs/>
        </w:rPr>
        <w:t>spediz</w:t>
      </w:r>
      <w:proofErr w:type="spellEnd"/>
      <w:r>
        <w:rPr>
          <w:i/>
          <w:iCs/>
        </w:rPr>
        <w:t>. Azienda</w:t>
      </w:r>
      <w:r>
        <w:t>” consente di ricercare, in un determinato periodo, in quale spedizione risulta inserita una specifica azienda dichiarante.</w:t>
      </w:r>
    </w:p>
    <w:p>
      <w:pPr>
        <w:pStyle w:val="CorpoAltF0"/>
        <w:spacing w:before="120"/>
        <w:jc w:val="center"/>
      </w:pPr>
      <w:r>
        <w:rPr>
          <w:noProof/>
        </w:rPr>
        <w:drawing>
          <wp:inline distT="0" distB="0" distL="0" distR="0">
            <wp:extent cx="5760000" cy="2458413"/>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00" cy="2458413"/>
                    </a:xfrm>
                    <a:prstGeom prst="rect">
                      <a:avLst/>
                    </a:prstGeom>
                  </pic:spPr>
                </pic:pic>
              </a:graphicData>
            </a:graphic>
          </wp:inline>
        </w:drawing>
      </w:r>
    </w:p>
    <w:p>
      <w:pPr>
        <w:pStyle w:val="CorpoAltF0"/>
      </w:pPr>
    </w:p>
    <w:p>
      <w:pPr>
        <w:pStyle w:val="CorpoAltF0"/>
      </w:pPr>
    </w:p>
    <w:p>
      <w:pPr>
        <w:pStyle w:val="TS-titolo-05"/>
      </w:pPr>
      <w:bookmarkStart w:id="23" w:name="_Toc71218913"/>
      <w:r>
        <w:t>EME606 – Esporta XML CIG</w:t>
      </w:r>
      <w:bookmarkEnd w:id="23"/>
    </w:p>
    <w:p>
      <w:pPr>
        <w:pStyle w:val="CorpoAltF0"/>
        <w:spacing w:before="120"/>
      </w:pPr>
      <w:r>
        <w:t xml:space="preserve">Il comando </w:t>
      </w:r>
      <w:r>
        <w:rPr>
          <w:b/>
          <w:bCs/>
        </w:rPr>
        <w:t>EME606</w:t>
      </w:r>
      <w:r>
        <w:t xml:space="preserve"> “</w:t>
      </w:r>
      <w:r>
        <w:rPr>
          <w:i/>
          <w:iCs/>
        </w:rPr>
        <w:t>Esporta XML CIG</w:t>
      </w:r>
      <w:r>
        <w:t xml:space="preserve">” consente di copiare il file XML relativo ad una specifica spedizione, precedentemente generato mediante il comando </w:t>
      </w:r>
      <w:r>
        <w:rPr>
          <w:b/>
          <w:bCs/>
        </w:rPr>
        <w:t>EME601</w:t>
      </w:r>
      <w:r>
        <w:t>.</w:t>
      </w:r>
    </w:p>
    <w:p>
      <w:pPr>
        <w:pStyle w:val="CorpoAltF0"/>
        <w:spacing w:before="120"/>
      </w:pPr>
      <w:r>
        <w:t>Confermando la selezione della spedizione desiderata, sarà possibile selezionare il percorso di memorizzazione del file.</w:t>
      </w:r>
    </w:p>
    <w:p>
      <w:pPr>
        <w:pStyle w:val="CorpoAltF0"/>
        <w:spacing w:before="120"/>
      </w:pPr>
      <w:r>
        <w:t>Mediante il campo “</w:t>
      </w:r>
      <w:r>
        <w:rPr>
          <w:i/>
          <w:iCs/>
        </w:rPr>
        <w:t>Compressione file</w:t>
      </w:r>
      <w:r>
        <w:t>” è possibile memorizzare il file in formato compresso (.zip).</w:t>
      </w:r>
    </w:p>
    <w:p>
      <w:pPr>
        <w:pStyle w:val="CorpoAltF0"/>
      </w:pPr>
      <w:r>
        <w:br w:type="page"/>
      </w:r>
    </w:p>
    <w:p>
      <w:pPr>
        <w:pStyle w:val="CorpoAltF0"/>
      </w:pPr>
    </w:p>
    <w:p>
      <w:pPr>
        <w:pStyle w:val="TS-titolo-05"/>
      </w:pPr>
      <w:bookmarkStart w:id="24" w:name="_Toc71218914"/>
      <w:r>
        <w:t>EME607 – Importazione file xml Uniemens-CIG</w:t>
      </w:r>
      <w:bookmarkEnd w:id="24"/>
    </w:p>
    <w:p>
      <w:pPr>
        <w:pStyle w:val="CorpoAltF0"/>
        <w:spacing w:before="120"/>
      </w:pPr>
      <w:r>
        <w:t xml:space="preserve">Il comando </w:t>
      </w:r>
      <w:r>
        <w:rPr>
          <w:b/>
          <w:bCs/>
        </w:rPr>
        <w:t>EME607</w:t>
      </w:r>
      <w:r>
        <w:t xml:space="preserve"> “</w:t>
      </w:r>
      <w:r>
        <w:rPr>
          <w:i/>
          <w:iCs/>
        </w:rPr>
        <w:t>Importazione file xml Uniemens-CIG</w:t>
      </w:r>
      <w:r>
        <w:t>” consente l’importazione del flusso UniEmens-CIG in formato XML generato secondo le specifiche INPS (anche con procedure diverse).</w:t>
      </w:r>
    </w:p>
    <w:p>
      <w:pPr>
        <w:pStyle w:val="CorpoAltF0"/>
        <w:spacing w:before="60"/>
      </w:pPr>
      <w:r>
        <w:t>Al campo “</w:t>
      </w:r>
      <w:r>
        <w:rPr>
          <w:i/>
          <w:iCs/>
        </w:rPr>
        <w:t>File XML da importare</w:t>
      </w:r>
      <w:r>
        <w:t>” sarà necessario selezionare il file xml che si intende importare.</w:t>
      </w:r>
    </w:p>
    <w:p>
      <w:pPr>
        <w:pStyle w:val="CorpoAltF0"/>
        <w:spacing w:before="120"/>
        <w:jc w:val="center"/>
      </w:pPr>
      <w:r>
        <w:rPr>
          <w:noProof/>
        </w:rPr>
        <w:drawing>
          <wp:inline distT="0" distB="0" distL="0" distR="0">
            <wp:extent cx="5760000" cy="2191298"/>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000" cy="2191298"/>
                    </a:xfrm>
                    <a:prstGeom prst="rect">
                      <a:avLst/>
                    </a:prstGeom>
                  </pic:spPr>
                </pic:pic>
              </a:graphicData>
            </a:graphic>
          </wp:inline>
        </w:drawing>
      </w:r>
    </w:p>
    <w:p>
      <w:pPr>
        <w:pStyle w:val="CorpoAltF0"/>
      </w:pPr>
    </w:p>
    <w:p>
      <w:pPr>
        <w:pStyle w:val="CorpoAltF0"/>
        <w:spacing w:before="60" w:after="120"/>
      </w:pPr>
      <w:r>
        <w:t>Alla conferma il programma provvede a visualizzare le informazioni di seguito evidenziate: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7"/>
        <w:gridCol w:w="6452"/>
      </w:tblGrid>
      <w:tr>
        <w:trPr>
          <w:trHeight w:val="60"/>
        </w:trPr>
        <w:tc>
          <w:tcPr>
            <w:tcW w:w="3187" w:type="dxa"/>
          </w:tcPr>
          <w:p>
            <w:pPr>
              <w:pStyle w:val="CorpoAltF0"/>
              <w:rPr>
                <w:i/>
              </w:rPr>
            </w:pPr>
            <w:proofErr w:type="spellStart"/>
            <w:r>
              <w:rPr>
                <w:i/>
              </w:rPr>
              <w:t>Sel</w:t>
            </w:r>
            <w:proofErr w:type="spellEnd"/>
            <w:r>
              <w:rPr>
                <w:i/>
              </w:rPr>
              <w:t>.:</w:t>
            </w:r>
          </w:p>
          <w:p>
            <w:pPr>
              <w:pStyle w:val="CorpoAltF0"/>
              <w:rPr>
                <w:i/>
              </w:rPr>
            </w:pPr>
          </w:p>
          <w:p>
            <w:pPr>
              <w:pStyle w:val="CorpoAltF0"/>
              <w:rPr>
                <w:i/>
              </w:rPr>
            </w:pPr>
          </w:p>
          <w:p>
            <w:pPr>
              <w:pStyle w:val="CorpoAltF0"/>
              <w:rPr>
                <w:i/>
              </w:rPr>
            </w:pPr>
          </w:p>
          <w:p>
            <w:pPr>
              <w:pStyle w:val="CorpoAltF0"/>
              <w:rPr>
                <w:i/>
              </w:rPr>
            </w:pPr>
          </w:p>
          <w:p>
            <w:pPr>
              <w:pStyle w:val="CorpoAltF0"/>
              <w:rPr>
                <w:i/>
              </w:rPr>
            </w:pPr>
          </w:p>
          <w:p>
            <w:pPr>
              <w:pStyle w:val="CorpoAltF0"/>
              <w:rPr>
                <w:i/>
              </w:rPr>
            </w:pPr>
          </w:p>
          <w:p>
            <w:pPr>
              <w:pStyle w:val="CorpoAltF0"/>
              <w:rPr>
                <w:i/>
              </w:rPr>
            </w:pPr>
          </w:p>
          <w:p>
            <w:pPr>
              <w:pStyle w:val="CorpoAltF0"/>
              <w:rPr>
                <w:i/>
              </w:rPr>
            </w:pPr>
          </w:p>
        </w:tc>
        <w:tc>
          <w:tcPr>
            <w:tcW w:w="6452" w:type="dxa"/>
          </w:tcPr>
          <w:p>
            <w:pPr>
              <w:pStyle w:val="CorpoAltF0"/>
              <w:spacing w:before="60"/>
            </w:pPr>
            <w:r>
              <w:t xml:space="preserve">campo utile per selezionare le denunce </w:t>
            </w:r>
            <w:proofErr w:type="spellStart"/>
            <w:r>
              <w:t>UniEMens</w:t>
            </w:r>
            <w:proofErr w:type="spellEnd"/>
            <w:r>
              <w:t xml:space="preserve">-CIG da importare all’interno della procedura. </w:t>
            </w:r>
          </w:p>
          <w:p>
            <w:pPr>
              <w:pStyle w:val="CorpoAltF0"/>
              <w:spacing w:before="60"/>
            </w:pPr>
            <w:r>
              <w:t>Il programma provvede a valorizzare automaticamente tale campo con riferimento alle denunce relative ad aziende presenti nella relativa anagrafica EMENS (valore “</w:t>
            </w:r>
            <w:r>
              <w:rPr>
                <w:i/>
                <w:iCs/>
              </w:rPr>
              <w:t>Azienda assegnata</w:t>
            </w:r>
            <w:r>
              <w:t>” nella successiva colonna “</w:t>
            </w:r>
            <w:r>
              <w:rPr>
                <w:i/>
                <w:iCs/>
              </w:rPr>
              <w:t>Stato Azienda</w:t>
            </w:r>
            <w:r>
              <w:t>”) e per le quali la denuncia non risulti già presente (campo “</w:t>
            </w:r>
            <w:r>
              <w:rPr>
                <w:i/>
                <w:iCs/>
              </w:rPr>
              <w:t>Stato Denuncia</w:t>
            </w:r>
            <w:r>
              <w:t>” valorizzato a “</w:t>
            </w:r>
            <w:r>
              <w:rPr>
                <w:i/>
                <w:iCs/>
              </w:rPr>
              <w:t>Spazio</w:t>
            </w:r>
            <w:r>
              <w:t>”).</w:t>
            </w:r>
          </w:p>
          <w:p>
            <w:pPr>
              <w:pStyle w:val="CorpoAltF0"/>
              <w:spacing w:before="60"/>
            </w:pPr>
          </w:p>
        </w:tc>
      </w:tr>
      <w:tr>
        <w:tc>
          <w:tcPr>
            <w:tcW w:w="3187" w:type="dxa"/>
          </w:tcPr>
          <w:p>
            <w:pPr>
              <w:pStyle w:val="CorpoAltF0"/>
              <w:rPr>
                <w:i/>
              </w:rPr>
            </w:pPr>
            <w:r>
              <w:rPr>
                <w:i/>
              </w:rPr>
              <w:t>Anno / Mese:</w:t>
            </w:r>
          </w:p>
          <w:p>
            <w:pPr>
              <w:pStyle w:val="CorpoAltF0"/>
              <w:rPr>
                <w:i/>
              </w:rPr>
            </w:pPr>
          </w:p>
        </w:tc>
        <w:tc>
          <w:tcPr>
            <w:tcW w:w="6452" w:type="dxa"/>
          </w:tcPr>
          <w:p>
            <w:pPr>
              <w:pStyle w:val="CorpoAltF0"/>
            </w:pPr>
            <w:r>
              <w:t>anno e mese della denuncia da importare;</w:t>
            </w:r>
          </w:p>
          <w:p>
            <w:pPr>
              <w:pStyle w:val="CorpoAltF0"/>
            </w:pPr>
          </w:p>
        </w:tc>
      </w:tr>
      <w:tr>
        <w:tc>
          <w:tcPr>
            <w:tcW w:w="3187" w:type="dxa"/>
          </w:tcPr>
          <w:p>
            <w:pPr>
              <w:pStyle w:val="CorpoAltF0"/>
              <w:rPr>
                <w:i/>
              </w:rPr>
            </w:pPr>
            <w:r>
              <w:rPr>
                <w:i/>
              </w:rPr>
              <w:t>Codice fiscale / Ragione Sociale:</w:t>
            </w:r>
          </w:p>
          <w:p>
            <w:pPr>
              <w:pStyle w:val="CorpoAltF0"/>
              <w:rPr>
                <w:i/>
              </w:rPr>
            </w:pPr>
          </w:p>
        </w:tc>
        <w:tc>
          <w:tcPr>
            <w:tcW w:w="6452" w:type="dxa"/>
          </w:tcPr>
          <w:p>
            <w:pPr>
              <w:pStyle w:val="CorpoAltF0"/>
            </w:pPr>
            <w:r>
              <w:t>codice fiscale e ragione sociale dell’azienda da importare;</w:t>
            </w:r>
          </w:p>
          <w:p>
            <w:pPr>
              <w:pStyle w:val="CorpoAltF0"/>
            </w:pPr>
          </w:p>
        </w:tc>
      </w:tr>
      <w:tr>
        <w:tc>
          <w:tcPr>
            <w:tcW w:w="3187" w:type="dxa"/>
          </w:tcPr>
          <w:p>
            <w:pPr>
              <w:pStyle w:val="CorpoAltF0"/>
              <w:rPr>
                <w:i/>
              </w:rPr>
            </w:pPr>
            <w:r>
              <w:rPr>
                <w:i/>
              </w:rPr>
              <w:t>Tot. Denunce:</w:t>
            </w:r>
          </w:p>
          <w:p>
            <w:pPr>
              <w:pStyle w:val="CorpoAltF0"/>
              <w:rPr>
                <w:i/>
              </w:rPr>
            </w:pPr>
          </w:p>
          <w:p>
            <w:pPr>
              <w:pStyle w:val="CorpoAltF0"/>
              <w:rPr>
                <w:i/>
              </w:rPr>
            </w:pPr>
          </w:p>
        </w:tc>
        <w:tc>
          <w:tcPr>
            <w:tcW w:w="6452" w:type="dxa"/>
          </w:tcPr>
          <w:p>
            <w:pPr>
              <w:pStyle w:val="CorpoAltF0"/>
            </w:pPr>
            <w:r>
              <w:t>numero delle dichiarazioni presenti nella specifica azienda da importare;</w:t>
            </w:r>
          </w:p>
          <w:p>
            <w:pPr>
              <w:pStyle w:val="CorpoAltF0"/>
            </w:pPr>
          </w:p>
        </w:tc>
      </w:tr>
      <w:tr>
        <w:tc>
          <w:tcPr>
            <w:tcW w:w="3187" w:type="dxa"/>
          </w:tcPr>
          <w:p>
            <w:pPr>
              <w:pStyle w:val="CorpoAltF0"/>
              <w:rPr>
                <w:i/>
              </w:rPr>
            </w:pPr>
            <w:r>
              <w:rPr>
                <w:i/>
              </w:rPr>
              <w:t>Stato Azienda:</w:t>
            </w:r>
          </w:p>
          <w:p>
            <w:pPr>
              <w:pStyle w:val="CorpoAltF0"/>
              <w:rPr>
                <w:i/>
              </w:rPr>
            </w:pPr>
          </w:p>
          <w:p>
            <w:pPr>
              <w:pStyle w:val="CorpoAltF0"/>
              <w:rPr>
                <w:i/>
              </w:rPr>
            </w:pPr>
          </w:p>
          <w:p>
            <w:pPr>
              <w:pStyle w:val="CorpoAltF0"/>
              <w:rPr>
                <w:i/>
              </w:rPr>
            </w:pPr>
          </w:p>
        </w:tc>
        <w:tc>
          <w:tcPr>
            <w:tcW w:w="6452" w:type="dxa"/>
          </w:tcPr>
          <w:p>
            <w:pPr>
              <w:pStyle w:val="CorpoAltF0"/>
            </w:pPr>
            <w:r>
              <w:t>campo utile per indicare se l’azienda da importare e presente o meno nell’anagrafica EMENS.</w:t>
            </w:r>
          </w:p>
          <w:p>
            <w:pPr>
              <w:pStyle w:val="CorpoAltF0"/>
              <w:spacing w:before="60"/>
            </w:pPr>
            <w:r>
              <w:t>Il campo può assumere i seguenti valori:</w:t>
            </w:r>
          </w:p>
          <w:p>
            <w:pPr>
              <w:pStyle w:val="CorpoAltF0"/>
            </w:pPr>
          </w:p>
        </w:tc>
      </w:tr>
      <w:tr>
        <w:tc>
          <w:tcPr>
            <w:tcW w:w="3187" w:type="dxa"/>
          </w:tcPr>
          <w:p>
            <w:pPr>
              <w:pStyle w:val="CorpoAltF0"/>
              <w:spacing w:before="60"/>
              <w:jc w:val="right"/>
              <w:rPr>
                <w:b/>
              </w:rPr>
            </w:pPr>
            <w:r>
              <w:rPr>
                <w:b/>
              </w:rPr>
              <w:t>Azienda assegnata</w:t>
            </w:r>
          </w:p>
        </w:tc>
        <w:tc>
          <w:tcPr>
            <w:tcW w:w="6452" w:type="dxa"/>
          </w:tcPr>
          <w:p>
            <w:pPr>
              <w:pStyle w:val="CorpoAltF0"/>
              <w:spacing w:before="60"/>
            </w:pPr>
            <w:r>
              <w:t>l’azienda risulta presente in EMENS (azienda con stesso codice fiscale);</w:t>
            </w:r>
          </w:p>
        </w:tc>
      </w:tr>
      <w:tr>
        <w:tc>
          <w:tcPr>
            <w:tcW w:w="3187" w:type="dxa"/>
          </w:tcPr>
          <w:p>
            <w:pPr>
              <w:pStyle w:val="CorpoAltF0"/>
              <w:spacing w:before="60"/>
              <w:jc w:val="right"/>
              <w:rPr>
                <w:b/>
              </w:rPr>
            </w:pPr>
            <w:r>
              <w:rPr>
                <w:b/>
              </w:rPr>
              <w:t>Azienda inesistente</w:t>
            </w:r>
          </w:p>
        </w:tc>
        <w:tc>
          <w:tcPr>
            <w:tcW w:w="6452" w:type="dxa"/>
          </w:tcPr>
          <w:p>
            <w:pPr>
              <w:pStyle w:val="CorpoAltF0"/>
              <w:spacing w:before="60"/>
            </w:pPr>
            <w:r>
              <w:t>l’azienda non risulta presente;</w:t>
            </w:r>
          </w:p>
        </w:tc>
      </w:tr>
      <w:tr>
        <w:tc>
          <w:tcPr>
            <w:tcW w:w="3187" w:type="dxa"/>
          </w:tcPr>
          <w:p>
            <w:pPr>
              <w:pStyle w:val="CorpoAltF0"/>
              <w:spacing w:before="60"/>
              <w:jc w:val="right"/>
              <w:rPr>
                <w:b/>
              </w:rPr>
            </w:pPr>
            <w:r>
              <w:rPr>
                <w:b/>
              </w:rPr>
              <w:t>Più aziende associate</w:t>
            </w:r>
          </w:p>
          <w:p>
            <w:pPr>
              <w:pStyle w:val="CorpoAltF0"/>
            </w:pPr>
          </w:p>
          <w:p>
            <w:pPr>
              <w:pStyle w:val="CorpoAltF0"/>
            </w:pPr>
          </w:p>
          <w:p>
            <w:pPr>
              <w:pStyle w:val="CorpoAltF0"/>
            </w:pPr>
          </w:p>
          <w:p>
            <w:pPr>
              <w:pStyle w:val="CorpoAltF0"/>
            </w:pPr>
          </w:p>
          <w:p>
            <w:pPr>
              <w:pStyle w:val="CorpoAltF0"/>
            </w:pPr>
          </w:p>
          <w:p>
            <w:pPr>
              <w:pStyle w:val="CorpoAltF0"/>
            </w:pPr>
          </w:p>
        </w:tc>
        <w:tc>
          <w:tcPr>
            <w:tcW w:w="6452" w:type="dxa"/>
          </w:tcPr>
          <w:p>
            <w:pPr>
              <w:pStyle w:val="CorpoAltF0"/>
              <w:spacing w:before="60"/>
            </w:pPr>
            <w:r>
              <w:t xml:space="preserve">l’azienda presente nel file xml risulta associata a più codici ditta nella procedura EMENS </w:t>
            </w:r>
            <w:r>
              <w:rPr>
                <w:rFonts w:cs="Arial"/>
              </w:rPr>
              <w:t>(es. anagrafiche create per elaborazioni di prova).</w:t>
            </w:r>
          </w:p>
          <w:p>
            <w:pPr>
              <w:pStyle w:val="CorpoAltF0"/>
            </w:pPr>
          </w:p>
          <w:p>
            <w:pPr>
              <w:pStyle w:val="CorpoAltF0"/>
            </w:pPr>
            <w:r>
              <w:t>In presenza del valore “</w:t>
            </w:r>
            <w:r>
              <w:rPr>
                <w:i/>
                <w:iCs/>
              </w:rPr>
              <w:t>Azienda inesistente</w:t>
            </w:r>
            <w:r>
              <w:t>” o “</w:t>
            </w:r>
            <w:r>
              <w:rPr>
                <w:i/>
                <w:iCs/>
              </w:rPr>
              <w:t>Più aziende associate</w:t>
            </w:r>
            <w:r>
              <w:t>”, ai fini dell’importazione è necessario selezionare la specifica azienda interessata nel successivo campo “</w:t>
            </w:r>
            <w:r>
              <w:rPr>
                <w:i/>
                <w:iCs/>
              </w:rPr>
              <w:t>Az. EMENS</w:t>
            </w:r>
            <w:r>
              <w:t>”.</w:t>
            </w:r>
          </w:p>
          <w:p>
            <w:pPr>
              <w:pStyle w:val="CorpoAltF0"/>
            </w:pPr>
          </w:p>
        </w:tc>
      </w:tr>
      <w:tr>
        <w:tc>
          <w:tcPr>
            <w:tcW w:w="3187" w:type="dxa"/>
          </w:tcPr>
          <w:p>
            <w:pPr>
              <w:pStyle w:val="CorpoAltF0"/>
              <w:rPr>
                <w:i/>
              </w:rPr>
            </w:pPr>
            <w:r>
              <w:rPr>
                <w:i/>
              </w:rPr>
              <w:t>Stato Denuncia:</w:t>
            </w:r>
          </w:p>
          <w:p>
            <w:pPr>
              <w:pStyle w:val="CorpoAltF0"/>
              <w:rPr>
                <w:i/>
              </w:rPr>
            </w:pPr>
          </w:p>
          <w:p>
            <w:pPr>
              <w:pStyle w:val="CorpoAltF0"/>
              <w:rPr>
                <w:i/>
              </w:rPr>
            </w:pPr>
          </w:p>
          <w:p>
            <w:pPr>
              <w:pStyle w:val="CorpoAltF0"/>
              <w:rPr>
                <w:i/>
              </w:rPr>
            </w:pPr>
          </w:p>
        </w:tc>
        <w:tc>
          <w:tcPr>
            <w:tcW w:w="6452" w:type="dxa"/>
          </w:tcPr>
          <w:p>
            <w:pPr>
              <w:pStyle w:val="CorpoAltF0"/>
            </w:pPr>
            <w:r>
              <w:t>campo utile per evidenziare lo stato della dichiarazione all’interno della gestione UniEmens-CIG.</w:t>
            </w:r>
          </w:p>
          <w:p>
            <w:pPr>
              <w:pStyle w:val="CorpoAltF0"/>
              <w:spacing w:before="60"/>
            </w:pPr>
            <w:r>
              <w:t>Il campo può assumere i seguenti valori:</w:t>
            </w:r>
          </w:p>
          <w:p>
            <w:pPr>
              <w:pStyle w:val="CorpoAltF0"/>
            </w:pPr>
          </w:p>
        </w:tc>
      </w:tr>
      <w:tr>
        <w:tc>
          <w:tcPr>
            <w:tcW w:w="3187" w:type="dxa"/>
          </w:tcPr>
          <w:p>
            <w:pPr>
              <w:pStyle w:val="CorpoAltF0"/>
              <w:jc w:val="right"/>
              <w:rPr>
                <w:b/>
              </w:rPr>
            </w:pPr>
            <w:r>
              <w:rPr>
                <w:b/>
              </w:rPr>
              <w:t>[Spazio]</w:t>
            </w:r>
          </w:p>
          <w:p>
            <w:pPr>
              <w:pStyle w:val="CorpoAltF0"/>
              <w:jc w:val="right"/>
              <w:rPr>
                <w:b/>
              </w:rPr>
            </w:pPr>
          </w:p>
        </w:tc>
        <w:tc>
          <w:tcPr>
            <w:tcW w:w="6452" w:type="dxa"/>
          </w:tcPr>
          <w:p>
            <w:pPr>
              <w:pStyle w:val="CorpoAltF0"/>
            </w:pPr>
            <w:r>
              <w:t>per la specifica azienda ed il mese presente nel file xml, non risultano presenti denunce Uniemens-CIG;</w:t>
            </w:r>
          </w:p>
          <w:p>
            <w:pPr>
              <w:pStyle w:val="CorpoAltF0"/>
            </w:pPr>
          </w:p>
        </w:tc>
      </w:tr>
      <w:tr>
        <w:tc>
          <w:tcPr>
            <w:tcW w:w="3187" w:type="dxa"/>
          </w:tcPr>
          <w:p>
            <w:pPr>
              <w:pStyle w:val="CorpoAltF0"/>
              <w:spacing w:before="60"/>
              <w:jc w:val="right"/>
              <w:rPr>
                <w:b/>
              </w:rPr>
            </w:pPr>
            <w:r>
              <w:rPr>
                <w:b/>
              </w:rPr>
              <w:lastRenderedPageBreak/>
              <w:t>Chiusa</w:t>
            </w:r>
          </w:p>
          <w:p>
            <w:pPr>
              <w:pStyle w:val="CorpoAltF0"/>
            </w:pPr>
          </w:p>
          <w:p>
            <w:pPr>
              <w:pStyle w:val="CorpoAltF0"/>
            </w:pPr>
          </w:p>
          <w:p>
            <w:pPr>
              <w:pStyle w:val="CorpoAltF0"/>
            </w:pPr>
          </w:p>
          <w:p>
            <w:pPr>
              <w:pStyle w:val="CorpoAltF0"/>
            </w:pPr>
          </w:p>
        </w:tc>
        <w:tc>
          <w:tcPr>
            <w:tcW w:w="6452" w:type="dxa"/>
          </w:tcPr>
          <w:p>
            <w:pPr>
              <w:pStyle w:val="CorpoAltF0"/>
              <w:spacing w:before="60"/>
            </w:pPr>
            <w:r>
              <w:t>la relativa denuncia Uniemens-CIG risulta chiusa.</w:t>
            </w:r>
          </w:p>
          <w:p>
            <w:pPr>
              <w:pStyle w:val="CorpoAltF0"/>
              <w:spacing w:before="60"/>
            </w:pPr>
            <w:r>
              <w:t>In tal caso, risulterà abilitato il pulsante “</w:t>
            </w:r>
            <w:r>
              <w:rPr>
                <w:i/>
              </w:rPr>
              <w:t>F4 Apri Dichiarazione</w:t>
            </w:r>
            <w:r>
              <w:t>” utile al fine di riaprire la denuncia in oggetto e permettere l’importazione.</w:t>
            </w:r>
          </w:p>
          <w:p>
            <w:pPr>
              <w:pStyle w:val="CorpoAltF0"/>
            </w:pPr>
          </w:p>
        </w:tc>
      </w:tr>
      <w:tr>
        <w:tc>
          <w:tcPr>
            <w:tcW w:w="3187" w:type="dxa"/>
          </w:tcPr>
          <w:p>
            <w:pPr>
              <w:pStyle w:val="CorpoAltF0"/>
              <w:jc w:val="right"/>
              <w:rPr>
                <w:b/>
              </w:rPr>
            </w:pPr>
            <w:r>
              <w:rPr>
                <w:b/>
              </w:rPr>
              <w:t>Conflitto su dipendenti</w:t>
            </w:r>
          </w:p>
          <w:p>
            <w:pPr>
              <w:pStyle w:val="CorpoAltF0"/>
              <w:jc w:val="right"/>
              <w:rPr>
                <w:b/>
              </w:rPr>
            </w:pPr>
          </w:p>
          <w:p>
            <w:pPr>
              <w:pStyle w:val="CorpoAltF0"/>
              <w:jc w:val="right"/>
              <w:rPr>
                <w:b/>
              </w:rPr>
            </w:pPr>
          </w:p>
        </w:tc>
        <w:tc>
          <w:tcPr>
            <w:tcW w:w="6452" w:type="dxa"/>
          </w:tcPr>
          <w:p>
            <w:pPr>
              <w:pStyle w:val="CorpoAltF0"/>
            </w:pPr>
            <w:r>
              <w:t>per l’azienda risulta già presente una dichiarazione relativa allo stesso mese.</w:t>
            </w:r>
          </w:p>
          <w:p>
            <w:pPr>
              <w:pStyle w:val="CorpoAltF0"/>
            </w:pPr>
          </w:p>
        </w:tc>
      </w:tr>
      <w:tr>
        <w:tc>
          <w:tcPr>
            <w:tcW w:w="3187" w:type="dxa"/>
          </w:tcPr>
          <w:p>
            <w:pPr>
              <w:pStyle w:val="CorpoAltF0"/>
              <w:rPr>
                <w:i/>
              </w:rPr>
            </w:pPr>
            <w:r>
              <w:rPr>
                <w:i/>
              </w:rPr>
              <w:t>Az. EMENS:</w:t>
            </w:r>
          </w:p>
          <w:p>
            <w:pPr>
              <w:pStyle w:val="CorpoAltF0"/>
              <w:rPr>
                <w:i/>
              </w:rPr>
            </w:pPr>
          </w:p>
          <w:p>
            <w:pPr>
              <w:pStyle w:val="CorpoAltF0"/>
              <w:rPr>
                <w:i/>
              </w:rPr>
            </w:pPr>
          </w:p>
          <w:p>
            <w:pPr>
              <w:pStyle w:val="CorpoAltF0"/>
              <w:rPr>
                <w:i/>
              </w:rPr>
            </w:pPr>
          </w:p>
          <w:p>
            <w:pPr>
              <w:pStyle w:val="CorpoAltF0"/>
              <w:rPr>
                <w:i/>
              </w:rPr>
            </w:pPr>
          </w:p>
          <w:p>
            <w:pPr>
              <w:pStyle w:val="CorpoAltF0"/>
              <w:rPr>
                <w:i/>
              </w:rPr>
            </w:pPr>
          </w:p>
          <w:p>
            <w:pPr>
              <w:pStyle w:val="CorpoAltF0"/>
              <w:rPr>
                <w:i/>
              </w:rPr>
            </w:pPr>
          </w:p>
          <w:p>
            <w:pPr>
              <w:pStyle w:val="CorpoAltF0"/>
              <w:rPr>
                <w:i/>
              </w:rPr>
            </w:pPr>
          </w:p>
          <w:p>
            <w:pPr>
              <w:pStyle w:val="CorpoAltF0"/>
              <w:rPr>
                <w:i/>
              </w:rPr>
            </w:pPr>
          </w:p>
          <w:p>
            <w:pPr>
              <w:pStyle w:val="CorpoAltF0"/>
              <w:rPr>
                <w:i/>
              </w:rPr>
            </w:pPr>
          </w:p>
        </w:tc>
        <w:tc>
          <w:tcPr>
            <w:tcW w:w="6452" w:type="dxa"/>
          </w:tcPr>
          <w:p>
            <w:pPr>
              <w:pStyle w:val="CorpoAltF0"/>
              <w:spacing w:before="60"/>
            </w:pPr>
            <w:r>
              <w:t xml:space="preserve">il programma riporta il corrispondente codice ditta </w:t>
            </w:r>
            <w:r>
              <w:rPr>
                <w:rFonts w:cs="Arial"/>
              </w:rPr>
              <w:t>in anagrafica EMENS.</w:t>
            </w:r>
          </w:p>
          <w:p>
            <w:pPr>
              <w:pStyle w:val="CorpoAltF0"/>
              <w:spacing w:before="60"/>
            </w:pPr>
            <w:r>
              <w:t>In caso di azienda non presente, risulterà abilitato il pulsante “</w:t>
            </w:r>
            <w:r>
              <w:rPr>
                <w:i/>
              </w:rPr>
              <w:t>F3 Crea Azienda</w:t>
            </w:r>
            <w:r>
              <w:t>” utile al fine di creare automaticamente l’anagrafica azienda EMENS assegnando il primo codice libero.</w:t>
            </w:r>
          </w:p>
          <w:p>
            <w:pPr>
              <w:pStyle w:val="CorpoAltF0"/>
              <w:spacing w:before="60"/>
            </w:pPr>
            <w:r>
              <w:t>Nel caso in cui per la medesima azienda siano presenti più anagrafiche ditta EMENS (campo “</w:t>
            </w:r>
            <w:r>
              <w:rPr>
                <w:i/>
              </w:rPr>
              <w:t>Stato Azienda</w:t>
            </w:r>
            <w:r>
              <w:t>” pari a “</w:t>
            </w:r>
            <w:r>
              <w:rPr>
                <w:i/>
              </w:rPr>
              <w:t>Più aziende associate</w:t>
            </w:r>
            <w:r>
              <w:t>”) il programma permetterà di selezionare, mediante il tasto funzione “</w:t>
            </w:r>
            <w:r>
              <w:rPr>
                <w:i/>
              </w:rPr>
              <w:t>F2</w:t>
            </w:r>
            <w:r>
              <w:t>”, il codice ditta interessato.</w:t>
            </w:r>
          </w:p>
        </w:tc>
      </w:tr>
    </w:tbl>
    <w:p>
      <w:pPr>
        <w:pStyle w:val="CorpoAltF0"/>
      </w:pPr>
    </w:p>
    <w:p>
      <w:pPr>
        <w:pStyle w:val="CorpoAltF0"/>
        <w:spacing w:after="120"/>
      </w:pPr>
      <w:r>
        <w:t>Sono disponibili, inoltre, i seguenti pulsanti funzione: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
        <w:gridCol w:w="2637"/>
        <w:gridCol w:w="6456"/>
      </w:tblGrid>
      <w:tr>
        <w:tc>
          <w:tcPr>
            <w:tcW w:w="546" w:type="dxa"/>
          </w:tcPr>
          <w:p>
            <w:pPr>
              <w:pStyle w:val="CorpoAltF0"/>
              <w:spacing w:after="120"/>
            </w:pPr>
            <w:r>
              <w:rPr>
                <w:noProof/>
              </w:rPr>
              <w:drawing>
                <wp:inline distT="0" distB="0" distL="0" distR="0">
                  <wp:extent cx="189000" cy="180000"/>
                  <wp:effectExtent l="0" t="0" r="190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E0EE09.tmp"/>
                          <pic:cNvPicPr/>
                        </pic:nvPicPr>
                        <pic:blipFill>
                          <a:blip r:embed="rId27">
                            <a:extLst>
                              <a:ext uri="{28A0092B-C50C-407E-A947-70E740481C1C}">
                                <a14:useLocalDpi xmlns:a14="http://schemas.microsoft.com/office/drawing/2010/main" val="0"/>
                              </a:ext>
                            </a:extLst>
                          </a:blip>
                          <a:stretch>
                            <a:fillRect/>
                          </a:stretch>
                        </pic:blipFill>
                        <pic:spPr>
                          <a:xfrm>
                            <a:off x="0" y="0"/>
                            <a:ext cx="189000" cy="180000"/>
                          </a:xfrm>
                          <a:prstGeom prst="rect">
                            <a:avLst/>
                          </a:prstGeom>
                        </pic:spPr>
                      </pic:pic>
                    </a:graphicData>
                  </a:graphic>
                </wp:inline>
              </w:drawing>
            </w:r>
          </w:p>
        </w:tc>
        <w:tc>
          <w:tcPr>
            <w:tcW w:w="2715" w:type="dxa"/>
          </w:tcPr>
          <w:p>
            <w:pPr>
              <w:pStyle w:val="CorpoAltF0"/>
              <w:spacing w:after="120"/>
              <w:rPr>
                <w:iCs/>
              </w:rPr>
            </w:pPr>
            <w:r>
              <w:t>“</w:t>
            </w:r>
            <w:r>
              <w:rPr>
                <w:i/>
              </w:rPr>
              <w:t>Seleziona tutti</w:t>
            </w:r>
            <w:r>
              <w:rPr>
                <w:iCs/>
              </w:rPr>
              <w:t>”</w:t>
            </w:r>
          </w:p>
        </w:tc>
        <w:tc>
          <w:tcPr>
            <w:tcW w:w="6378" w:type="dxa"/>
          </w:tcPr>
          <w:p>
            <w:pPr>
              <w:pStyle w:val="CorpoAltF0"/>
              <w:rPr>
                <w:rFonts w:cs="Arial"/>
              </w:rPr>
            </w:pPr>
            <w:r>
              <w:rPr>
                <w:rFonts w:cs="Arial"/>
              </w:rPr>
              <w:t>consente di selezionare tutti i righi presenti nella griglia con stato denuncia pari a “[</w:t>
            </w:r>
            <w:r>
              <w:rPr>
                <w:rFonts w:cs="Arial"/>
                <w:i/>
              </w:rPr>
              <w:t>Spazio</w:t>
            </w:r>
            <w:r>
              <w:rPr>
                <w:rFonts w:cs="Arial"/>
              </w:rPr>
              <w:t>] e “</w:t>
            </w:r>
            <w:r>
              <w:rPr>
                <w:rFonts w:cs="Arial"/>
                <w:i/>
              </w:rPr>
              <w:t>Conflitto su dipendenti</w:t>
            </w:r>
            <w:r>
              <w:rPr>
                <w:rFonts w:cs="Arial"/>
              </w:rPr>
              <w:t>”;</w:t>
            </w:r>
          </w:p>
          <w:p>
            <w:pPr>
              <w:pStyle w:val="CorpoAltF0"/>
            </w:pPr>
          </w:p>
        </w:tc>
      </w:tr>
      <w:tr>
        <w:tc>
          <w:tcPr>
            <w:tcW w:w="546" w:type="dxa"/>
          </w:tcPr>
          <w:p>
            <w:pPr>
              <w:pStyle w:val="CorpoAltF0"/>
              <w:spacing w:after="120"/>
              <w:rPr>
                <w:noProof/>
              </w:rPr>
            </w:pPr>
            <w:r>
              <w:rPr>
                <w:noProof/>
              </w:rPr>
              <w:drawing>
                <wp:inline distT="0" distB="0" distL="0" distR="0">
                  <wp:extent cx="201295" cy="177165"/>
                  <wp:effectExtent l="0" t="0" r="8255"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295" cy="177165"/>
                          </a:xfrm>
                          <a:prstGeom prst="rect">
                            <a:avLst/>
                          </a:prstGeom>
                          <a:noFill/>
                          <a:ln>
                            <a:noFill/>
                          </a:ln>
                        </pic:spPr>
                      </pic:pic>
                    </a:graphicData>
                  </a:graphic>
                </wp:inline>
              </w:drawing>
            </w:r>
          </w:p>
        </w:tc>
        <w:tc>
          <w:tcPr>
            <w:tcW w:w="2715" w:type="dxa"/>
          </w:tcPr>
          <w:p>
            <w:pPr>
              <w:pStyle w:val="CorpoAltF0"/>
              <w:spacing w:after="120"/>
            </w:pPr>
            <w:r>
              <w:t>“</w:t>
            </w:r>
            <w:r>
              <w:rPr>
                <w:i/>
              </w:rPr>
              <w:t>Deseleziona tutti”</w:t>
            </w:r>
          </w:p>
        </w:tc>
        <w:tc>
          <w:tcPr>
            <w:tcW w:w="6378" w:type="dxa"/>
          </w:tcPr>
          <w:p>
            <w:pPr>
              <w:pStyle w:val="CorpoAltF0"/>
              <w:rPr>
                <w:rFonts w:cs="Arial"/>
              </w:rPr>
            </w:pPr>
            <w:r>
              <w:rPr>
                <w:rFonts w:cs="Arial"/>
              </w:rPr>
              <w:t>consente di deselezionare tutte i righi selezionati presenti nella griglia;</w:t>
            </w:r>
          </w:p>
          <w:p>
            <w:pPr>
              <w:pStyle w:val="CorpoAltF0"/>
              <w:rPr>
                <w:rFonts w:cs="Arial"/>
              </w:rPr>
            </w:pPr>
          </w:p>
        </w:tc>
      </w:tr>
      <w:tr>
        <w:tc>
          <w:tcPr>
            <w:tcW w:w="546" w:type="dxa"/>
          </w:tcPr>
          <w:p>
            <w:pPr>
              <w:pStyle w:val="CorpoAltF0"/>
              <w:spacing w:after="120"/>
              <w:rPr>
                <w:noProof/>
              </w:rPr>
            </w:pPr>
            <w:r>
              <w:rPr>
                <w:noProof/>
              </w:rPr>
              <w:drawing>
                <wp:inline distT="0" distB="0" distL="0" distR="0">
                  <wp:extent cx="164999" cy="180000"/>
                  <wp:effectExtent l="0" t="0" r="6985"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E035A6.tmp"/>
                          <pic:cNvPicPr/>
                        </pic:nvPicPr>
                        <pic:blipFill>
                          <a:blip r:embed="rId29">
                            <a:extLst>
                              <a:ext uri="{28A0092B-C50C-407E-A947-70E740481C1C}">
                                <a14:useLocalDpi xmlns:a14="http://schemas.microsoft.com/office/drawing/2010/main" val="0"/>
                              </a:ext>
                            </a:extLst>
                          </a:blip>
                          <a:stretch>
                            <a:fillRect/>
                          </a:stretch>
                        </pic:blipFill>
                        <pic:spPr>
                          <a:xfrm>
                            <a:off x="0" y="0"/>
                            <a:ext cx="164999" cy="180000"/>
                          </a:xfrm>
                          <a:prstGeom prst="rect">
                            <a:avLst/>
                          </a:prstGeom>
                        </pic:spPr>
                      </pic:pic>
                    </a:graphicData>
                  </a:graphic>
                </wp:inline>
              </w:drawing>
            </w:r>
          </w:p>
        </w:tc>
        <w:tc>
          <w:tcPr>
            <w:tcW w:w="2715" w:type="dxa"/>
          </w:tcPr>
          <w:p>
            <w:pPr>
              <w:pStyle w:val="CorpoAltF0"/>
              <w:spacing w:after="120"/>
            </w:pPr>
            <w:r>
              <w:t>“</w:t>
            </w:r>
            <w:r>
              <w:rPr>
                <w:i/>
              </w:rPr>
              <w:t>Assegna azienda massiva”</w:t>
            </w:r>
          </w:p>
        </w:tc>
        <w:tc>
          <w:tcPr>
            <w:tcW w:w="6378" w:type="dxa"/>
          </w:tcPr>
          <w:p>
            <w:pPr>
              <w:pStyle w:val="CorpoAltF0"/>
              <w:rPr>
                <w:rFonts w:cs="Arial"/>
              </w:rPr>
            </w:pPr>
            <w:r>
              <w:rPr>
                <w:rFonts w:cs="Arial"/>
              </w:rPr>
              <w:t>consente di assegnare un codice azienda EMENS a tutte le denunce con azienda inesistente;</w:t>
            </w:r>
          </w:p>
          <w:p>
            <w:pPr>
              <w:pStyle w:val="CorpoAltF0"/>
              <w:rPr>
                <w:rFonts w:cs="Arial"/>
              </w:rPr>
            </w:pPr>
          </w:p>
        </w:tc>
      </w:tr>
      <w:tr>
        <w:tc>
          <w:tcPr>
            <w:tcW w:w="546" w:type="dxa"/>
          </w:tcPr>
          <w:p>
            <w:pPr>
              <w:pStyle w:val="CorpoAltF0"/>
              <w:spacing w:after="120"/>
              <w:rPr>
                <w:noProof/>
              </w:rPr>
            </w:pPr>
            <w:r>
              <w:rPr>
                <w:noProof/>
              </w:rPr>
              <w:drawing>
                <wp:inline distT="0" distB="0" distL="0" distR="0">
                  <wp:extent cx="205740" cy="177165"/>
                  <wp:effectExtent l="0" t="0" r="381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740" cy="177165"/>
                          </a:xfrm>
                          <a:prstGeom prst="rect">
                            <a:avLst/>
                          </a:prstGeom>
                          <a:noFill/>
                          <a:ln>
                            <a:noFill/>
                          </a:ln>
                        </pic:spPr>
                      </pic:pic>
                    </a:graphicData>
                  </a:graphic>
                </wp:inline>
              </w:drawing>
            </w:r>
          </w:p>
        </w:tc>
        <w:tc>
          <w:tcPr>
            <w:tcW w:w="2715" w:type="dxa"/>
          </w:tcPr>
          <w:p>
            <w:pPr>
              <w:pStyle w:val="CorpoAltF0"/>
              <w:spacing w:after="120"/>
            </w:pPr>
            <w:r>
              <w:t>“</w:t>
            </w:r>
            <w:r>
              <w:rPr>
                <w:i/>
              </w:rPr>
              <w:t>Dettaglio dipendenti”</w:t>
            </w:r>
          </w:p>
        </w:tc>
        <w:tc>
          <w:tcPr>
            <w:tcW w:w="6378" w:type="dxa"/>
          </w:tcPr>
          <w:p>
            <w:pPr>
              <w:pStyle w:val="CorpoAltF0"/>
            </w:pPr>
            <w:r>
              <w:t>con riferimento alla specifica azienda, tale pulsante consente di visualizzare il dettaglio dei dipendenti presenti nel file da importare:</w:t>
            </w:r>
          </w:p>
          <w:p>
            <w:pPr>
              <w:pStyle w:val="CorpoAltF0"/>
              <w:spacing w:before="120"/>
              <w:jc w:val="center"/>
            </w:pPr>
            <w:r>
              <w:rPr>
                <w:noProof/>
              </w:rPr>
              <w:drawing>
                <wp:inline distT="0" distB="0" distL="0" distR="0">
                  <wp:extent cx="3960000" cy="481475"/>
                  <wp:effectExtent l="0" t="0" r="254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60000" cy="481475"/>
                          </a:xfrm>
                          <a:prstGeom prst="rect">
                            <a:avLst/>
                          </a:prstGeom>
                        </pic:spPr>
                      </pic:pic>
                    </a:graphicData>
                  </a:graphic>
                </wp:inline>
              </w:drawing>
            </w:r>
          </w:p>
          <w:p>
            <w:pPr>
              <w:pStyle w:val="CorpoAltF0"/>
              <w:spacing w:before="120"/>
              <w:rPr>
                <w:rFonts w:cs="Arial"/>
              </w:rPr>
            </w:pPr>
            <w:r>
              <w:t xml:space="preserve">Nel caso in cui la denuncia individuale dello specifico dipendente risulti già presente all’interno della procedura il programma provvederà a evidenziarlo con il seguente simbolo </w:t>
            </w:r>
            <w:r>
              <w:rPr>
                <w:noProof/>
              </w:rPr>
              <w:drawing>
                <wp:inline distT="0" distB="0" distL="0" distR="0">
                  <wp:extent cx="201600" cy="147323"/>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E0FF4D.tmp"/>
                          <pic:cNvPicPr/>
                        </pic:nvPicPr>
                        <pic:blipFill>
                          <a:blip r:embed="rId32">
                            <a:extLst>
                              <a:ext uri="{28A0092B-C50C-407E-A947-70E740481C1C}">
                                <a14:useLocalDpi xmlns:a14="http://schemas.microsoft.com/office/drawing/2010/main" val="0"/>
                              </a:ext>
                            </a:extLst>
                          </a:blip>
                          <a:stretch>
                            <a:fillRect/>
                          </a:stretch>
                        </pic:blipFill>
                        <pic:spPr>
                          <a:xfrm>
                            <a:off x="0" y="0"/>
                            <a:ext cx="201600" cy="147323"/>
                          </a:xfrm>
                          <a:prstGeom prst="rect">
                            <a:avLst/>
                          </a:prstGeom>
                        </pic:spPr>
                      </pic:pic>
                    </a:graphicData>
                  </a:graphic>
                </wp:inline>
              </w:drawing>
            </w:r>
            <w:r>
              <w:t>.</w:t>
            </w:r>
          </w:p>
          <w:p>
            <w:pPr>
              <w:pStyle w:val="CorpoAltF0"/>
              <w:rPr>
                <w:rFonts w:cs="Arial"/>
              </w:rPr>
            </w:pPr>
          </w:p>
        </w:tc>
      </w:tr>
    </w:tbl>
    <w:p>
      <w:pPr>
        <w:pStyle w:val="CorpoAltF0"/>
      </w:pPr>
    </w:p>
    <w:p>
      <w:pPr>
        <w:pStyle w:val="CorpoAltF0"/>
      </w:pPr>
      <w:r>
        <w:t>Il campo “</w:t>
      </w:r>
      <w:r>
        <w:rPr>
          <w:i/>
          <w:iCs/>
        </w:rPr>
        <w:t>Elimina precedenti importazioni</w:t>
      </w:r>
      <w:r>
        <w:t>” è utile in caso di azienda per la quale risultano già presenti delle denunce per il mese di riferimento.</w:t>
      </w:r>
    </w:p>
    <w:p>
      <w:pPr>
        <w:pStyle w:val="CorpoAltF0"/>
        <w:spacing w:before="60"/>
      </w:pPr>
      <w:r>
        <w:t>Non valorizzando il campo in oggetto (valore di default) il programma provvederà ad importare le denunce non presenti, sostituendo quelle già presenti.</w:t>
      </w:r>
    </w:p>
    <w:p>
      <w:pPr>
        <w:pStyle w:val="CorpoAltF0"/>
        <w:spacing w:before="60"/>
      </w:pPr>
      <w:r>
        <w:t>Valorizzando tale campo il programma provvederà a importare i dati contenuti nel file eliminando le denunce già presenti (oggetto di una precedente importazione dati)</w:t>
      </w:r>
    </w:p>
    <w:p>
      <w:pPr>
        <w:pStyle w:val="CorpoAltF0"/>
      </w:pPr>
    </w:p>
    <w:p>
      <w:pPr>
        <w:pStyle w:val="CorpoAltF0"/>
      </w:pPr>
      <w:r>
        <w:t>Alla conferma il programma provvederà a importare all’interno della procedura Uniemens-CIG le aziende che risulteranno avere il campo “</w:t>
      </w:r>
      <w:proofErr w:type="spellStart"/>
      <w:r>
        <w:rPr>
          <w:i/>
        </w:rPr>
        <w:t>Sel</w:t>
      </w:r>
      <w:proofErr w:type="spellEnd"/>
      <w:r>
        <w:t>.” valorizzato.</w:t>
      </w:r>
    </w:p>
    <w:p>
      <w:pPr>
        <w:pStyle w:val="CorpoAltF0"/>
      </w:pPr>
    </w:p>
    <w:p>
      <w:pPr>
        <w:pStyle w:val="WWTipoDocumento"/>
        <w:ind w:left="0"/>
        <w:rPr>
          <w:sz w:val="20"/>
          <w:szCs w:val="20"/>
        </w:rPr>
      </w:pPr>
      <w:r>
        <w:t>----------------------------------</w:t>
      </w:r>
    </w:p>
    <w:p>
      <w:pPr>
        <w:pStyle w:val="Ignora"/>
      </w:pPr>
    </w:p>
    <w:sectPr>
      <w:headerReference w:type="default" r:id="rId33"/>
      <w:footerReference w:type="default" r:id="rId34"/>
      <w:pgSz w:w="11907" w:h="16840" w:code="9"/>
      <w:pgMar w:top="567" w:right="1134" w:bottom="1134" w:left="1134" w:header="397" w:footer="397" w:gutter="0"/>
      <w:pgNumType w:chapStyle="1" w:chapSep="period"/>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CorpoAltF0"/>
      <w:jc w:val="center"/>
      <w:rPr>
        <w:sz w:val="10"/>
        <w:szCs w:val="10"/>
      </w:rPr>
    </w:pPr>
    <w:r>
      <w:rPr>
        <w:noProof/>
        <w:sz w:val="10"/>
        <w:szCs w:val="10"/>
      </w:rPr>
      <w:drawing>
        <wp:inline distT="0" distB="0" distL="0" distR="0">
          <wp:extent cx="6120000" cy="360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000" cy="36000"/>
                  </a:xfrm>
                  <a:prstGeom prst="rect">
                    <a:avLst/>
                  </a:prstGeom>
                  <a:noFill/>
                  <a:ln>
                    <a:noFill/>
                  </a:ln>
                </pic:spPr>
              </pic:pic>
            </a:graphicData>
          </a:graphic>
        </wp:inline>
      </w:drawing>
    </w:r>
  </w:p>
  <w:tbl>
    <w:tblPr>
      <w:tblW w:w="9639" w:type="dxa"/>
      <w:jc w:val="center"/>
      <w:tblLayout w:type="fixed"/>
      <w:tblCellMar>
        <w:left w:w="70" w:type="dxa"/>
        <w:right w:w="70" w:type="dxa"/>
      </w:tblCellMar>
      <w:tblLook w:val="0000" w:firstRow="0" w:lastRow="0" w:firstColumn="0" w:lastColumn="0" w:noHBand="0" w:noVBand="0"/>
    </w:tblPr>
    <w:tblGrid>
      <w:gridCol w:w="2977"/>
      <w:gridCol w:w="4961"/>
      <w:gridCol w:w="1701"/>
    </w:tblGrid>
    <w:tr>
      <w:trPr>
        <w:trHeight w:hRule="exact" w:val="567"/>
        <w:jc w:val="center"/>
      </w:trPr>
      <w:tc>
        <w:tcPr>
          <w:tcW w:w="2977" w:type="dxa"/>
          <w:tcMar>
            <w:left w:w="0" w:type="dxa"/>
          </w:tcMar>
          <w:vAlign w:val="center"/>
        </w:tcPr>
        <w:p>
          <w:pPr>
            <w:spacing w:line="240" w:lineRule="atLeast"/>
            <w:ind w:right="360"/>
            <w:rPr>
              <w:rStyle w:val="Numeropagina"/>
              <w:rFonts w:ascii="Courier" w:hAnsi="Courier"/>
              <w:b/>
            </w:rPr>
          </w:pPr>
        </w:p>
      </w:tc>
      <w:tc>
        <w:tcPr>
          <w:tcW w:w="4961" w:type="dxa"/>
        </w:tcPr>
        <w:p>
          <w:pPr>
            <w:spacing w:line="240" w:lineRule="atLeast"/>
            <w:jc w:val="center"/>
            <w:rPr>
              <w:rStyle w:val="Numeropagina"/>
              <w:rFonts w:ascii="Arial" w:hAnsi="Arial" w:cs="Arial"/>
              <w:i/>
              <w:sz w:val="20"/>
            </w:rPr>
          </w:pPr>
          <w:r>
            <w:rPr>
              <w:rStyle w:val="Numeropagina"/>
              <w:rFonts w:ascii="Arial" w:hAnsi="Arial" w:cs="Arial"/>
              <w:i/>
              <w:sz w:val="20"/>
            </w:rPr>
            <w:t>Integrazione alla guida utente</w:t>
          </w:r>
        </w:p>
        <w:p>
          <w:pPr>
            <w:jc w:val="center"/>
            <w:rPr>
              <w:rFonts w:ascii="Arial" w:hAnsi="Arial" w:cs="Arial"/>
              <w:i/>
              <w:sz w:val="20"/>
              <w:szCs w:val="20"/>
              <w:highlight w:val="yellow"/>
            </w:rPr>
          </w:pPr>
          <w:r>
            <w:rPr>
              <w:rFonts w:ascii="Arial" w:hAnsi="Arial" w:cs="Arial"/>
              <w:i/>
              <w:sz w:val="20"/>
              <w:szCs w:val="20"/>
            </w:rPr>
            <w:t>EMENS 2021.0.5</w:t>
          </w:r>
        </w:p>
      </w:tc>
      <w:tc>
        <w:tcPr>
          <w:tcW w:w="1701" w:type="dxa"/>
        </w:tcPr>
        <w:p>
          <w:pPr>
            <w:spacing w:line="240" w:lineRule="atLeast"/>
            <w:ind w:right="141"/>
            <w:jc w:val="right"/>
            <w:rPr>
              <w:rStyle w:val="Numeropagina"/>
              <w:rFonts w:ascii="Arial" w:hAnsi="Arial" w:cs="Arial"/>
              <w:sz w:val="20"/>
            </w:rPr>
          </w:pPr>
          <w:r>
            <w:rPr>
              <w:rStyle w:val="Numeropagina"/>
              <w:rFonts w:ascii="Arial" w:hAnsi="Arial" w:cs="Arial"/>
              <w:sz w:val="20"/>
            </w:rPr>
            <w:fldChar w:fldCharType="begin"/>
          </w:r>
          <w:r>
            <w:rPr>
              <w:rStyle w:val="Numeropagina"/>
              <w:rFonts w:ascii="Arial" w:hAnsi="Arial" w:cs="Arial"/>
              <w:sz w:val="20"/>
            </w:rPr>
            <w:instrText xml:space="preserve"> PAGE </w:instrText>
          </w:r>
          <w:r>
            <w:rPr>
              <w:rStyle w:val="Numeropagina"/>
              <w:rFonts w:ascii="Arial" w:hAnsi="Arial" w:cs="Arial"/>
              <w:sz w:val="20"/>
            </w:rPr>
            <w:fldChar w:fldCharType="separate"/>
          </w:r>
          <w:r>
            <w:rPr>
              <w:rStyle w:val="Numeropagina"/>
              <w:rFonts w:ascii="Arial" w:hAnsi="Arial" w:cs="Arial"/>
              <w:noProof/>
              <w:sz w:val="20"/>
            </w:rPr>
            <w:t>1</w:t>
          </w:r>
          <w:r>
            <w:rPr>
              <w:rStyle w:val="Numeropagina"/>
              <w:rFonts w:ascii="Arial" w:hAnsi="Arial" w:cs="Arial"/>
              <w:sz w:val="20"/>
            </w:rPr>
            <w:fldChar w:fldCharType="end"/>
          </w:r>
        </w:p>
      </w:tc>
    </w:tr>
  </w:tbl>
  <w:p>
    <w:pPr>
      <w:pStyle w:val="corpoAltF"/>
      <w:rPr>
        <w:sz w:val="10"/>
        <w:szCs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CorpoAltF0"/>
      <w:jc w:val="center"/>
      <w:rPr>
        <w:sz w:val="10"/>
        <w:szCs w:val="10"/>
      </w:rPr>
    </w:pPr>
    <w:r>
      <w:rPr>
        <w:noProof/>
        <w:sz w:val="10"/>
        <w:szCs w:val="10"/>
      </w:rPr>
      <w:drawing>
        <wp:inline distT="0" distB="0" distL="0" distR="0">
          <wp:extent cx="6120000" cy="360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000" cy="36000"/>
                  </a:xfrm>
                  <a:prstGeom prst="rect">
                    <a:avLst/>
                  </a:prstGeom>
                  <a:noFill/>
                  <a:ln>
                    <a:noFill/>
                  </a:ln>
                </pic:spPr>
              </pic:pic>
            </a:graphicData>
          </a:graphic>
        </wp:inline>
      </w:drawing>
    </w:r>
  </w:p>
  <w:tbl>
    <w:tblPr>
      <w:tblW w:w="9639" w:type="dxa"/>
      <w:jc w:val="center"/>
      <w:tblLayout w:type="fixed"/>
      <w:tblCellMar>
        <w:left w:w="70" w:type="dxa"/>
        <w:right w:w="70" w:type="dxa"/>
      </w:tblCellMar>
      <w:tblLook w:val="0000" w:firstRow="0" w:lastRow="0" w:firstColumn="0" w:lastColumn="0" w:noHBand="0" w:noVBand="0"/>
    </w:tblPr>
    <w:tblGrid>
      <w:gridCol w:w="2977"/>
      <w:gridCol w:w="4961"/>
      <w:gridCol w:w="1701"/>
    </w:tblGrid>
    <w:tr>
      <w:trPr>
        <w:trHeight w:hRule="exact" w:val="567"/>
        <w:jc w:val="center"/>
      </w:trPr>
      <w:tc>
        <w:tcPr>
          <w:tcW w:w="2977" w:type="dxa"/>
          <w:tcMar>
            <w:left w:w="0" w:type="dxa"/>
          </w:tcMar>
          <w:vAlign w:val="center"/>
        </w:tcPr>
        <w:p>
          <w:pPr>
            <w:spacing w:line="240" w:lineRule="atLeast"/>
            <w:ind w:right="360"/>
            <w:rPr>
              <w:rStyle w:val="Numeropagina"/>
              <w:rFonts w:ascii="Courier" w:hAnsi="Courier"/>
              <w:b/>
            </w:rPr>
          </w:pPr>
          <w:r>
            <w:rPr>
              <w:rFonts w:ascii="Courier" w:hAnsi="Courier"/>
              <w:b/>
              <w:noProof/>
            </w:rPr>
            <w:drawing>
              <wp:inline distT="0" distB="0" distL="0" distR="0">
                <wp:extent cx="1612800" cy="349200"/>
                <wp:effectExtent l="0" t="0" r="0" b="0"/>
                <wp:docPr id="12" name="Immagine 12"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2800" cy="349200"/>
                        </a:xfrm>
                        <a:prstGeom prst="rect">
                          <a:avLst/>
                        </a:prstGeom>
                        <a:noFill/>
                        <a:ln>
                          <a:noFill/>
                        </a:ln>
                      </pic:spPr>
                    </pic:pic>
                  </a:graphicData>
                </a:graphic>
              </wp:inline>
            </w:drawing>
          </w:r>
        </w:p>
      </w:tc>
      <w:tc>
        <w:tcPr>
          <w:tcW w:w="4961" w:type="dxa"/>
        </w:tcPr>
        <w:p>
          <w:pPr>
            <w:spacing w:line="240" w:lineRule="atLeast"/>
            <w:jc w:val="center"/>
            <w:rPr>
              <w:rStyle w:val="Numeropagina"/>
              <w:rFonts w:ascii="Arial" w:hAnsi="Arial" w:cs="Arial"/>
              <w:i/>
              <w:sz w:val="20"/>
            </w:rPr>
          </w:pPr>
          <w:r>
            <w:rPr>
              <w:rStyle w:val="Numeropagina"/>
              <w:rFonts w:ascii="Arial" w:hAnsi="Arial" w:cs="Arial"/>
              <w:i/>
              <w:sz w:val="20"/>
            </w:rPr>
            <w:t>Integrazione alla guida utente</w:t>
          </w:r>
        </w:p>
        <w:p>
          <w:pPr>
            <w:jc w:val="center"/>
            <w:rPr>
              <w:rFonts w:ascii="Arial" w:hAnsi="Arial" w:cs="Arial"/>
              <w:i/>
              <w:sz w:val="20"/>
              <w:szCs w:val="20"/>
              <w:highlight w:val="yellow"/>
            </w:rPr>
          </w:pPr>
          <w:r>
            <w:rPr>
              <w:rFonts w:ascii="Arial" w:hAnsi="Arial" w:cs="Arial"/>
              <w:i/>
              <w:sz w:val="20"/>
              <w:szCs w:val="20"/>
            </w:rPr>
            <w:t>EMENS 2021.0.5</w:t>
          </w:r>
        </w:p>
      </w:tc>
      <w:tc>
        <w:tcPr>
          <w:tcW w:w="1701" w:type="dxa"/>
        </w:tcPr>
        <w:p>
          <w:pPr>
            <w:spacing w:line="240" w:lineRule="atLeast"/>
            <w:ind w:right="213"/>
            <w:jc w:val="right"/>
            <w:rPr>
              <w:rStyle w:val="Numeropagina"/>
              <w:rFonts w:ascii="Arial" w:hAnsi="Arial" w:cs="Arial"/>
              <w:sz w:val="20"/>
            </w:rPr>
          </w:pPr>
          <w:r>
            <w:rPr>
              <w:rStyle w:val="Numeropagina"/>
              <w:rFonts w:ascii="Arial" w:hAnsi="Arial" w:cs="Arial"/>
              <w:sz w:val="20"/>
            </w:rPr>
            <w:fldChar w:fldCharType="begin"/>
          </w:r>
          <w:r>
            <w:rPr>
              <w:rStyle w:val="Numeropagina"/>
              <w:rFonts w:ascii="Arial" w:hAnsi="Arial" w:cs="Arial"/>
              <w:sz w:val="20"/>
            </w:rPr>
            <w:instrText xml:space="preserve"> PAGE </w:instrText>
          </w:r>
          <w:r>
            <w:rPr>
              <w:rStyle w:val="Numeropagina"/>
              <w:rFonts w:ascii="Arial" w:hAnsi="Arial" w:cs="Arial"/>
              <w:sz w:val="20"/>
            </w:rPr>
            <w:fldChar w:fldCharType="separate"/>
          </w:r>
          <w:r>
            <w:rPr>
              <w:rStyle w:val="Numeropagina"/>
              <w:rFonts w:ascii="Arial" w:hAnsi="Arial" w:cs="Arial"/>
              <w:noProof/>
              <w:sz w:val="20"/>
            </w:rPr>
            <w:t>3</w:t>
          </w:r>
          <w:r>
            <w:rPr>
              <w:rStyle w:val="Numeropagina"/>
              <w:rFonts w:ascii="Arial" w:hAnsi="Arial" w:cs="Arial"/>
              <w:sz w:val="20"/>
            </w:rPr>
            <w:fldChar w:fldCharType="end"/>
          </w:r>
        </w:p>
        <w:p>
          <w:pPr>
            <w:spacing w:line="240" w:lineRule="atLeast"/>
            <w:jc w:val="right"/>
            <w:rPr>
              <w:rStyle w:val="Numeropagina"/>
              <w:rFonts w:ascii="Arial" w:hAnsi="Arial" w:cs="Arial"/>
              <w:sz w:val="20"/>
            </w:rPr>
          </w:pPr>
          <w:r>
            <w:rPr>
              <w:rStyle w:val="Numeropagina"/>
              <w:rFonts w:ascii="Arial" w:hAnsi="Arial" w:cs="Arial"/>
              <w:noProof/>
              <w:sz w:val="20"/>
            </w:rPr>
            <mc:AlternateContent>
              <mc:Choice Requires="wps">
                <w:drawing>
                  <wp:inline distT="0" distB="0" distL="0" distR="0">
                    <wp:extent cx="871220" cy="158115"/>
                    <wp:effectExtent l="9525" t="9525" r="5080" b="13335"/>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220" cy="158115"/>
                            </a:xfrm>
                            <a:prstGeom prst="roundRect">
                              <a:avLst>
                                <a:gd name="adj" fmla="val 16667"/>
                              </a:avLst>
                            </a:prstGeom>
                            <a:noFill/>
                            <a:ln w="9525">
                              <a:solidFill>
                                <a:schemeClr val="accent1">
                                  <a:lumMod val="75000"/>
                                  <a:lumOff val="0"/>
                                </a:schemeClr>
                              </a:solidFill>
                              <a:round/>
                              <a:headEnd/>
                              <a:tailEnd/>
                            </a:ln>
                            <a:extLst>
                              <a:ext uri="{909E8E84-426E-40DD-AFC4-6F175D3DCCD1}">
                                <a14:hiddenFill xmlns:a14="http://schemas.microsoft.com/office/drawing/2010/main">
                                  <a:solidFill>
                                    <a:srgbClr val="365F91"/>
                                  </a:solidFill>
                                </a14:hiddenFill>
                              </a:ext>
                            </a:extLst>
                          </wps:spPr>
                          <wps:txbx>
                            <w:txbxContent>
                              <w:p>
                                <w:pPr>
                                  <w:jc w:val="center"/>
                                  <w:rPr>
                                    <w:rFonts w:ascii="Verdana" w:hAnsi="Verdana"/>
                                    <w:b/>
                                    <w:color w:val="365F91"/>
                                    <w:sz w:val="12"/>
                                    <w:szCs w:val="12"/>
                                  </w:rPr>
                                </w:pPr>
                                <w:hyperlink w:anchor="INDICE" w:history="1">
                                  <w:r>
                                    <w:rPr>
                                      <w:rStyle w:val="Collegamentoipertestuale"/>
                                      <w:rFonts w:ascii="Verdana" w:hAnsi="Verdana"/>
                                      <w:b/>
                                      <w:color w:val="365F91"/>
                                      <w:sz w:val="12"/>
                                      <w:szCs w:val="12"/>
                                    </w:rPr>
                                    <w:t>Torna all’indice</w:t>
                                  </w:r>
                                </w:hyperlink>
                              </w:p>
                            </w:txbxContent>
                          </wps:txbx>
                          <wps:bodyPr rot="0" vert="horz" wrap="square" lIns="91440" tIns="10800" rIns="91440" bIns="10800" anchor="t" anchorCtr="0" upright="1">
                            <a:noAutofit/>
                          </wps:bodyPr>
                        </wps:wsp>
                      </a:graphicData>
                    </a:graphic>
                  </wp:inline>
                </w:drawing>
              </mc:Choice>
              <mc:Fallback>
                <w:pict>
                  <v:roundrect id="AutoShape 1" o:spid="_x0000_s1026" style="width:68.6pt;height:12.4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BfsSgIAAHsEAAAOAAAAZHJzL2Uyb0RvYy54bWysVG1v0zAQ/o7Ef7D8nSWp1q6rmk5TxxDS&#10;gInBD3BtpzE4PmO7Tcev53xJSwffEF+i8708d8+9ZHlz6Czb6xANuJpXFyVn2klQxm1r/vXL/Zs5&#10;ZzEJp4QFp2v+rCO/Wb1+tez9Qk+gBat0YAji4qL3NW9T8ouiiLLVnYgX4LVDYwOhEwmfYVuoIHpE&#10;72wxKctZ0UNQPoDUMaL2bjDyFeE3jZbpU9NEnZitOdaW6Bvou8nfYrUUi20QvjVyLEP8QxWdMA6T&#10;nqDuRBJsF8xfUJ2RASI06UJCV0DTGKmJA7Kpyj/YPLXCa+KCzYn+1Kb4/2Dlx/1jYEbh7DhzosMR&#10;3e4SUGZW5fb0Pi7Q68k/hkww+geQ3yNzsG6F2+rbEKBvtVBYFPkXLwLyI2Io2/QfQCG6QHTq1KEJ&#10;XQbEHrADDeT5NBB9SEyicn5VTSY4NommajqvqmmuqBCLY7APMb3T0LEs1DzAzqnPOHTKIPYPMdFQ&#10;1EhNqG+cNZ3FEe+FZdVsNrsaEUdnxD5i5kgH98ZaWhLrWF/z6+lkSuARrFHZSE3J66rXNjCERY5S&#10;apcq8rO7DokP+qtpWY4rh2pczEFNKkxMS59RiOKLBESMysitfusUyUkYO8gYbR2GHds9jC0dNgd0&#10;zMoNqGecQoDhAvBiUWgh/OSsx+2vefyxE0FzZt87nOR1dXmZz4UeVTnHslk4t2zOLcJJhKp54mwQ&#10;12k4sZ0PZttipqEXDvJuNSZhUVTqUNX4wA0n4uM15hM6f5PX73/G6hcAAAD//wMAUEsDBBQABgAI&#10;AAAAIQDy00FB2wAAAAQBAAAPAAAAZHJzL2Rvd25yZXYueG1sTI/BTsMwEETvSPyDtUhcKuqQItqG&#10;OBVCVBzohRL1vImXOBCvo9hNw9/jcoHLSqMZzbzNN5PtxEiDbx0ruJ0nIIhrp1tuFJTv25sVCB+Q&#10;NXaOScE3edgUlxc5Ztqd+I3GfWhELGGfoQITQp9J6WtDFv3c9cTR+3CDxRDl0Eg94CmW206mSXIv&#10;LbYcFwz29GSo/tofrYI1vh7suCtHWppt9ZzMXsrZ50Kp66vp8QFEoCn8heGMH9GhiEyVO7L2olMQ&#10;Hwm/9+wtlimISkF6twZZ5PI/fPEDAAD//wMAUEsBAi0AFAAGAAgAAAAhALaDOJL+AAAA4QEAABMA&#10;AAAAAAAAAAAAAAAAAAAAAFtDb250ZW50X1R5cGVzXS54bWxQSwECLQAUAAYACAAAACEAOP0h/9YA&#10;AACUAQAACwAAAAAAAAAAAAAAAAAvAQAAX3JlbHMvLnJlbHNQSwECLQAUAAYACAAAACEAgaAX7EoC&#10;AAB7BAAADgAAAAAAAAAAAAAAAAAuAgAAZHJzL2Uyb0RvYy54bWxQSwECLQAUAAYACAAAACEA8tNB&#10;QdsAAAAEAQAADwAAAAAAAAAAAAAAAACkBAAAZHJzL2Rvd25yZXYueG1sUEsFBgAAAAAEAAQA8wAA&#10;AKwFAAAAAA==&#10;" filled="f" fillcolor="#365f91" strokecolor="#365f91 [2404]">
                    <v:textbox inset=",.3mm,,.3mm">
                      <w:txbxContent>
                        <w:p>
                          <w:pPr>
                            <w:jc w:val="center"/>
                            <w:rPr>
                              <w:rFonts w:ascii="Verdana" w:hAnsi="Verdana"/>
                              <w:b/>
                              <w:color w:val="365F91"/>
                              <w:sz w:val="12"/>
                              <w:szCs w:val="12"/>
                            </w:rPr>
                          </w:pPr>
                          <w:hyperlink w:anchor="INDICE" w:history="1">
                            <w:r>
                              <w:rPr>
                                <w:rStyle w:val="Collegamentoipertestuale"/>
                                <w:rFonts w:ascii="Verdana" w:hAnsi="Verdana"/>
                                <w:b/>
                                <w:color w:val="365F91"/>
                                <w:sz w:val="12"/>
                                <w:szCs w:val="12"/>
                              </w:rPr>
                              <w:t>Torna all’indice</w:t>
                            </w:r>
                          </w:hyperlink>
                        </w:p>
                      </w:txbxContent>
                    </v:textbox>
                    <w10:anchorlock/>
                  </v:roundrect>
                </w:pict>
              </mc:Fallback>
            </mc:AlternateContent>
          </w:r>
        </w:p>
      </w:tc>
    </w:tr>
  </w:tbl>
  <w:p>
    <w:pPr>
      <w:pStyle w:val="corpoAltF"/>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35"/>
      <w:gridCol w:w="4663"/>
      <w:gridCol w:w="2141"/>
    </w:tblGrid>
    <w:tr>
      <w:trPr>
        <w:cantSplit/>
      </w:trPr>
      <w:tc>
        <w:tcPr>
          <w:tcW w:w="2835" w:type="dxa"/>
          <w:tcBorders>
            <w:top w:val="nil"/>
            <w:left w:val="nil"/>
            <w:bottom w:val="single" w:sz="4" w:space="0" w:color="auto"/>
            <w:right w:val="nil"/>
          </w:tcBorders>
        </w:tcPr>
        <w:p>
          <w:pPr>
            <w:pStyle w:val="Intestazione"/>
            <w:spacing w:before="2"/>
            <w:rPr>
              <w:rFonts w:ascii="Courier" w:hAnsi="Courier"/>
              <w:b/>
            </w:rPr>
          </w:pPr>
          <w:r>
            <w:rPr>
              <w:rFonts w:ascii="Courier" w:hAnsi="Courier"/>
              <w:b/>
              <w:noProof/>
            </w:rPr>
            <w:drawing>
              <wp:inline distT="0" distB="0" distL="0" distR="0">
                <wp:extent cx="1693545" cy="367030"/>
                <wp:effectExtent l="0" t="0" r="1905" b="0"/>
                <wp:docPr id="7" name="Immagine 7"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3545" cy="367030"/>
                        </a:xfrm>
                        <a:prstGeom prst="rect">
                          <a:avLst/>
                        </a:prstGeom>
                        <a:noFill/>
                        <a:ln>
                          <a:noFill/>
                        </a:ln>
                      </pic:spPr>
                    </pic:pic>
                  </a:graphicData>
                </a:graphic>
              </wp:inline>
            </w:drawing>
          </w:r>
        </w:p>
      </w:tc>
      <w:tc>
        <w:tcPr>
          <w:tcW w:w="4663" w:type="dxa"/>
          <w:tcBorders>
            <w:top w:val="nil"/>
            <w:left w:val="nil"/>
            <w:bottom w:val="single" w:sz="4" w:space="0" w:color="auto"/>
            <w:right w:val="nil"/>
          </w:tcBorders>
          <w:vAlign w:val="bottom"/>
        </w:tcPr>
        <w:p>
          <w:pPr>
            <w:pStyle w:val="Intestazione"/>
            <w:jc w:val="center"/>
            <w:rPr>
              <w:rFonts w:ascii="Arial" w:hAnsi="Arial" w:cs="Arial"/>
              <w:b/>
              <w:bCs/>
              <w:sz w:val="18"/>
            </w:rPr>
          </w:pPr>
          <w:r>
            <w:rPr>
              <w:rFonts w:ascii="Arial" w:hAnsi="Arial" w:cs="Arial"/>
              <w:b/>
              <w:bCs/>
              <w:color w:val="000080"/>
            </w:rPr>
            <w:t>NOTE OPERATIVE DI RELEASE</w:t>
          </w:r>
        </w:p>
      </w:tc>
      <w:tc>
        <w:tcPr>
          <w:tcW w:w="2141" w:type="dxa"/>
          <w:tcBorders>
            <w:top w:val="nil"/>
            <w:left w:val="nil"/>
            <w:bottom w:val="single" w:sz="4" w:space="0" w:color="auto"/>
            <w:right w:val="nil"/>
          </w:tcBorders>
          <w:vAlign w:val="bottom"/>
        </w:tcPr>
        <w:p>
          <w:pPr>
            <w:pStyle w:val="Intestazione"/>
            <w:jc w:val="right"/>
            <w:rPr>
              <w:rFonts w:ascii="Arial" w:hAnsi="Arial" w:cs="Arial"/>
            </w:rPr>
          </w:pPr>
        </w:p>
      </w:tc>
    </w:tr>
    <w:tr>
      <w:trPr>
        <w:cantSplit/>
      </w:trPr>
      <w:tc>
        <w:tcPr>
          <w:tcW w:w="9639" w:type="dxa"/>
          <w:gridSpan w:val="3"/>
          <w:tcBorders>
            <w:top w:val="single" w:sz="4" w:space="0" w:color="auto"/>
            <w:left w:val="nil"/>
            <w:bottom w:val="nil"/>
            <w:right w:val="nil"/>
          </w:tcBorders>
          <w:vAlign w:val="bottom"/>
        </w:tcPr>
        <w:p>
          <w:pPr>
            <w:pStyle w:val="Intestazione"/>
            <w:jc w:val="center"/>
            <w:rPr>
              <w:rFonts w:ascii="Arial" w:hAnsi="Arial" w:cs="Arial"/>
              <w:color w:val="000080"/>
              <w:sz w:val="12"/>
            </w:rPr>
          </w:pPr>
        </w:p>
        <w:p>
          <w:pPr>
            <w:pStyle w:val="Intestazione"/>
            <w:jc w:val="center"/>
            <w:rPr>
              <w:rFonts w:ascii="Arial" w:hAnsi="Arial" w:cs="Arial"/>
              <w:color w:val="000080"/>
              <w:sz w:val="16"/>
            </w:rPr>
          </w:pPr>
          <w:r>
            <w:rPr>
              <w:rFonts w:ascii="Arial" w:hAnsi="Arial" w:cs="Arial"/>
              <w:color w:val="000080"/>
              <w:sz w:val="16"/>
            </w:rPr>
            <w:t>Il presente documento costituisce un’integrazione al manuale utente del prodotto ed evidenzia le variazioni apportate con la release.</w:t>
          </w:r>
        </w:p>
        <w:p>
          <w:pPr>
            <w:pStyle w:val="Intestazione"/>
            <w:rPr>
              <w:rFonts w:ascii="Arial" w:hAnsi="Arial" w:cs="Arial"/>
              <w:b/>
              <w:bCs/>
              <w:color w:val="000080"/>
              <w:sz w:val="10"/>
              <w:szCs w:val="10"/>
            </w:rPr>
          </w:pPr>
        </w:p>
      </w:tc>
    </w:tr>
  </w:tbl>
  <w:p>
    <w:pPr>
      <w:pStyle w:val="CorpoAltF0"/>
      <w:rPr>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70" w:type="dxa"/>
      <w:tblBorders>
        <w:bottom w:val="single" w:sz="12" w:space="0" w:color="auto"/>
      </w:tblBorders>
      <w:tblCellMar>
        <w:left w:w="70" w:type="dxa"/>
        <w:right w:w="70" w:type="dxa"/>
      </w:tblCellMar>
      <w:tblLook w:val="0000" w:firstRow="0" w:lastRow="0" w:firstColumn="0" w:lastColumn="0" w:noHBand="0" w:noVBand="0"/>
    </w:tblPr>
    <w:tblGrid>
      <w:gridCol w:w="9639"/>
    </w:tblGrid>
    <w:tr>
      <w:trPr>
        <w:trHeight w:hRule="exact" w:val="567"/>
      </w:trPr>
      <w:tc>
        <w:tcPr>
          <w:tcW w:w="9639" w:type="dxa"/>
        </w:tcPr>
        <w:p>
          <w:pPr>
            <w:pStyle w:val="TS-testata-01"/>
            <w:tabs>
              <w:tab w:val="clear" w:pos="9638"/>
            </w:tabs>
            <w:rPr>
              <w:b w:val="0"/>
              <w:color w:val="FFFFFF"/>
              <w:sz w:val="32"/>
            </w:rPr>
          </w:pPr>
          <w:r>
            <w:t>EMENS – IMPLEMENTAZIONI</w:t>
          </w:r>
        </w:p>
      </w:tc>
    </w:tr>
  </w:tbl>
  <w:p>
    <w:pPr>
      <w:pStyle w:val="corpoAltF"/>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2pt;height:16.8pt;visibility:visible;mso-wrap-style:square" o:bullet="t">
        <v:imagedata r:id="rId1" o:title=""/>
      </v:shape>
    </w:pict>
  </w:numPicBullet>
  <w:numPicBullet w:numPicBulletId="1">
    <w:pict>
      <v:shape id="_x0000_i1027" type="#_x0000_t75" style="width:21pt;height:19.2pt;visibility:visible;mso-wrap-style:square" o:bullet="t">
        <v:imagedata r:id="rId2" o:title=""/>
      </v:shape>
    </w:pict>
  </w:numPicBullet>
  <w:abstractNum w:abstractNumId="0" w15:restartNumberingAfterBreak="0">
    <w:nsid w:val="019618E1"/>
    <w:multiLevelType w:val="hybridMultilevel"/>
    <w:tmpl w:val="5A88A13E"/>
    <w:lvl w:ilvl="0" w:tplc="0ED21220">
      <w:start w:val="1"/>
      <w:numFmt w:val="bullet"/>
      <w:lvlText w:val=""/>
      <w:lvlJc w:val="left"/>
      <w:pPr>
        <w:tabs>
          <w:tab w:val="num" w:pos="397"/>
        </w:tabs>
        <w:ind w:left="397" w:hanging="34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8B6CB2"/>
    <w:multiLevelType w:val="hybridMultilevel"/>
    <w:tmpl w:val="68B674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63F32FE"/>
    <w:multiLevelType w:val="hybridMultilevel"/>
    <w:tmpl w:val="029694B2"/>
    <w:lvl w:ilvl="0" w:tplc="BAD861A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800756B"/>
    <w:multiLevelType w:val="multilevel"/>
    <w:tmpl w:val="5F76A6EE"/>
    <w:lvl w:ilvl="0">
      <w:start w:val="1"/>
      <w:numFmt w:val="decimal"/>
      <w:pStyle w:val="Titolo1"/>
      <w:suff w:val="space"/>
      <w:lvlText w:val="%1"/>
      <w:lvlJc w:val="left"/>
      <w:pPr>
        <w:ind w:left="432" w:hanging="432"/>
      </w:pPr>
    </w:lvl>
    <w:lvl w:ilvl="1">
      <w:start w:val="1"/>
      <w:numFmt w:val="decimal"/>
      <w:suff w:val="space"/>
      <w:lvlText w:val="%1.%2"/>
      <w:lvlJc w:val="left"/>
      <w:pPr>
        <w:ind w:left="576" w:hanging="576"/>
      </w:pPr>
    </w:lvl>
    <w:lvl w:ilvl="2">
      <w:start w:val="1"/>
      <w:numFmt w:val="decimal"/>
      <w:suff w:val="space"/>
      <w:lvlText w:val="%1.%2.%3"/>
      <w:lvlJc w:val="left"/>
      <w:pPr>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pStyle w:val="Titolo9"/>
      <w:lvlText w:val="%1.%2.%3.%4.%5.%6.%7.%8.%9"/>
      <w:lvlJc w:val="left"/>
      <w:pPr>
        <w:tabs>
          <w:tab w:val="num" w:pos="1584"/>
        </w:tabs>
        <w:ind w:left="1584" w:hanging="1584"/>
      </w:pPr>
    </w:lvl>
  </w:abstractNum>
  <w:abstractNum w:abstractNumId="4" w15:restartNumberingAfterBreak="0">
    <w:nsid w:val="3A60310D"/>
    <w:multiLevelType w:val="hybridMultilevel"/>
    <w:tmpl w:val="D904E7A6"/>
    <w:lvl w:ilvl="0" w:tplc="BAD861A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A853E88"/>
    <w:multiLevelType w:val="hybridMultilevel"/>
    <w:tmpl w:val="302C4FB8"/>
    <w:lvl w:ilvl="0" w:tplc="54C0C340">
      <w:start w:val="1"/>
      <w:numFmt w:val="bullet"/>
      <w:lvlText w:val=""/>
      <w:lvlJc w:val="left"/>
      <w:pPr>
        <w:tabs>
          <w:tab w:val="num" w:pos="700"/>
        </w:tabs>
        <w:ind w:left="680" w:hanging="340"/>
      </w:pPr>
      <w:rPr>
        <w:rFonts w:ascii="Wingdings" w:hAnsi="Wingdings" w:hint="default"/>
        <w:strike w:val="0"/>
        <w:dstrike w:val="0"/>
        <w:outline w:val="0"/>
        <w:emboss w:val="0"/>
        <w:imprint w:val="0"/>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20F7719"/>
    <w:multiLevelType w:val="hybridMultilevel"/>
    <w:tmpl w:val="7782331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5E34B28"/>
    <w:multiLevelType w:val="hybridMultilevel"/>
    <w:tmpl w:val="E2C428D0"/>
    <w:lvl w:ilvl="0" w:tplc="BAD861A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AFC5ADF"/>
    <w:multiLevelType w:val="hybridMultilevel"/>
    <w:tmpl w:val="B35EB768"/>
    <w:lvl w:ilvl="0" w:tplc="BAD861A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1BB0D1B"/>
    <w:multiLevelType w:val="hybridMultilevel"/>
    <w:tmpl w:val="46F0B13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31D1648"/>
    <w:multiLevelType w:val="hybridMultilevel"/>
    <w:tmpl w:val="EBBA0792"/>
    <w:lvl w:ilvl="0" w:tplc="BAD861A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692336B"/>
    <w:multiLevelType w:val="hybridMultilevel"/>
    <w:tmpl w:val="8F9E25BA"/>
    <w:lvl w:ilvl="0" w:tplc="BAD861A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C9A1A00"/>
    <w:multiLevelType w:val="hybridMultilevel"/>
    <w:tmpl w:val="56E26C9A"/>
    <w:lvl w:ilvl="0" w:tplc="BAD861A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DDE0CB4"/>
    <w:multiLevelType w:val="hybridMultilevel"/>
    <w:tmpl w:val="1186B484"/>
    <w:lvl w:ilvl="0" w:tplc="BAD861A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3"/>
  </w:num>
  <w:num w:numId="4">
    <w:abstractNumId w:val="11"/>
  </w:num>
  <w:num w:numId="5">
    <w:abstractNumId w:val="12"/>
  </w:num>
  <w:num w:numId="6">
    <w:abstractNumId w:val="7"/>
  </w:num>
  <w:num w:numId="7">
    <w:abstractNumId w:val="2"/>
  </w:num>
  <w:num w:numId="8">
    <w:abstractNumId w:val="10"/>
  </w:num>
  <w:num w:numId="9">
    <w:abstractNumId w:val="4"/>
  </w:num>
  <w:num w:numId="10">
    <w:abstractNumId w:val="5"/>
  </w:num>
  <w:num w:numId="11">
    <w:abstractNumId w:val="9"/>
  </w:num>
  <w:num w:numId="12">
    <w:abstractNumId w:val="6"/>
  </w:num>
  <w:num w:numId="13">
    <w:abstractNumId w:val="1"/>
  </w:num>
  <w:num w:numId="14">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3" w:dllVersion="517"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9"/>
  <w:hyphenationZone w:val="283"/>
  <w:drawingGridHorizontalSpacing w:val="181"/>
  <w:drawingGridVerticalSpacing w:val="181"/>
  <w:noPunctuationKerning/>
  <w:characterSpacingControl w:val="doNotCompress"/>
  <w:hdrShapeDefaults>
    <o:shapedefaults v:ext="edit" spidmax="2049" fill="f" fillcolor="white" strokecolor="red">
      <v:fill color="white" on="f"/>
      <v:stroke color="red" weight="1.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red">
      <v:fill color="white" on="f"/>
      <v:stroke color="red" weight="1.25pt"/>
    </o:shapedefaults>
    <o:shapelayout v:ext="edit">
      <o:idmap v:ext="edit" data="1"/>
    </o:shapelayout>
  </w:shapeDefaults>
  <w:decimalSymbol w:val=","/>
  <w:listSeparator w:val=";"/>
  <w15:docId w15:val="{CAEB22F3-EB2D-445D-833F-3B10E3203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rPr>
      <w:sz w:val="24"/>
      <w:szCs w:val="24"/>
    </w:rPr>
  </w:style>
  <w:style w:type="paragraph" w:styleId="Titolo1">
    <w:name w:val="heading 1"/>
    <w:basedOn w:val="Normale"/>
    <w:next w:val="Normale"/>
    <w:pPr>
      <w:keepNext/>
      <w:numPr>
        <w:numId w:val="1"/>
      </w:numPr>
      <w:spacing w:after="360" w:line="0" w:lineRule="atLeast"/>
      <w:ind w:left="431" w:hanging="431"/>
      <w:outlineLvl w:val="0"/>
    </w:pPr>
    <w:rPr>
      <w:b/>
      <w:sz w:val="32"/>
      <w:szCs w:val="20"/>
    </w:rPr>
  </w:style>
  <w:style w:type="paragraph" w:styleId="Titolo2">
    <w:name w:val="heading 2"/>
    <w:basedOn w:val="Normale"/>
    <w:next w:val="Normale"/>
    <w:link w:val="Titolo2Carattere"/>
    <w:pPr>
      <w:keepNext/>
      <w:outlineLvl w:val="1"/>
    </w:pPr>
    <w:rPr>
      <w:rFonts w:ascii="Verdana" w:hAnsi="Verdana"/>
      <w:b/>
      <w:bCs/>
      <w:sz w:val="20"/>
    </w:rPr>
  </w:style>
  <w:style w:type="paragraph" w:styleId="Titolo3">
    <w:name w:val="heading 3"/>
    <w:basedOn w:val="Normale"/>
    <w:next w:val="Normale"/>
    <w:pPr>
      <w:keepNext/>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both"/>
      <w:outlineLvl w:val="2"/>
    </w:pPr>
    <w:rPr>
      <w:rFonts w:ascii="Arial" w:hAnsi="Arial" w:cs="Arial"/>
      <w:b/>
      <w:bCs/>
      <w:i/>
      <w:iCs/>
      <w:sz w:val="20"/>
    </w:rPr>
  </w:style>
  <w:style w:type="paragraph" w:styleId="Titolo4">
    <w:name w:val="heading 4"/>
    <w:basedOn w:val="Normale"/>
    <w:next w:val="Normale"/>
    <w:pPr>
      <w:keepNext/>
      <w:autoSpaceDE w:val="0"/>
      <w:autoSpaceDN w:val="0"/>
      <w:adjustRightInd w:val="0"/>
      <w:jc w:val="both"/>
      <w:outlineLvl w:val="3"/>
    </w:pPr>
    <w:rPr>
      <w:rFonts w:ascii="Arial" w:hAnsi="Arial" w:cs="Arial"/>
      <w:b/>
      <w:bCs/>
      <w:sz w:val="20"/>
      <w:szCs w:val="20"/>
    </w:rPr>
  </w:style>
  <w:style w:type="paragraph" w:styleId="Titolo5">
    <w:name w:val="heading 5"/>
    <w:basedOn w:val="Normale"/>
    <w:next w:val="Normale"/>
    <w:pPr>
      <w:spacing w:before="240" w:after="60"/>
      <w:outlineLvl w:val="4"/>
    </w:pPr>
    <w:rPr>
      <w:b/>
      <w:bCs/>
      <w:i/>
      <w:iCs/>
      <w:sz w:val="26"/>
      <w:szCs w:val="26"/>
    </w:rPr>
  </w:style>
  <w:style w:type="paragraph" w:styleId="Titolo6">
    <w:name w:val="heading 6"/>
    <w:basedOn w:val="Normale"/>
    <w:next w:val="Normale"/>
    <w:pPr>
      <w:numPr>
        <w:ilvl w:val="5"/>
        <w:numId w:val="1"/>
      </w:numPr>
      <w:spacing w:before="240" w:after="60"/>
      <w:outlineLvl w:val="5"/>
    </w:pPr>
    <w:rPr>
      <w:i/>
      <w:sz w:val="22"/>
      <w:szCs w:val="20"/>
    </w:rPr>
  </w:style>
  <w:style w:type="paragraph" w:styleId="Titolo7">
    <w:name w:val="heading 7"/>
    <w:basedOn w:val="Normale"/>
    <w:next w:val="Normale"/>
    <w:pPr>
      <w:numPr>
        <w:ilvl w:val="6"/>
        <w:numId w:val="1"/>
      </w:numPr>
      <w:spacing w:before="240" w:after="60"/>
      <w:outlineLvl w:val="6"/>
    </w:pPr>
    <w:rPr>
      <w:rFonts w:ascii="Arial" w:hAnsi="Arial"/>
      <w:sz w:val="20"/>
      <w:szCs w:val="20"/>
    </w:rPr>
  </w:style>
  <w:style w:type="paragraph" w:styleId="Titolo8">
    <w:name w:val="heading 8"/>
    <w:basedOn w:val="Normale"/>
    <w:next w:val="Normale"/>
    <w:pPr>
      <w:numPr>
        <w:ilvl w:val="7"/>
        <w:numId w:val="1"/>
      </w:numPr>
      <w:spacing w:before="240" w:after="60"/>
      <w:outlineLvl w:val="7"/>
    </w:pPr>
    <w:rPr>
      <w:rFonts w:ascii="Arial" w:hAnsi="Arial"/>
      <w:i/>
      <w:sz w:val="20"/>
      <w:szCs w:val="20"/>
    </w:rPr>
  </w:style>
  <w:style w:type="paragraph" w:styleId="Titolo9">
    <w:name w:val="heading 9"/>
    <w:basedOn w:val="Normale"/>
    <w:next w:val="Normale"/>
    <w:pPr>
      <w:numPr>
        <w:ilvl w:val="8"/>
        <w:numId w:val="1"/>
      </w:numPr>
      <w:spacing w:before="240" w:after="60"/>
      <w:outlineLvl w:val="8"/>
    </w:pPr>
    <w:rPr>
      <w:rFonts w:ascii="Arial" w:hAnsi="Arial"/>
      <w:b/>
      <w:i/>
      <w:sz w:val="1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omandoaltC">
    <w:name w:val="Comando(alt+C)"/>
    <w:basedOn w:val="Titolo1"/>
    <w:pPr>
      <w:numPr>
        <w:numId w:val="0"/>
      </w:numPr>
      <w:spacing w:after="0" w:line="240" w:lineRule="auto"/>
    </w:pPr>
    <w:rPr>
      <w:rFonts w:ascii="Arial" w:hAnsi="Arial"/>
    </w:rPr>
  </w:style>
  <w:style w:type="paragraph" w:customStyle="1" w:styleId="Vocedelmenaltu">
    <w:name w:val="Voce del menù(alt+u)"/>
    <w:basedOn w:val="Normale"/>
    <w:pPr>
      <w:tabs>
        <w:tab w:val="num" w:pos="360"/>
      </w:tabs>
      <w:spacing w:before="120" w:after="240" w:line="240" w:lineRule="atLeast"/>
      <w:ind w:left="357" w:hanging="357"/>
      <w:outlineLvl w:val="4"/>
    </w:pPr>
    <w:rPr>
      <w:b/>
      <w:sz w:val="28"/>
      <w:szCs w:val="20"/>
      <w:u w:val="thick"/>
    </w:rPr>
  </w:style>
  <w:style w:type="paragraph" w:customStyle="1" w:styleId="Stile1">
    <w:name w:val="Stile1"/>
    <w:basedOn w:val="Puntoelenco"/>
    <w:pPr>
      <w:tabs>
        <w:tab w:val="num" w:pos="720"/>
      </w:tabs>
      <w:ind w:left="720" w:hanging="360"/>
    </w:pPr>
    <w:rPr>
      <w:rFonts w:cs="Arial"/>
    </w:rPr>
  </w:style>
  <w:style w:type="paragraph" w:styleId="Puntoelenco">
    <w:name w:val="List Bullet"/>
    <w:basedOn w:val="Normale"/>
    <w:autoRedefine/>
    <w:pPr>
      <w:ind w:left="709"/>
      <w:jc w:val="both"/>
    </w:pPr>
    <w:rPr>
      <w:rFonts w:ascii="Arial" w:hAnsi="Arial"/>
      <w:sz w:val="20"/>
      <w:szCs w:val="20"/>
    </w:rPr>
  </w:style>
  <w:style w:type="paragraph" w:customStyle="1" w:styleId="Puntoelenco1">
    <w:name w:val="Punto elenco 1"/>
    <w:basedOn w:val="corpoAltF"/>
    <w:pPr>
      <w:tabs>
        <w:tab w:val="num" w:pos="720"/>
      </w:tabs>
      <w:ind w:left="720" w:hanging="360"/>
    </w:pPr>
  </w:style>
  <w:style w:type="paragraph" w:customStyle="1" w:styleId="corpoAltF">
    <w:name w:val="corpo (Alt+F)"/>
    <w:basedOn w:val="Normale"/>
    <w:link w:val="corpoAltFCarattere"/>
    <w:pPr>
      <w:jc w:val="both"/>
    </w:pPr>
    <w:rPr>
      <w:rFonts w:ascii="Arial" w:hAnsi="Arial" w:cs="Arial"/>
      <w:sz w:val="20"/>
      <w:szCs w:val="20"/>
    </w:rPr>
  </w:style>
  <w:style w:type="paragraph" w:styleId="Intestazione">
    <w:name w:val="header"/>
    <w:basedOn w:val="Normale"/>
    <w:link w:val="IntestazioneCarattere"/>
    <w:pPr>
      <w:tabs>
        <w:tab w:val="center" w:pos="4819"/>
        <w:tab w:val="right" w:pos="9638"/>
      </w:tabs>
    </w:pPr>
    <w:rPr>
      <w:sz w:val="20"/>
      <w:szCs w:val="20"/>
    </w:rPr>
  </w:style>
  <w:style w:type="paragraph" w:customStyle="1" w:styleId="comando">
    <w:name w:val="comando"/>
    <w:basedOn w:val="Normale"/>
    <w:pPr>
      <w:tabs>
        <w:tab w:val="right" w:leader="dot" w:pos="9639"/>
      </w:tabs>
    </w:pPr>
    <w:rPr>
      <w:rFonts w:ascii="Arial" w:hAnsi="Arial"/>
      <w:b/>
      <w:caps/>
    </w:rPr>
  </w:style>
  <w:style w:type="character" w:styleId="Collegamentoipertestuale">
    <w:name w:val="Hyperlink"/>
    <w:uiPriority w:val="99"/>
    <w:rPr>
      <w:color w:val="0000FF"/>
      <w:u w:val="single"/>
    </w:rPr>
  </w:style>
  <w:style w:type="paragraph" w:styleId="Sommario1">
    <w:name w:val="toc 1"/>
    <w:basedOn w:val="Normale"/>
    <w:next w:val="Normale"/>
    <w:autoRedefine/>
    <w:uiPriority w:val="39"/>
    <w:pPr>
      <w:pBdr>
        <w:top w:val="double" w:sz="4" w:space="1" w:color="365F91"/>
        <w:bottom w:val="double" w:sz="4" w:space="0" w:color="365F91"/>
      </w:pBdr>
      <w:shd w:val="clear" w:color="auto" w:fill="365F91"/>
      <w:tabs>
        <w:tab w:val="right" w:leader="dot" w:pos="9629"/>
      </w:tabs>
      <w:spacing w:before="180" w:after="60"/>
    </w:pPr>
    <w:rPr>
      <w:rFonts w:ascii="Arial" w:hAnsi="Arial" w:cs="Arial"/>
      <w:b/>
      <w:noProof/>
      <w:color w:val="FFFFFF"/>
      <w:sz w:val="20"/>
      <w:szCs w:val="40"/>
    </w:rPr>
  </w:style>
  <w:style w:type="paragraph" w:styleId="Sommario4">
    <w:name w:val="toc 4"/>
    <w:basedOn w:val="Normale"/>
    <w:next w:val="Normale"/>
    <w:autoRedefine/>
    <w:uiPriority w:val="39"/>
    <w:pPr>
      <w:tabs>
        <w:tab w:val="right" w:leader="dot" w:pos="9629"/>
      </w:tabs>
      <w:ind w:left="567"/>
    </w:pPr>
    <w:rPr>
      <w:rFonts w:ascii="Arial" w:hAnsi="Arial" w:cs="Arial"/>
      <w:i/>
      <w:noProof/>
      <w:sz w:val="20"/>
      <w:szCs w:val="20"/>
    </w:rPr>
  </w:style>
  <w:style w:type="paragraph" w:customStyle="1" w:styleId="TS-titolo-01">
    <w:name w:val="TS-titolo-01"/>
    <w:basedOn w:val="Intestazione"/>
    <w:link w:val="TS-titolo-01Carattere"/>
    <w:autoRedefine/>
    <w:qFormat/>
    <w:pPr>
      <w:tabs>
        <w:tab w:val="clear" w:pos="4819"/>
        <w:tab w:val="clear" w:pos="9638"/>
      </w:tabs>
    </w:pPr>
    <w:rPr>
      <w:rFonts w:ascii="Arial" w:hAnsi="Arial" w:cs="Arial"/>
      <w:b/>
      <w:i/>
      <w:sz w:val="28"/>
    </w:rPr>
  </w:style>
  <w:style w:type="paragraph" w:customStyle="1" w:styleId="TS-titolo-02">
    <w:name w:val="TS-titolo-02"/>
    <w:basedOn w:val="Intestazione"/>
    <w:autoRedefine/>
    <w:qFormat/>
    <w:pPr>
      <w:ind w:left="69"/>
      <w:jc w:val="center"/>
    </w:pPr>
    <w:rPr>
      <w:rFonts w:ascii="Arial" w:hAnsi="Arial" w:cs="Arial"/>
      <w:b/>
      <w:color w:val="FFFFFF"/>
      <w:sz w:val="32"/>
    </w:rPr>
  </w:style>
  <w:style w:type="paragraph" w:customStyle="1" w:styleId="TS-titolo-04">
    <w:name w:val="TS-titolo-04"/>
    <w:basedOn w:val="Titolo"/>
    <w:link w:val="TS-titolo-04Carattere"/>
    <w:autoRedefine/>
    <w:qFormat/>
    <w:pPr>
      <w:pBdr>
        <w:top w:val="single" w:sz="4" w:space="0" w:color="auto"/>
      </w:pBdr>
      <w:ind w:left="0"/>
      <w:jc w:val="both"/>
    </w:pPr>
    <w:rPr>
      <w:sz w:val="22"/>
      <w:szCs w:val="22"/>
    </w:rPr>
  </w:style>
  <w:style w:type="paragraph" w:styleId="Titolo">
    <w:name w:val="Title"/>
    <w:basedOn w:val="Normale"/>
    <w:pPr>
      <w:pBdr>
        <w:top w:val="single" w:sz="4" w:space="1" w:color="auto"/>
        <w:bottom w:val="single" w:sz="4" w:space="1" w:color="auto"/>
      </w:pBdr>
      <w:spacing w:before="240" w:after="60"/>
      <w:ind w:left="-284"/>
      <w:outlineLvl w:val="0"/>
    </w:pPr>
    <w:rPr>
      <w:rFonts w:ascii="Arial" w:hAnsi="Arial"/>
      <w:b/>
      <w:kern w:val="28"/>
      <w:sz w:val="32"/>
      <w:szCs w:val="20"/>
    </w:rPr>
  </w:style>
  <w:style w:type="paragraph" w:styleId="Titoloindice">
    <w:name w:val="index heading"/>
    <w:basedOn w:val="Normale"/>
    <w:next w:val="Indice1"/>
    <w:semiHidden/>
    <w:rPr>
      <w:sz w:val="20"/>
      <w:szCs w:val="20"/>
    </w:rPr>
  </w:style>
  <w:style w:type="paragraph" w:styleId="Indice1">
    <w:name w:val="index 1"/>
    <w:basedOn w:val="Normale"/>
    <w:next w:val="Normale"/>
    <w:autoRedefine/>
    <w:semiHidden/>
    <w:pPr>
      <w:ind w:left="200" w:hanging="200"/>
    </w:pPr>
    <w:rPr>
      <w:sz w:val="20"/>
      <w:szCs w:val="20"/>
    </w:rPr>
  </w:style>
  <w:style w:type="paragraph" w:customStyle="1" w:styleId="TS-titolo-03">
    <w:name w:val="TS-titolo-03"/>
    <w:basedOn w:val="Intestazione"/>
    <w:autoRedefine/>
    <w:pPr>
      <w:jc w:val="center"/>
    </w:pPr>
    <w:rPr>
      <w:rFonts w:ascii="Arial" w:hAnsi="Arial" w:cs="Arial"/>
      <w:b/>
      <w:color w:val="000000"/>
      <w:sz w:val="32"/>
    </w:rPr>
  </w:style>
  <w:style w:type="paragraph" w:styleId="Corpodeltesto3">
    <w:name w:val="Body Text 3"/>
    <w:basedOn w:val="Normale"/>
    <w:link w:val="Corpodeltesto3Carattere"/>
    <w:pPr>
      <w:jc w:val="both"/>
    </w:pPr>
    <w:rPr>
      <w:rFonts w:ascii="Arial" w:hAnsi="Arial"/>
      <w:b/>
      <w:sz w:val="20"/>
      <w:szCs w:val="20"/>
    </w:rPr>
  </w:style>
  <w:style w:type="paragraph" w:customStyle="1" w:styleId="Esempi">
    <w:name w:val="Esempi"/>
    <w:basedOn w:val="Normale"/>
    <w:pPr>
      <w:jc w:val="both"/>
    </w:pPr>
    <w:rPr>
      <w:rFonts w:ascii="Arial" w:hAnsi="Arial"/>
      <w:i/>
      <w:sz w:val="20"/>
      <w:szCs w:val="20"/>
    </w:rPr>
  </w:style>
  <w:style w:type="paragraph" w:customStyle="1" w:styleId="Funzionealth">
    <w:name w:val="Funzione(alt+h)"/>
    <w:basedOn w:val="Normale"/>
    <w:link w:val="FunzionealthCarattere1"/>
    <w:pPr>
      <w:tabs>
        <w:tab w:val="right" w:pos="3260"/>
        <w:tab w:val="left" w:pos="3402"/>
      </w:tabs>
      <w:spacing w:before="60"/>
      <w:ind w:left="3402" w:hanging="3402"/>
      <w:jc w:val="both"/>
    </w:pPr>
    <w:rPr>
      <w:rFonts w:ascii="Arial" w:hAnsi="Arial"/>
      <w:i/>
      <w:sz w:val="20"/>
      <w:szCs w:val="20"/>
    </w:rPr>
  </w:style>
  <w:style w:type="paragraph" w:styleId="Testonormale">
    <w:name w:val="Plain Text"/>
    <w:basedOn w:val="Normale"/>
    <w:rPr>
      <w:rFonts w:ascii="Courier New" w:hAnsi="Courier New"/>
      <w:sz w:val="20"/>
      <w:szCs w:val="20"/>
    </w:rPr>
  </w:style>
  <w:style w:type="paragraph" w:styleId="Soggettocommento">
    <w:name w:val="annotation subject"/>
    <w:basedOn w:val="Testocommento"/>
    <w:next w:val="Testocommento"/>
    <w:semiHidden/>
    <w:rPr>
      <w:b/>
      <w:bCs/>
    </w:rPr>
  </w:style>
  <w:style w:type="paragraph" w:styleId="Testocommento">
    <w:name w:val="annotation text"/>
    <w:basedOn w:val="Normale"/>
    <w:semiHidden/>
    <w:rPr>
      <w:sz w:val="20"/>
      <w:szCs w:val="20"/>
    </w:rPr>
  </w:style>
  <w:style w:type="paragraph" w:styleId="Corpodeltesto2">
    <w:name w:val="Body Text 2"/>
    <w:basedOn w:val="Normale"/>
    <w:pPr>
      <w:tabs>
        <w:tab w:val="left" w:pos="567"/>
        <w:tab w:val="left" w:pos="1134"/>
        <w:tab w:val="left" w:pos="2552"/>
      </w:tabs>
    </w:pPr>
    <w:rPr>
      <w:i/>
      <w:sz w:val="18"/>
      <w:szCs w:val="20"/>
    </w:rPr>
  </w:style>
  <w:style w:type="paragraph" w:customStyle="1" w:styleId="corpo">
    <w:name w:val="corpo"/>
    <w:basedOn w:val="Normale"/>
    <w:link w:val="corpoCarattere"/>
    <w:pPr>
      <w:jc w:val="both"/>
    </w:pPr>
    <w:rPr>
      <w:rFonts w:ascii="Arial" w:hAnsi="Arial" w:cs="Arial"/>
      <w:sz w:val="20"/>
      <w:szCs w:val="20"/>
    </w:rPr>
  </w:style>
  <w:style w:type="character" w:styleId="Numeropagina">
    <w:name w:val="page number"/>
    <w:basedOn w:val="Carpredefinitoparagrafo"/>
  </w:style>
  <w:style w:type="paragraph" w:styleId="Pidipagina">
    <w:name w:val="footer"/>
    <w:basedOn w:val="Normale"/>
    <w:pPr>
      <w:tabs>
        <w:tab w:val="center" w:pos="4819"/>
        <w:tab w:val="right" w:pos="9638"/>
      </w:tabs>
    </w:pPr>
    <w:rPr>
      <w:sz w:val="20"/>
      <w:szCs w:val="20"/>
    </w:rPr>
  </w:style>
  <w:style w:type="paragraph" w:customStyle="1" w:styleId="TS-testata-01">
    <w:name w:val="TS-testata-01"/>
    <w:basedOn w:val="Intestazione"/>
    <w:rPr>
      <w:rFonts w:ascii="Arial" w:hAnsi="Arial" w:cs="Arial"/>
      <w:b/>
      <w:i/>
      <w:sz w:val="28"/>
    </w:rPr>
  </w:style>
  <w:style w:type="paragraph" w:styleId="NormaleWeb">
    <w:name w:val="Normal (Web)"/>
    <w:basedOn w:val="Normale"/>
    <w:pPr>
      <w:spacing w:before="100" w:beforeAutospacing="1" w:after="100" w:afterAutospacing="1"/>
    </w:pPr>
  </w:style>
  <w:style w:type="paragraph" w:styleId="Rientrocorpodeltesto2">
    <w:name w:val="Body Text Indent 2"/>
    <w:basedOn w:val="Normale"/>
    <w:pPr>
      <w:ind w:left="180"/>
      <w:jc w:val="both"/>
    </w:pPr>
    <w:rPr>
      <w:rFonts w:ascii="Verdana" w:hAnsi="Verdana" w:cs="Arial"/>
      <w:sz w:val="20"/>
    </w:rPr>
  </w:style>
  <w:style w:type="paragraph" w:styleId="Corpotesto">
    <w:name w:val="Body Text"/>
    <w:basedOn w:val="Normale"/>
    <w:pPr>
      <w:jc w:val="both"/>
    </w:pPr>
    <w:rPr>
      <w:rFonts w:ascii="Verdana" w:hAnsi="Verdana" w:cs="Arial"/>
      <w:sz w:val="20"/>
    </w:rPr>
  </w:style>
  <w:style w:type="paragraph" w:styleId="Sommario8">
    <w:name w:val="toc 8"/>
    <w:basedOn w:val="Normale"/>
    <w:next w:val="Normale"/>
    <w:autoRedefine/>
    <w:semiHidden/>
    <w:pPr>
      <w:ind w:left="1680"/>
    </w:pPr>
  </w:style>
  <w:style w:type="paragraph" w:styleId="Sommario2">
    <w:name w:val="toc 2"/>
    <w:basedOn w:val="Sommario1"/>
    <w:next w:val="Normale"/>
    <w:autoRedefine/>
    <w:uiPriority w:val="39"/>
    <w:pPr>
      <w:pBdr>
        <w:top w:val="single" w:sz="4" w:space="1" w:color="365F91"/>
        <w:bottom w:val="single" w:sz="4" w:space="0" w:color="365F91"/>
      </w:pBdr>
      <w:shd w:val="clear" w:color="auto" w:fill="auto"/>
      <w:spacing w:before="120"/>
      <w:ind w:left="113"/>
    </w:pPr>
    <w:rPr>
      <w:color w:val="auto"/>
    </w:rPr>
  </w:style>
  <w:style w:type="paragraph" w:styleId="Sommario9">
    <w:name w:val="toc 9"/>
    <w:basedOn w:val="Normale"/>
    <w:next w:val="Normale"/>
    <w:autoRedefine/>
    <w:semiHidden/>
    <w:pPr>
      <w:ind w:left="1920"/>
    </w:pPr>
  </w:style>
  <w:style w:type="paragraph" w:styleId="Sommario3">
    <w:name w:val="toc 3"/>
    <w:basedOn w:val="Sommario2"/>
    <w:next w:val="CorpoAltF0"/>
    <w:autoRedefine/>
    <w:uiPriority w:val="39"/>
    <w:pPr>
      <w:pBdr>
        <w:top w:val="none" w:sz="0" w:space="0" w:color="auto"/>
        <w:bottom w:val="none" w:sz="0" w:space="0" w:color="auto"/>
      </w:pBdr>
      <w:shd w:val="clear" w:color="auto" w:fill="D9D9D9"/>
    </w:pPr>
  </w:style>
  <w:style w:type="paragraph" w:styleId="Sommario5">
    <w:name w:val="toc 5"/>
    <w:basedOn w:val="Normale"/>
    <w:next w:val="Normale"/>
    <w:autoRedefine/>
    <w:uiPriority w:val="39"/>
    <w:pPr>
      <w:ind w:left="1134"/>
    </w:pPr>
    <w:rPr>
      <w:rFonts w:ascii="Arial" w:hAnsi="Arial"/>
      <w:i/>
      <w:sz w:val="18"/>
    </w:rPr>
  </w:style>
  <w:style w:type="paragraph" w:customStyle="1" w:styleId="Default">
    <w:name w:val="Default"/>
    <w:pPr>
      <w:autoSpaceDE w:val="0"/>
      <w:autoSpaceDN w:val="0"/>
      <w:adjustRightInd w:val="0"/>
    </w:pPr>
    <w:rPr>
      <w:rFonts w:ascii="Verdana" w:hAnsi="Verdana"/>
    </w:rPr>
  </w:style>
  <w:style w:type="paragraph" w:styleId="Sommario6">
    <w:name w:val="toc 6"/>
    <w:basedOn w:val="Normale"/>
    <w:next w:val="Normale"/>
    <w:autoRedefine/>
    <w:semiHidden/>
    <w:pPr>
      <w:ind w:left="1200"/>
    </w:pPr>
  </w:style>
  <w:style w:type="paragraph" w:styleId="Sommario7">
    <w:name w:val="toc 7"/>
    <w:basedOn w:val="Normale"/>
    <w:next w:val="Normale"/>
    <w:autoRedefine/>
    <w:semiHidden/>
    <w:pPr>
      <w:ind w:left="1440"/>
    </w:pPr>
  </w:style>
  <w:style w:type="character" w:styleId="Enfasigrassetto">
    <w:name w:val="Strong"/>
    <w:rPr>
      <w:b/>
      <w:bCs/>
    </w:rPr>
  </w:style>
  <w:style w:type="character" w:styleId="Collegamentovisitato">
    <w:name w:val="FollowedHyperlink"/>
    <w:rPr>
      <w:color w:val="800080"/>
      <w:u w:val="single"/>
    </w:rPr>
  </w:style>
  <w:style w:type="paragraph" w:customStyle="1" w:styleId="TS-titolo-Comando">
    <w:name w:val="TS-titolo-Comando"/>
    <w:basedOn w:val="TS-titolo-01"/>
    <w:qFormat/>
    <w:pPr>
      <w:jc w:val="center"/>
    </w:pPr>
    <w:rPr>
      <w:rFonts w:cs="Times New Roman"/>
      <w:bCs/>
      <w:i w:val="0"/>
      <w:sz w:val="32"/>
    </w:rPr>
  </w:style>
  <w:style w:type="character" w:customStyle="1" w:styleId="corpoAltFCarattere">
    <w:name w:val="corpo (Alt+F) Carattere"/>
    <w:link w:val="corpoAltF"/>
    <w:rPr>
      <w:rFonts w:ascii="Arial" w:hAnsi="Arial" w:cs="Arial"/>
      <w:lang w:val="it-IT" w:eastAsia="it-IT" w:bidi="ar-SA"/>
    </w:rPr>
  </w:style>
  <w:style w:type="paragraph" w:styleId="Indice7">
    <w:name w:val="index 7"/>
    <w:basedOn w:val="Normale"/>
    <w:next w:val="Normale"/>
    <w:autoRedefine/>
    <w:semiHidden/>
    <w:pPr>
      <w:ind w:left="1400" w:hanging="200"/>
    </w:pPr>
    <w:rPr>
      <w:sz w:val="20"/>
      <w:szCs w:val="20"/>
    </w:rPr>
  </w:style>
  <w:style w:type="paragraph" w:customStyle="1" w:styleId="Paragrafoconcampialtp">
    <w:name w:val="Paragrafo con campi (alt+p)"/>
    <w:basedOn w:val="Normale"/>
    <w:pPr>
      <w:spacing w:after="120"/>
      <w:ind w:left="3402" w:hanging="3402"/>
      <w:jc w:val="both"/>
    </w:pPr>
    <w:rPr>
      <w:rFonts w:ascii="Arial" w:hAnsi="Arial"/>
      <w:i/>
      <w:sz w:val="20"/>
      <w:szCs w:val="20"/>
    </w:rPr>
  </w:style>
  <w:style w:type="paragraph" w:customStyle="1" w:styleId="Interlinafra2righeALTA">
    <w:name w:val="Interlina fra 2 righe (ALT+A)"/>
    <w:next w:val="Funzionealth"/>
    <w:pPr>
      <w:spacing w:line="120" w:lineRule="exact"/>
    </w:pPr>
    <w:rPr>
      <w:b/>
      <w:i/>
    </w:rPr>
  </w:style>
  <w:style w:type="paragraph" w:customStyle="1" w:styleId="CorpoCentrato">
    <w:name w:val="Corpo Centrato"/>
    <w:basedOn w:val="corpoAltF"/>
    <w:next w:val="corpoAltF"/>
    <w:pPr>
      <w:jc w:val="center"/>
    </w:pPr>
  </w:style>
  <w:style w:type="paragraph" w:customStyle="1" w:styleId="CorpoSpazioPrima">
    <w:name w:val="Corpo SpazioPrima"/>
    <w:basedOn w:val="corpoAltF"/>
    <w:next w:val="corpoAltF"/>
    <w:link w:val="CorpoSpazioPrimaCarattere"/>
    <w:pPr>
      <w:spacing w:before="120"/>
    </w:pPr>
  </w:style>
  <w:style w:type="paragraph" w:customStyle="1" w:styleId="TS-titolo-05">
    <w:name w:val="TS-titolo-05"/>
    <w:basedOn w:val="Normale"/>
    <w:next w:val="CorpoAltF0"/>
    <w:link w:val="TS-titolo-05Carattere"/>
    <w:qFormat/>
    <w:pPr>
      <w:pBdr>
        <w:top w:val="single" w:sz="4" w:space="1" w:color="auto"/>
        <w:bottom w:val="single" w:sz="4" w:space="1" w:color="auto"/>
      </w:pBdr>
      <w:spacing w:before="240" w:after="60"/>
    </w:pPr>
    <w:rPr>
      <w:rFonts w:ascii="Arial" w:hAnsi="Arial"/>
      <w:sz w:val="20"/>
    </w:rPr>
  </w:style>
  <w:style w:type="table" w:styleId="Grigliatabella">
    <w:name w:val="Table Grid"/>
    <w:basedOn w:val="Tabellanorma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semiHidden/>
    <w:rPr>
      <w:rFonts w:ascii="Tahoma" w:hAnsi="Tahoma" w:cs="Tahoma"/>
      <w:sz w:val="16"/>
      <w:szCs w:val="16"/>
    </w:rPr>
  </w:style>
  <w:style w:type="paragraph" w:customStyle="1" w:styleId="SpazioPrimaAltS">
    <w:name w:val="SpazioPrima (Alt+S)"/>
    <w:basedOn w:val="corpoAltF"/>
    <w:next w:val="corpoAltF"/>
    <w:pPr>
      <w:spacing w:before="120"/>
    </w:pPr>
  </w:style>
  <w:style w:type="character" w:customStyle="1" w:styleId="TS-titolo-05Carattere">
    <w:name w:val="TS-titolo-05 Carattere"/>
    <w:link w:val="TS-titolo-05"/>
    <w:rPr>
      <w:rFonts w:ascii="Arial" w:hAnsi="Arial"/>
      <w:szCs w:val="24"/>
    </w:rPr>
  </w:style>
  <w:style w:type="character" w:customStyle="1" w:styleId="TS-titolo-04Carattere">
    <w:name w:val="TS-titolo-04 Carattere"/>
    <w:link w:val="TS-titolo-04"/>
    <w:rPr>
      <w:rFonts w:ascii="Arial" w:hAnsi="Arial"/>
      <w:b/>
      <w:kern w:val="28"/>
      <w:sz w:val="22"/>
      <w:szCs w:val="22"/>
    </w:rPr>
  </w:style>
  <w:style w:type="character" w:customStyle="1" w:styleId="CorpoSpazioPrimaCarattere">
    <w:name w:val="Corpo SpazioPrima Carattere"/>
    <w:basedOn w:val="corpoAltFCarattere"/>
    <w:link w:val="CorpoSpazioPrima"/>
    <w:rPr>
      <w:rFonts w:ascii="Arial" w:hAnsi="Arial" w:cs="Arial"/>
      <w:lang w:val="it-IT" w:eastAsia="it-IT" w:bidi="ar-SA"/>
    </w:rPr>
  </w:style>
  <w:style w:type="paragraph" w:customStyle="1" w:styleId="testo">
    <w:name w:val="testo"/>
    <w:basedOn w:val="Normale"/>
  </w:style>
  <w:style w:type="character" w:customStyle="1" w:styleId="corpoAltFCarattere1">
    <w:name w:val="corpo (Alt+F) Carattere1"/>
    <w:rPr>
      <w:rFonts w:ascii="Arial" w:hAnsi="Arial" w:cs="Arial"/>
      <w:lang w:val="it-IT" w:eastAsia="it-IT" w:bidi="ar-SA"/>
    </w:rPr>
  </w:style>
  <w:style w:type="character" w:customStyle="1" w:styleId="corpoCarattere">
    <w:name w:val="corpo Carattere"/>
    <w:link w:val="corpo"/>
    <w:rPr>
      <w:rFonts w:ascii="Arial" w:hAnsi="Arial" w:cs="Arial"/>
      <w:lang w:val="it-IT" w:eastAsia="it-IT" w:bidi="ar-SA"/>
    </w:rPr>
  </w:style>
  <w:style w:type="character" w:customStyle="1" w:styleId="StileArial10pt">
    <w:name w:val="Stile Arial 10 pt"/>
    <w:rPr>
      <w:rFonts w:ascii="Arial" w:hAnsi="Arial"/>
      <w:sz w:val="20"/>
    </w:rPr>
  </w:style>
  <w:style w:type="paragraph" w:customStyle="1" w:styleId="CorpoAltF0">
    <w:name w:val="Corpo (Alt+F)"/>
    <w:basedOn w:val="Normale"/>
    <w:link w:val="CorpoAltFCarattere0"/>
    <w:qFormat/>
    <w:pPr>
      <w:jc w:val="both"/>
    </w:pPr>
    <w:rPr>
      <w:rFonts w:ascii="Arial" w:hAnsi="Arial"/>
      <w:sz w:val="20"/>
      <w:szCs w:val="20"/>
    </w:rPr>
  </w:style>
  <w:style w:type="character" w:customStyle="1" w:styleId="IntestazioneCarattere">
    <w:name w:val="Intestazione Carattere"/>
    <w:link w:val="Intestazione"/>
    <w:rPr>
      <w:lang w:val="it-IT" w:eastAsia="it-IT" w:bidi="ar-SA"/>
    </w:rPr>
  </w:style>
  <w:style w:type="character" w:customStyle="1" w:styleId="CarattereCarattere">
    <w:name w:val="Carattere Carattere"/>
    <w:rPr>
      <w:rFonts w:ascii="Times New Roman" w:eastAsia="Times New Roman" w:hAnsi="Times New Roman" w:cs="Times New Roman"/>
      <w:sz w:val="20"/>
      <w:szCs w:val="20"/>
      <w:lang w:eastAsia="it-IT"/>
    </w:rPr>
  </w:style>
  <w:style w:type="character" w:customStyle="1" w:styleId="FunzionealthCarattere1">
    <w:name w:val="Funzione(alt+h) Carattere1"/>
    <w:link w:val="Funzionealth"/>
    <w:rPr>
      <w:rFonts w:ascii="Arial" w:hAnsi="Arial"/>
      <w:i/>
      <w:lang w:val="it-IT" w:eastAsia="it-IT" w:bidi="ar-SA"/>
    </w:rPr>
  </w:style>
  <w:style w:type="character" w:customStyle="1" w:styleId="Titolo2Carattere">
    <w:name w:val="Titolo 2 Carattere"/>
    <w:link w:val="Titolo2"/>
    <w:rPr>
      <w:rFonts w:ascii="Verdana" w:hAnsi="Verdana"/>
      <w:b/>
      <w:bCs/>
      <w:szCs w:val="24"/>
      <w:lang w:val="it-IT" w:eastAsia="it-IT" w:bidi="ar-SA"/>
    </w:rPr>
  </w:style>
  <w:style w:type="paragraph" w:customStyle="1" w:styleId="WWNewPage">
    <w:name w:val="WW_NewPage"/>
    <w:basedOn w:val="Normale"/>
    <w:qFormat/>
    <w:pPr>
      <w:jc w:val="both"/>
    </w:pPr>
    <w:rPr>
      <w:rFonts w:ascii="Arial" w:hAnsi="Arial"/>
      <w:b/>
      <w:bCs/>
      <w:color w:val="FFFFFF"/>
      <w:sz w:val="4"/>
      <w:szCs w:val="4"/>
    </w:rPr>
  </w:style>
  <w:style w:type="paragraph" w:customStyle="1" w:styleId="WWRelease">
    <w:name w:val="WW_Release"/>
    <w:basedOn w:val="Intestazione"/>
    <w:qFormat/>
    <w:pPr>
      <w:tabs>
        <w:tab w:val="clear" w:pos="4819"/>
        <w:tab w:val="clear" w:pos="9638"/>
      </w:tabs>
    </w:pPr>
    <w:rPr>
      <w:rFonts w:ascii="Arial" w:hAnsi="Arial" w:cs="Arial"/>
      <w:b/>
      <w:bCs/>
    </w:rPr>
  </w:style>
  <w:style w:type="character" w:customStyle="1" w:styleId="CorpoAltFCarattere0">
    <w:name w:val="Corpo (Alt+F) Carattere"/>
    <w:link w:val="CorpoAltF0"/>
    <w:rPr>
      <w:rFonts w:ascii="Arial" w:hAnsi="Arial" w:cs="Arial"/>
    </w:rPr>
  </w:style>
  <w:style w:type="paragraph" w:customStyle="1" w:styleId="WWReleaseTipo">
    <w:name w:val="WW_Release_Tipo"/>
    <w:basedOn w:val="Intestazione"/>
    <w:pPr>
      <w:tabs>
        <w:tab w:val="clear" w:pos="4819"/>
        <w:tab w:val="clear" w:pos="9638"/>
      </w:tabs>
    </w:pPr>
    <w:rPr>
      <w:rFonts w:ascii="Arial" w:hAnsi="Arial" w:cs="Arial"/>
      <w:b/>
    </w:rPr>
  </w:style>
  <w:style w:type="paragraph" w:customStyle="1" w:styleId="WWNormativaSoftware">
    <w:name w:val="WW_NormativaSoftware"/>
    <w:basedOn w:val="TS-titolo-Comando"/>
    <w:next w:val="CorpoAltF0"/>
    <w:qFormat/>
    <w:pPr>
      <w:spacing w:before="60"/>
      <w:ind w:left="176"/>
      <w:jc w:val="left"/>
    </w:pPr>
    <w:rPr>
      <w:color w:val="17365D"/>
      <w:sz w:val="28"/>
    </w:rPr>
  </w:style>
  <w:style w:type="paragraph" w:customStyle="1" w:styleId="WWTipoDocumento">
    <w:name w:val="WW_TipoDocumento"/>
    <w:basedOn w:val="CorpoAltF0"/>
    <w:next w:val="CorpoAltF0"/>
    <w:link w:val="WWTipoDocumentoCarattere"/>
    <w:qFormat/>
    <w:pPr>
      <w:ind w:left="142"/>
    </w:pPr>
    <w:rPr>
      <w:b/>
      <w:color w:val="FFFFFF" w:themeColor="background1"/>
      <w:sz w:val="10"/>
      <w:szCs w:val="22"/>
    </w:rPr>
  </w:style>
  <w:style w:type="character" w:customStyle="1" w:styleId="WWTipoDocumentoCarattere">
    <w:name w:val="WW_TipoDocumento Carattere"/>
    <w:link w:val="WWTipoDocumento"/>
    <w:rPr>
      <w:rFonts w:ascii="Arial" w:hAnsi="Arial"/>
      <w:b/>
      <w:color w:val="FFFFFF" w:themeColor="background1"/>
      <w:sz w:val="10"/>
      <w:szCs w:val="22"/>
    </w:rPr>
  </w:style>
  <w:style w:type="paragraph" w:customStyle="1" w:styleId="Ignora">
    <w:name w:val="Ignora"/>
    <w:basedOn w:val="CorpoAltF0"/>
    <w:qFormat/>
  </w:style>
  <w:style w:type="character" w:customStyle="1" w:styleId="TS-titolo-01Carattere">
    <w:name w:val="TS-titolo-01 Carattere"/>
    <w:link w:val="TS-titolo-01"/>
    <w:rPr>
      <w:rFonts w:ascii="Arial" w:hAnsi="Arial" w:cs="Arial"/>
      <w:b/>
      <w:i/>
      <w:sz w:val="28"/>
    </w:rPr>
  </w:style>
  <w:style w:type="character" w:customStyle="1" w:styleId="searchresulthighlight1">
    <w:name w:val="search_result_highlight1"/>
    <w:basedOn w:val="Carpredefinitoparagrafo"/>
    <w:rPr>
      <w:shd w:val="clear" w:color="auto" w:fill="FFFF00"/>
    </w:rPr>
  </w:style>
  <w:style w:type="paragraph" w:styleId="Paragrafoelenco">
    <w:name w:val="List Paragraph"/>
    <w:basedOn w:val="Normale"/>
    <w:uiPriority w:val="34"/>
    <w:qFormat/>
    <w:pPr>
      <w:spacing w:after="160" w:line="252" w:lineRule="auto"/>
      <w:ind w:left="720"/>
      <w:contextualSpacing/>
    </w:pPr>
    <w:rPr>
      <w:rFonts w:ascii="Calibri" w:eastAsiaTheme="minorHAnsi" w:hAnsi="Calibri" w:cs="Calibri"/>
      <w:sz w:val="22"/>
      <w:szCs w:val="22"/>
      <w:lang w:eastAsia="en-US"/>
    </w:rPr>
  </w:style>
  <w:style w:type="character" w:customStyle="1" w:styleId="searchresulthighlight">
    <w:name w:val="search_result_highlight"/>
    <w:basedOn w:val="Carpredefinitoparagrafo"/>
  </w:style>
  <w:style w:type="character" w:customStyle="1" w:styleId="Corpodeltesto3Carattere">
    <w:name w:val="Corpo del testo 3 Carattere"/>
    <w:link w:val="Corpodeltesto3"/>
    <w:rPr>
      <w:rFonts w:ascii="Arial"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622970">
      <w:bodyDiv w:val="1"/>
      <w:marLeft w:val="0"/>
      <w:marRight w:val="0"/>
      <w:marTop w:val="0"/>
      <w:marBottom w:val="0"/>
      <w:divBdr>
        <w:top w:val="none" w:sz="0" w:space="0" w:color="auto"/>
        <w:left w:val="none" w:sz="0" w:space="0" w:color="auto"/>
        <w:bottom w:val="none" w:sz="0" w:space="0" w:color="auto"/>
        <w:right w:val="none" w:sz="0" w:space="0" w:color="auto"/>
      </w:divBdr>
      <w:divsChild>
        <w:div w:id="14242562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4652250">
              <w:marLeft w:val="0"/>
              <w:marRight w:val="0"/>
              <w:marTop w:val="120"/>
              <w:marBottom w:val="0"/>
              <w:divBdr>
                <w:top w:val="none" w:sz="0" w:space="0" w:color="auto"/>
                <w:left w:val="none" w:sz="0" w:space="0" w:color="auto"/>
                <w:bottom w:val="none" w:sz="0" w:space="0" w:color="auto"/>
                <w:right w:val="none" w:sz="0" w:space="0" w:color="auto"/>
              </w:divBdr>
            </w:div>
            <w:div w:id="1045761783">
              <w:marLeft w:val="0"/>
              <w:marRight w:val="0"/>
              <w:marTop w:val="60"/>
              <w:marBottom w:val="0"/>
              <w:divBdr>
                <w:top w:val="none" w:sz="0" w:space="0" w:color="auto"/>
                <w:left w:val="none" w:sz="0" w:space="0" w:color="auto"/>
                <w:bottom w:val="none" w:sz="0" w:space="0" w:color="auto"/>
                <w:right w:val="none" w:sz="0" w:space="0" w:color="auto"/>
              </w:divBdr>
            </w:div>
            <w:div w:id="529149615">
              <w:marLeft w:val="-76"/>
              <w:marRight w:val="0"/>
              <w:marTop w:val="60"/>
              <w:marBottom w:val="0"/>
              <w:divBdr>
                <w:top w:val="none" w:sz="0" w:space="0" w:color="auto"/>
                <w:left w:val="none" w:sz="0" w:space="0" w:color="auto"/>
                <w:bottom w:val="none" w:sz="0" w:space="0" w:color="auto"/>
                <w:right w:val="none" w:sz="0" w:space="0" w:color="auto"/>
              </w:divBdr>
            </w:div>
            <w:div w:id="993871255">
              <w:marLeft w:val="0"/>
              <w:marRight w:val="0"/>
              <w:marTop w:val="120"/>
              <w:marBottom w:val="0"/>
              <w:divBdr>
                <w:top w:val="none" w:sz="0" w:space="0" w:color="auto"/>
                <w:left w:val="none" w:sz="0" w:space="0" w:color="auto"/>
                <w:bottom w:val="none" w:sz="0" w:space="0" w:color="auto"/>
                <w:right w:val="none" w:sz="0" w:space="0" w:color="auto"/>
              </w:divBdr>
            </w:div>
            <w:div w:id="146774475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44357494">
      <w:bodyDiv w:val="1"/>
      <w:marLeft w:val="0"/>
      <w:marRight w:val="0"/>
      <w:marTop w:val="0"/>
      <w:marBottom w:val="0"/>
      <w:divBdr>
        <w:top w:val="none" w:sz="0" w:space="0" w:color="auto"/>
        <w:left w:val="none" w:sz="0" w:space="0" w:color="auto"/>
        <w:bottom w:val="none" w:sz="0" w:space="0" w:color="auto"/>
        <w:right w:val="none" w:sz="0" w:space="0" w:color="auto"/>
      </w:divBdr>
    </w:div>
    <w:div w:id="367418671">
      <w:bodyDiv w:val="1"/>
      <w:marLeft w:val="0"/>
      <w:marRight w:val="0"/>
      <w:marTop w:val="0"/>
      <w:marBottom w:val="0"/>
      <w:divBdr>
        <w:top w:val="none" w:sz="0" w:space="0" w:color="auto"/>
        <w:left w:val="none" w:sz="0" w:space="0" w:color="auto"/>
        <w:bottom w:val="none" w:sz="0" w:space="0" w:color="auto"/>
        <w:right w:val="none" w:sz="0" w:space="0" w:color="auto"/>
      </w:divBdr>
    </w:div>
    <w:div w:id="467095707">
      <w:bodyDiv w:val="1"/>
      <w:marLeft w:val="0"/>
      <w:marRight w:val="0"/>
      <w:marTop w:val="0"/>
      <w:marBottom w:val="0"/>
      <w:divBdr>
        <w:top w:val="none" w:sz="0" w:space="0" w:color="auto"/>
        <w:left w:val="none" w:sz="0" w:space="0" w:color="auto"/>
        <w:bottom w:val="none" w:sz="0" w:space="0" w:color="auto"/>
        <w:right w:val="none" w:sz="0" w:space="0" w:color="auto"/>
      </w:divBdr>
    </w:div>
    <w:div w:id="477845633">
      <w:bodyDiv w:val="1"/>
      <w:marLeft w:val="0"/>
      <w:marRight w:val="0"/>
      <w:marTop w:val="0"/>
      <w:marBottom w:val="0"/>
      <w:divBdr>
        <w:top w:val="none" w:sz="0" w:space="0" w:color="auto"/>
        <w:left w:val="none" w:sz="0" w:space="0" w:color="auto"/>
        <w:bottom w:val="none" w:sz="0" w:space="0" w:color="auto"/>
        <w:right w:val="none" w:sz="0" w:space="0" w:color="auto"/>
      </w:divBdr>
    </w:div>
    <w:div w:id="494882600">
      <w:bodyDiv w:val="1"/>
      <w:marLeft w:val="0"/>
      <w:marRight w:val="0"/>
      <w:marTop w:val="0"/>
      <w:marBottom w:val="0"/>
      <w:divBdr>
        <w:top w:val="none" w:sz="0" w:space="0" w:color="auto"/>
        <w:left w:val="none" w:sz="0" w:space="0" w:color="auto"/>
        <w:bottom w:val="none" w:sz="0" w:space="0" w:color="auto"/>
        <w:right w:val="none" w:sz="0" w:space="0" w:color="auto"/>
      </w:divBdr>
    </w:div>
    <w:div w:id="846559230">
      <w:bodyDiv w:val="1"/>
      <w:marLeft w:val="0"/>
      <w:marRight w:val="0"/>
      <w:marTop w:val="0"/>
      <w:marBottom w:val="0"/>
      <w:divBdr>
        <w:top w:val="none" w:sz="0" w:space="0" w:color="auto"/>
        <w:left w:val="none" w:sz="0" w:space="0" w:color="auto"/>
        <w:bottom w:val="none" w:sz="0" w:space="0" w:color="auto"/>
        <w:right w:val="none" w:sz="0" w:space="0" w:color="auto"/>
      </w:divBdr>
      <w:divsChild>
        <w:div w:id="2066761294">
          <w:marLeft w:val="0"/>
          <w:marRight w:val="0"/>
          <w:marTop w:val="0"/>
          <w:marBottom w:val="0"/>
          <w:divBdr>
            <w:top w:val="none" w:sz="0" w:space="0" w:color="auto"/>
            <w:left w:val="none" w:sz="0" w:space="0" w:color="auto"/>
            <w:bottom w:val="none" w:sz="0" w:space="0" w:color="auto"/>
            <w:right w:val="none" w:sz="0" w:space="0" w:color="auto"/>
          </w:divBdr>
        </w:div>
      </w:divsChild>
    </w:div>
    <w:div w:id="1188447235">
      <w:bodyDiv w:val="1"/>
      <w:marLeft w:val="0"/>
      <w:marRight w:val="0"/>
      <w:marTop w:val="0"/>
      <w:marBottom w:val="0"/>
      <w:divBdr>
        <w:top w:val="none" w:sz="0" w:space="0" w:color="auto"/>
        <w:left w:val="none" w:sz="0" w:space="0" w:color="auto"/>
        <w:bottom w:val="none" w:sz="0" w:space="0" w:color="auto"/>
        <w:right w:val="none" w:sz="0" w:space="0" w:color="auto"/>
      </w:divBdr>
    </w:div>
    <w:div w:id="1401176200">
      <w:bodyDiv w:val="1"/>
      <w:marLeft w:val="0"/>
      <w:marRight w:val="0"/>
      <w:marTop w:val="0"/>
      <w:marBottom w:val="0"/>
      <w:divBdr>
        <w:top w:val="none" w:sz="0" w:space="0" w:color="auto"/>
        <w:left w:val="none" w:sz="0" w:space="0" w:color="auto"/>
        <w:bottom w:val="none" w:sz="0" w:space="0" w:color="auto"/>
        <w:right w:val="none" w:sz="0" w:space="0" w:color="auto"/>
      </w:divBdr>
      <w:divsChild>
        <w:div w:id="605431396">
          <w:marLeft w:val="0"/>
          <w:marRight w:val="0"/>
          <w:marTop w:val="0"/>
          <w:marBottom w:val="0"/>
          <w:divBdr>
            <w:top w:val="none" w:sz="0" w:space="0" w:color="auto"/>
            <w:left w:val="none" w:sz="0" w:space="0" w:color="auto"/>
            <w:bottom w:val="none" w:sz="0" w:space="0" w:color="auto"/>
            <w:right w:val="none" w:sz="0" w:space="0" w:color="auto"/>
          </w:divBdr>
        </w:div>
      </w:divsChild>
    </w:div>
    <w:div w:id="1553424732">
      <w:bodyDiv w:val="1"/>
      <w:marLeft w:val="0"/>
      <w:marRight w:val="0"/>
      <w:marTop w:val="0"/>
      <w:marBottom w:val="0"/>
      <w:divBdr>
        <w:top w:val="none" w:sz="0" w:space="0" w:color="auto"/>
        <w:left w:val="none" w:sz="0" w:space="0" w:color="auto"/>
        <w:bottom w:val="none" w:sz="0" w:space="0" w:color="auto"/>
        <w:right w:val="none" w:sz="0" w:space="0" w:color="auto"/>
      </w:divBdr>
      <w:divsChild>
        <w:div w:id="221452772">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4892944">
              <w:marLeft w:val="0"/>
              <w:marRight w:val="0"/>
              <w:marTop w:val="0"/>
              <w:marBottom w:val="0"/>
              <w:divBdr>
                <w:top w:val="none" w:sz="0" w:space="0" w:color="auto"/>
                <w:left w:val="none" w:sz="0" w:space="0" w:color="auto"/>
                <w:bottom w:val="none" w:sz="0" w:space="0" w:color="auto"/>
                <w:right w:val="none" w:sz="0" w:space="0" w:color="auto"/>
              </w:divBdr>
            </w:div>
            <w:div w:id="252396170">
              <w:marLeft w:val="0"/>
              <w:marRight w:val="0"/>
              <w:marTop w:val="0"/>
              <w:marBottom w:val="0"/>
              <w:divBdr>
                <w:top w:val="none" w:sz="0" w:space="0" w:color="auto"/>
                <w:left w:val="none" w:sz="0" w:space="0" w:color="auto"/>
                <w:bottom w:val="none" w:sz="0" w:space="0" w:color="auto"/>
                <w:right w:val="none" w:sz="0" w:space="0" w:color="auto"/>
              </w:divBdr>
            </w:div>
            <w:div w:id="673725923">
              <w:marLeft w:val="0"/>
              <w:marRight w:val="0"/>
              <w:marTop w:val="0"/>
              <w:marBottom w:val="0"/>
              <w:divBdr>
                <w:top w:val="none" w:sz="0" w:space="0" w:color="auto"/>
                <w:left w:val="none" w:sz="0" w:space="0" w:color="auto"/>
                <w:bottom w:val="none" w:sz="0" w:space="0" w:color="auto"/>
                <w:right w:val="none" w:sz="0" w:space="0" w:color="auto"/>
              </w:divBdr>
            </w:div>
            <w:div w:id="728766397">
              <w:marLeft w:val="0"/>
              <w:marRight w:val="0"/>
              <w:marTop w:val="0"/>
              <w:marBottom w:val="0"/>
              <w:divBdr>
                <w:top w:val="none" w:sz="0" w:space="0" w:color="auto"/>
                <w:left w:val="none" w:sz="0" w:space="0" w:color="auto"/>
                <w:bottom w:val="none" w:sz="0" w:space="0" w:color="auto"/>
                <w:right w:val="none" w:sz="0" w:space="0" w:color="auto"/>
              </w:divBdr>
            </w:div>
            <w:div w:id="837305700">
              <w:marLeft w:val="0"/>
              <w:marRight w:val="0"/>
              <w:marTop w:val="0"/>
              <w:marBottom w:val="0"/>
              <w:divBdr>
                <w:top w:val="none" w:sz="0" w:space="0" w:color="auto"/>
                <w:left w:val="none" w:sz="0" w:space="0" w:color="auto"/>
                <w:bottom w:val="none" w:sz="0" w:space="0" w:color="auto"/>
                <w:right w:val="none" w:sz="0" w:space="0" w:color="auto"/>
              </w:divBdr>
            </w:div>
            <w:div w:id="1328362234">
              <w:marLeft w:val="0"/>
              <w:marRight w:val="0"/>
              <w:marTop w:val="0"/>
              <w:marBottom w:val="0"/>
              <w:divBdr>
                <w:top w:val="none" w:sz="0" w:space="0" w:color="auto"/>
                <w:left w:val="none" w:sz="0" w:space="0" w:color="auto"/>
                <w:bottom w:val="none" w:sz="0" w:space="0" w:color="auto"/>
                <w:right w:val="none" w:sz="0" w:space="0" w:color="auto"/>
              </w:divBdr>
            </w:div>
            <w:div w:id="1335916339">
              <w:marLeft w:val="0"/>
              <w:marRight w:val="0"/>
              <w:marTop w:val="0"/>
              <w:marBottom w:val="0"/>
              <w:divBdr>
                <w:top w:val="none" w:sz="0" w:space="0" w:color="auto"/>
                <w:left w:val="none" w:sz="0" w:space="0" w:color="auto"/>
                <w:bottom w:val="none" w:sz="0" w:space="0" w:color="auto"/>
                <w:right w:val="none" w:sz="0" w:space="0" w:color="auto"/>
              </w:divBdr>
            </w:div>
            <w:div w:id="135888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989377">
      <w:bodyDiv w:val="1"/>
      <w:marLeft w:val="0"/>
      <w:marRight w:val="0"/>
      <w:marTop w:val="0"/>
      <w:marBottom w:val="0"/>
      <w:divBdr>
        <w:top w:val="none" w:sz="0" w:space="0" w:color="auto"/>
        <w:left w:val="none" w:sz="0" w:space="0" w:color="auto"/>
        <w:bottom w:val="none" w:sz="0" w:space="0" w:color="auto"/>
        <w:right w:val="none" w:sz="0" w:space="0" w:color="auto"/>
      </w:divBdr>
      <w:divsChild>
        <w:div w:id="1652057984">
          <w:marLeft w:val="0"/>
          <w:marRight w:val="0"/>
          <w:marTop w:val="120"/>
          <w:marBottom w:val="0"/>
          <w:divBdr>
            <w:top w:val="none" w:sz="0" w:space="0" w:color="auto"/>
            <w:left w:val="none" w:sz="0" w:space="0" w:color="auto"/>
            <w:bottom w:val="none" w:sz="0" w:space="0" w:color="auto"/>
            <w:right w:val="none" w:sz="0" w:space="0" w:color="auto"/>
          </w:divBdr>
        </w:div>
        <w:div w:id="1081677535">
          <w:marLeft w:val="0"/>
          <w:marRight w:val="0"/>
          <w:marTop w:val="120"/>
          <w:marBottom w:val="0"/>
          <w:divBdr>
            <w:top w:val="none" w:sz="0" w:space="0" w:color="auto"/>
            <w:left w:val="none" w:sz="0" w:space="0" w:color="auto"/>
            <w:bottom w:val="none" w:sz="0" w:space="0" w:color="auto"/>
            <w:right w:val="none" w:sz="0" w:space="0" w:color="auto"/>
          </w:divBdr>
        </w:div>
        <w:div w:id="123886425">
          <w:marLeft w:val="0"/>
          <w:marRight w:val="0"/>
          <w:marTop w:val="60"/>
          <w:marBottom w:val="0"/>
          <w:divBdr>
            <w:top w:val="none" w:sz="0" w:space="0" w:color="auto"/>
            <w:left w:val="none" w:sz="0" w:space="0" w:color="auto"/>
            <w:bottom w:val="none" w:sz="0" w:space="0" w:color="auto"/>
            <w:right w:val="none" w:sz="0" w:space="0" w:color="auto"/>
          </w:divBdr>
        </w:div>
        <w:div w:id="254558399">
          <w:marLeft w:val="0"/>
          <w:marRight w:val="0"/>
          <w:marTop w:val="120"/>
          <w:marBottom w:val="0"/>
          <w:divBdr>
            <w:top w:val="none" w:sz="0" w:space="0" w:color="auto"/>
            <w:left w:val="none" w:sz="0" w:space="0" w:color="auto"/>
            <w:bottom w:val="none" w:sz="0" w:space="0" w:color="auto"/>
            <w:right w:val="none" w:sz="0" w:space="0" w:color="auto"/>
          </w:divBdr>
        </w:div>
        <w:div w:id="1840316559">
          <w:marLeft w:val="0"/>
          <w:marRight w:val="0"/>
          <w:marTop w:val="120"/>
          <w:marBottom w:val="0"/>
          <w:divBdr>
            <w:top w:val="none" w:sz="0" w:space="0" w:color="auto"/>
            <w:left w:val="none" w:sz="0" w:space="0" w:color="auto"/>
            <w:bottom w:val="none" w:sz="0" w:space="0" w:color="auto"/>
            <w:right w:val="none" w:sz="0" w:space="0" w:color="auto"/>
          </w:divBdr>
        </w:div>
        <w:div w:id="152189624">
          <w:marLeft w:val="0"/>
          <w:marRight w:val="0"/>
          <w:marTop w:val="60"/>
          <w:marBottom w:val="0"/>
          <w:divBdr>
            <w:top w:val="none" w:sz="0" w:space="0" w:color="auto"/>
            <w:left w:val="none" w:sz="0" w:space="0" w:color="auto"/>
            <w:bottom w:val="none" w:sz="0" w:space="0" w:color="auto"/>
            <w:right w:val="none" w:sz="0" w:space="0" w:color="auto"/>
          </w:divBdr>
        </w:div>
        <w:div w:id="1065185077">
          <w:marLeft w:val="0"/>
          <w:marRight w:val="0"/>
          <w:marTop w:val="60"/>
          <w:marBottom w:val="0"/>
          <w:divBdr>
            <w:top w:val="none" w:sz="0" w:space="0" w:color="auto"/>
            <w:left w:val="none" w:sz="0" w:space="0" w:color="auto"/>
            <w:bottom w:val="none" w:sz="0" w:space="0" w:color="auto"/>
            <w:right w:val="none" w:sz="0" w:space="0" w:color="auto"/>
          </w:divBdr>
        </w:div>
      </w:divsChild>
    </w:div>
    <w:div w:id="1648167369">
      <w:bodyDiv w:val="1"/>
      <w:marLeft w:val="0"/>
      <w:marRight w:val="0"/>
      <w:marTop w:val="0"/>
      <w:marBottom w:val="0"/>
      <w:divBdr>
        <w:top w:val="none" w:sz="0" w:space="0" w:color="auto"/>
        <w:left w:val="none" w:sz="0" w:space="0" w:color="auto"/>
        <w:bottom w:val="none" w:sz="0" w:space="0" w:color="auto"/>
        <w:right w:val="none" w:sz="0" w:space="0" w:color="auto"/>
      </w:divBdr>
      <w:divsChild>
        <w:div w:id="1645348907">
          <w:marLeft w:val="0"/>
          <w:marRight w:val="0"/>
          <w:marTop w:val="120"/>
          <w:marBottom w:val="0"/>
          <w:divBdr>
            <w:top w:val="none" w:sz="0" w:space="0" w:color="auto"/>
            <w:left w:val="none" w:sz="0" w:space="0" w:color="auto"/>
            <w:bottom w:val="none" w:sz="0" w:space="0" w:color="auto"/>
            <w:right w:val="none" w:sz="0" w:space="0" w:color="auto"/>
          </w:divBdr>
        </w:div>
      </w:divsChild>
    </w:div>
    <w:div w:id="1664702339">
      <w:bodyDiv w:val="1"/>
      <w:marLeft w:val="0"/>
      <w:marRight w:val="0"/>
      <w:marTop w:val="0"/>
      <w:marBottom w:val="0"/>
      <w:divBdr>
        <w:top w:val="none" w:sz="0" w:space="0" w:color="auto"/>
        <w:left w:val="none" w:sz="0" w:space="0" w:color="auto"/>
        <w:bottom w:val="none" w:sz="0" w:space="0" w:color="auto"/>
        <w:right w:val="none" w:sz="0" w:space="0" w:color="auto"/>
      </w:divBdr>
      <w:divsChild>
        <w:div w:id="515114089">
          <w:marLeft w:val="0"/>
          <w:marRight w:val="0"/>
          <w:marTop w:val="120"/>
          <w:marBottom w:val="0"/>
          <w:divBdr>
            <w:top w:val="none" w:sz="0" w:space="0" w:color="auto"/>
            <w:left w:val="none" w:sz="0" w:space="0" w:color="auto"/>
            <w:bottom w:val="none" w:sz="0" w:space="0" w:color="auto"/>
            <w:right w:val="none" w:sz="0" w:space="0" w:color="auto"/>
          </w:divBdr>
        </w:div>
        <w:div w:id="982271119">
          <w:marLeft w:val="0"/>
          <w:marRight w:val="0"/>
          <w:marTop w:val="120"/>
          <w:marBottom w:val="0"/>
          <w:divBdr>
            <w:top w:val="none" w:sz="0" w:space="0" w:color="auto"/>
            <w:left w:val="none" w:sz="0" w:space="0" w:color="auto"/>
            <w:bottom w:val="none" w:sz="0" w:space="0" w:color="auto"/>
            <w:right w:val="none" w:sz="0" w:space="0" w:color="auto"/>
          </w:divBdr>
        </w:div>
        <w:div w:id="872838704">
          <w:marLeft w:val="0"/>
          <w:marRight w:val="0"/>
          <w:marTop w:val="120"/>
          <w:marBottom w:val="0"/>
          <w:divBdr>
            <w:top w:val="none" w:sz="0" w:space="0" w:color="auto"/>
            <w:left w:val="none" w:sz="0" w:space="0" w:color="auto"/>
            <w:bottom w:val="none" w:sz="0" w:space="0" w:color="auto"/>
            <w:right w:val="none" w:sz="0" w:space="0" w:color="auto"/>
          </w:divBdr>
        </w:div>
        <w:div w:id="833230422">
          <w:marLeft w:val="0"/>
          <w:marRight w:val="0"/>
          <w:marTop w:val="60"/>
          <w:marBottom w:val="0"/>
          <w:divBdr>
            <w:top w:val="none" w:sz="0" w:space="0" w:color="auto"/>
            <w:left w:val="none" w:sz="0" w:space="0" w:color="auto"/>
            <w:bottom w:val="none" w:sz="0" w:space="0" w:color="auto"/>
            <w:right w:val="none" w:sz="0" w:space="0" w:color="auto"/>
          </w:divBdr>
        </w:div>
      </w:divsChild>
    </w:div>
    <w:div w:id="1771461274">
      <w:bodyDiv w:val="1"/>
      <w:marLeft w:val="0"/>
      <w:marRight w:val="0"/>
      <w:marTop w:val="0"/>
      <w:marBottom w:val="0"/>
      <w:divBdr>
        <w:top w:val="none" w:sz="0" w:space="0" w:color="auto"/>
        <w:left w:val="none" w:sz="0" w:space="0" w:color="auto"/>
        <w:bottom w:val="none" w:sz="0" w:space="0" w:color="auto"/>
        <w:right w:val="none" w:sz="0" w:space="0" w:color="auto"/>
      </w:divBdr>
    </w:div>
    <w:div w:id="1797411339">
      <w:bodyDiv w:val="1"/>
      <w:marLeft w:val="0"/>
      <w:marRight w:val="0"/>
      <w:marTop w:val="0"/>
      <w:marBottom w:val="0"/>
      <w:divBdr>
        <w:top w:val="none" w:sz="0" w:space="0" w:color="auto"/>
        <w:left w:val="none" w:sz="0" w:space="0" w:color="auto"/>
        <w:bottom w:val="none" w:sz="0" w:space="0" w:color="auto"/>
        <w:right w:val="none" w:sz="0" w:space="0" w:color="auto"/>
      </w:divBdr>
    </w:div>
    <w:div w:id="2082634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tmp"/><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tmp"/><Relationship Id="rId30" Type="http://schemas.openxmlformats.org/officeDocument/2006/relationships/image" Target="media/image25.png"/><Relationship Id="rId35" Type="http://schemas.openxmlformats.org/officeDocument/2006/relationships/fontTable" Target="fontTable.xml"/><Relationship Id="rId8"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EAA44-4A09-4C62-9ACE-12E7CEE73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4810</TotalTime>
  <Pages>15</Pages>
  <Words>4591</Words>
  <Characters>26173</Characters>
  <Application>Microsoft Office Word</Application>
  <DocSecurity>0</DocSecurity>
  <Lines>218</Lines>
  <Paragraphs>61</Paragraphs>
  <ScaleCrop>false</ScaleCrop>
  <HeadingPairs>
    <vt:vector size="2" baseType="variant">
      <vt:variant>
        <vt:lpstr>Titolo</vt:lpstr>
      </vt:variant>
      <vt:variant>
        <vt:i4>1</vt:i4>
      </vt:variant>
    </vt:vector>
  </HeadingPairs>
  <TitlesOfParts>
    <vt:vector size="1" baseType="lpstr">
      <vt:lpstr>SPEDIZIONE</vt:lpstr>
    </vt:vector>
  </TitlesOfParts>
  <Company>Teamsystem S.p.A</Company>
  <LinksUpToDate>false</LinksUpToDate>
  <CharactersWithSpaces>30703</CharactersWithSpaces>
  <SharedDoc>false</SharedDoc>
  <HLinks>
    <vt:vector size="84" baseType="variant">
      <vt:variant>
        <vt:i4>1441843</vt:i4>
      </vt:variant>
      <vt:variant>
        <vt:i4>74</vt:i4>
      </vt:variant>
      <vt:variant>
        <vt:i4>0</vt:i4>
      </vt:variant>
      <vt:variant>
        <vt:i4>5</vt:i4>
      </vt:variant>
      <vt:variant>
        <vt:lpwstr/>
      </vt:variant>
      <vt:variant>
        <vt:lpwstr>_Toc425959737</vt:lpwstr>
      </vt:variant>
      <vt:variant>
        <vt:i4>1441843</vt:i4>
      </vt:variant>
      <vt:variant>
        <vt:i4>68</vt:i4>
      </vt:variant>
      <vt:variant>
        <vt:i4>0</vt:i4>
      </vt:variant>
      <vt:variant>
        <vt:i4>5</vt:i4>
      </vt:variant>
      <vt:variant>
        <vt:lpwstr/>
      </vt:variant>
      <vt:variant>
        <vt:lpwstr>_Toc425959736</vt:lpwstr>
      </vt:variant>
      <vt:variant>
        <vt:i4>1441843</vt:i4>
      </vt:variant>
      <vt:variant>
        <vt:i4>62</vt:i4>
      </vt:variant>
      <vt:variant>
        <vt:i4>0</vt:i4>
      </vt:variant>
      <vt:variant>
        <vt:i4>5</vt:i4>
      </vt:variant>
      <vt:variant>
        <vt:lpwstr/>
      </vt:variant>
      <vt:variant>
        <vt:lpwstr>_Toc425959735</vt:lpwstr>
      </vt:variant>
      <vt:variant>
        <vt:i4>1441843</vt:i4>
      </vt:variant>
      <vt:variant>
        <vt:i4>56</vt:i4>
      </vt:variant>
      <vt:variant>
        <vt:i4>0</vt:i4>
      </vt:variant>
      <vt:variant>
        <vt:i4>5</vt:i4>
      </vt:variant>
      <vt:variant>
        <vt:lpwstr/>
      </vt:variant>
      <vt:variant>
        <vt:lpwstr>_Toc425959734</vt:lpwstr>
      </vt:variant>
      <vt:variant>
        <vt:i4>1441843</vt:i4>
      </vt:variant>
      <vt:variant>
        <vt:i4>50</vt:i4>
      </vt:variant>
      <vt:variant>
        <vt:i4>0</vt:i4>
      </vt:variant>
      <vt:variant>
        <vt:i4>5</vt:i4>
      </vt:variant>
      <vt:variant>
        <vt:lpwstr/>
      </vt:variant>
      <vt:variant>
        <vt:lpwstr>_Toc425959733</vt:lpwstr>
      </vt:variant>
      <vt:variant>
        <vt:i4>1441843</vt:i4>
      </vt:variant>
      <vt:variant>
        <vt:i4>44</vt:i4>
      </vt:variant>
      <vt:variant>
        <vt:i4>0</vt:i4>
      </vt:variant>
      <vt:variant>
        <vt:i4>5</vt:i4>
      </vt:variant>
      <vt:variant>
        <vt:lpwstr/>
      </vt:variant>
      <vt:variant>
        <vt:lpwstr>_Toc425959732</vt:lpwstr>
      </vt:variant>
      <vt:variant>
        <vt:i4>1441843</vt:i4>
      </vt:variant>
      <vt:variant>
        <vt:i4>38</vt:i4>
      </vt:variant>
      <vt:variant>
        <vt:i4>0</vt:i4>
      </vt:variant>
      <vt:variant>
        <vt:i4>5</vt:i4>
      </vt:variant>
      <vt:variant>
        <vt:lpwstr/>
      </vt:variant>
      <vt:variant>
        <vt:lpwstr>_Toc425959731</vt:lpwstr>
      </vt:variant>
      <vt:variant>
        <vt:i4>1441843</vt:i4>
      </vt:variant>
      <vt:variant>
        <vt:i4>32</vt:i4>
      </vt:variant>
      <vt:variant>
        <vt:i4>0</vt:i4>
      </vt:variant>
      <vt:variant>
        <vt:i4>5</vt:i4>
      </vt:variant>
      <vt:variant>
        <vt:lpwstr/>
      </vt:variant>
      <vt:variant>
        <vt:lpwstr>_Toc425959730</vt:lpwstr>
      </vt:variant>
      <vt:variant>
        <vt:i4>1507379</vt:i4>
      </vt:variant>
      <vt:variant>
        <vt:i4>26</vt:i4>
      </vt:variant>
      <vt:variant>
        <vt:i4>0</vt:i4>
      </vt:variant>
      <vt:variant>
        <vt:i4>5</vt:i4>
      </vt:variant>
      <vt:variant>
        <vt:lpwstr/>
      </vt:variant>
      <vt:variant>
        <vt:lpwstr>_Toc425959729</vt:lpwstr>
      </vt:variant>
      <vt:variant>
        <vt:i4>1507379</vt:i4>
      </vt:variant>
      <vt:variant>
        <vt:i4>20</vt:i4>
      </vt:variant>
      <vt:variant>
        <vt:i4>0</vt:i4>
      </vt:variant>
      <vt:variant>
        <vt:i4>5</vt:i4>
      </vt:variant>
      <vt:variant>
        <vt:lpwstr/>
      </vt:variant>
      <vt:variant>
        <vt:lpwstr>_Toc425959728</vt:lpwstr>
      </vt:variant>
      <vt:variant>
        <vt:i4>1507379</vt:i4>
      </vt:variant>
      <vt:variant>
        <vt:i4>14</vt:i4>
      </vt:variant>
      <vt:variant>
        <vt:i4>0</vt:i4>
      </vt:variant>
      <vt:variant>
        <vt:i4>5</vt:i4>
      </vt:variant>
      <vt:variant>
        <vt:lpwstr/>
      </vt:variant>
      <vt:variant>
        <vt:lpwstr>_Toc425959727</vt:lpwstr>
      </vt:variant>
      <vt:variant>
        <vt:i4>1507379</vt:i4>
      </vt:variant>
      <vt:variant>
        <vt:i4>8</vt:i4>
      </vt:variant>
      <vt:variant>
        <vt:i4>0</vt:i4>
      </vt:variant>
      <vt:variant>
        <vt:i4>5</vt:i4>
      </vt:variant>
      <vt:variant>
        <vt:lpwstr/>
      </vt:variant>
      <vt:variant>
        <vt:lpwstr>_Toc425959726</vt:lpwstr>
      </vt:variant>
      <vt:variant>
        <vt:i4>1507379</vt:i4>
      </vt:variant>
      <vt:variant>
        <vt:i4>2</vt:i4>
      </vt:variant>
      <vt:variant>
        <vt:i4>0</vt:i4>
      </vt:variant>
      <vt:variant>
        <vt:i4>5</vt:i4>
      </vt:variant>
      <vt:variant>
        <vt:lpwstr/>
      </vt:variant>
      <vt:variant>
        <vt:lpwstr>_Toc425959725</vt:lpwstr>
      </vt:variant>
      <vt:variant>
        <vt:i4>6422638</vt:i4>
      </vt:variant>
      <vt:variant>
        <vt:i4>0</vt:i4>
      </vt:variant>
      <vt:variant>
        <vt:i4>0</vt:i4>
      </vt:variant>
      <vt:variant>
        <vt:i4>5</vt:i4>
      </vt:variant>
      <vt:variant>
        <vt:lpwstr/>
      </vt:variant>
      <vt:variant>
        <vt:lpwstr>INDICE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SPEDIZIONE</dc:title>
  <dc:creator>Giulia Mancini</dc:creator>
  <cp:lastModifiedBy>Barbara Mandolini</cp:lastModifiedBy>
  <cp:revision>350</cp:revision>
  <cp:lastPrinted>2021-05-06T17:20:00Z</cp:lastPrinted>
  <dcterms:created xsi:type="dcterms:W3CDTF">2020-01-22T13:09:00Z</dcterms:created>
  <dcterms:modified xsi:type="dcterms:W3CDTF">2021-05-06T17:21:00Z</dcterms:modified>
</cp:coreProperties>
</file>