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>
            <w:pPr>
              <w:pStyle w:val="WWRelease"/>
              <w:jc w:val="center"/>
              <w:rPr>
                <w:lang w:val="en-US"/>
              </w:rPr>
            </w:pPr>
            <w:r>
              <w:rPr>
                <w:lang w:val="en-US"/>
              </w:rPr>
              <w:t>RELEASE Versione 2022.1.1</w:t>
            </w:r>
          </w:p>
        </w:tc>
      </w:tr>
    </w:tbl>
    <w:p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>
            <w:pPr>
              <w:pStyle w:val="WWTipoDocumento"/>
            </w:pPr>
            <w:r>
              <w:t>CONTENUTO DEL RILASCIO</w:t>
            </w:r>
          </w:p>
          <w:p>
            <w:pPr>
              <w:pStyle w:val="CorpoAltF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350135" cy="2820670"/>
                  <wp:effectExtent l="0" t="0" r="0" b="0"/>
                  <wp:docPr id="3" name="Immagine 3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EMENS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2022.1.1 (Update)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28.07.2022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>
        <w:trPr>
          <w:cantSplit/>
          <w:trHeight w:hRule="exact" w:val="113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  2022.2.2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  2022.0.4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  2022.3.2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  2022.1.1</w:t>
            </w: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>
            <w:pPr>
              <w:pStyle w:val="WWContenutoRilascio"/>
            </w:pPr>
            <w:r>
              <w:t>Contenuto del rilascio</w:t>
            </w:r>
          </w:p>
        </w:tc>
      </w:tr>
      <w:tr>
        <w:trPr>
          <w:jc w:val="center"/>
        </w:trPr>
        <w:tc>
          <w:tcPr>
            <w:tcW w:w="9629" w:type="dxa"/>
          </w:tcPr>
          <w:p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240"/>
              <w:ind w:left="454" w:right="170" w:hanging="284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Con il presente aggiornamento la procedura viene allineata </w:t>
            </w:r>
            <w:r>
              <w:rPr>
                <w:b/>
                <w:sz w:val="22"/>
                <w:szCs w:val="22"/>
              </w:rPr>
              <w:t>alle versioni PAGHE 2022.2.1 e 2022.2.2 in particolare con riferimento a:</w:t>
            </w:r>
          </w:p>
          <w:p>
            <w:pPr>
              <w:pStyle w:val="corpoAltF"/>
              <w:numPr>
                <w:ilvl w:val="0"/>
                <w:numId w:val="7"/>
              </w:numPr>
              <w:spacing w:before="120"/>
              <w:ind w:left="810" w:right="170" w:hanging="249"/>
            </w:pPr>
            <w:r>
              <w:t>esposizione dell’incentivo per assunzione di beneficiari del reddito di cittadinanza a seguito di attività di intermediazione da parte di un’agenzia per il lavoro;</w:t>
            </w:r>
          </w:p>
          <w:p>
            <w:pPr>
              <w:pStyle w:val="corpoAltF"/>
              <w:numPr>
                <w:ilvl w:val="0"/>
                <w:numId w:val="7"/>
              </w:numPr>
              <w:spacing w:before="120"/>
              <w:ind w:left="810" w:right="170" w:hanging="249"/>
            </w:pPr>
            <w:r>
              <w:t xml:space="preserve">esposizione della decontribuzione Sud per i mesi </w:t>
            </w:r>
            <w:r>
              <w:rPr>
                <w:shd w:val="clear" w:color="auto" w:fill="FFFFFF"/>
              </w:rPr>
              <w:t>di competenza da luglio a dicembre 2022.</w:t>
            </w:r>
          </w:p>
          <w:p>
            <w:pPr>
              <w:pStyle w:val="corpoAltF"/>
              <w:spacing w:before="60"/>
              <w:ind w:left="567" w:right="170"/>
            </w:pPr>
            <w:r>
              <w:t xml:space="preserve">Nei suddetti casi si precisa che gli utenti interessati che avessero già eseguito il comando </w:t>
            </w:r>
            <w:r>
              <w:rPr>
                <w:b/>
                <w:bCs/>
              </w:rPr>
              <w:t>QUADR</w:t>
            </w:r>
            <w:r>
              <w:t xml:space="preserve"> in PAGHE per la mensilità di luglio, dovranno ripeterlo dopo l’installazione della presente versione EMENS e della versione PAGHE 2022.2.2, rilasciata contestualmente all’attuale rilascio.</w:t>
            </w:r>
          </w:p>
          <w:p>
            <w:pPr>
              <w:pStyle w:val="corpoAltF"/>
              <w:numPr>
                <w:ilvl w:val="0"/>
                <w:numId w:val="7"/>
              </w:numPr>
              <w:spacing w:before="120"/>
              <w:ind w:left="810" w:right="170" w:hanging="249"/>
            </w:pPr>
            <w:r>
              <w:t>esposizione dell’esonero contributivo per le società cooperative che si costituiscono, a decorrere dal 1° gennaio 2022, ai sensi dell’articolo 23, comma 3-quater, del decreto-legge 22 giugno 2012, n. 83, convertito, con modificazioni, dalla legge 7 agosto 2012, n. 134;</w:t>
            </w:r>
          </w:p>
          <w:p>
            <w:pPr>
              <w:pStyle w:val="corpoAltF"/>
              <w:numPr>
                <w:ilvl w:val="0"/>
                <w:numId w:val="7"/>
              </w:numPr>
              <w:spacing w:before="120"/>
              <w:ind w:left="810" w:right="170" w:hanging="249"/>
            </w:pPr>
            <w:r>
              <w:t>esposizione dei dipendenti con rapporto di lavoro subordinato di natura giornalistica.</w:t>
            </w:r>
          </w:p>
          <w:p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454" w:right="170" w:hanging="28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Flusso Denuncia Uniemens-CIG</w:t>
            </w:r>
          </w:p>
          <w:p>
            <w:pPr>
              <w:pStyle w:val="corpoAltF"/>
              <w:spacing w:before="60"/>
              <w:ind w:left="454" w:right="170"/>
            </w:pPr>
            <w:r>
              <w:t>Ai fini della compilazione del flusso Uniemens-CIG, relativo alla trasmissione dei dati utili al pagamento diretto degli eventi di CIG/AO, il programma è stato implementato per:</w:t>
            </w:r>
          </w:p>
          <w:p>
            <w:pPr>
              <w:pStyle w:val="corpoAltF"/>
              <w:numPr>
                <w:ilvl w:val="0"/>
                <w:numId w:val="8"/>
              </w:numPr>
              <w:spacing w:before="60"/>
              <w:ind w:left="701" w:right="170" w:hanging="284"/>
            </w:pPr>
            <w:r>
              <w:t>compilare all’interno della funzione “</w:t>
            </w:r>
            <w:r>
              <w:rPr>
                <w:i/>
                <w:iCs/>
              </w:rPr>
              <w:t>Dati eventi CIG</w:t>
            </w:r>
            <w:r>
              <w:t>” (</w:t>
            </w:r>
            <w:r>
              <w:rPr>
                <w:b/>
                <w:bCs/>
              </w:rPr>
              <w:t>EME502</w:t>
            </w:r>
            <w:r>
              <w:t xml:space="preserve"> &gt; scheda “</w:t>
            </w:r>
            <w:r>
              <w:rPr>
                <w:i/>
                <w:iCs/>
              </w:rPr>
              <w:t>Retribuzioni</w:t>
            </w:r>
            <w:r>
              <w:t>”) il campo “</w:t>
            </w:r>
            <w:r>
              <w:rPr>
                <w:i/>
                <w:iCs/>
              </w:rPr>
              <w:t>Detrazione carichi di famiglia</w:t>
            </w:r>
            <w:r>
              <w:t>” mediante il valore fisso “N”;</w:t>
            </w:r>
          </w:p>
          <w:p>
            <w:pPr>
              <w:pStyle w:val="corpoAltF"/>
              <w:numPr>
                <w:ilvl w:val="0"/>
                <w:numId w:val="8"/>
              </w:numPr>
              <w:spacing w:before="60"/>
              <w:ind w:left="701" w:right="170" w:hanging="284"/>
            </w:pPr>
            <w:r>
              <w:t>compilare il campo “</w:t>
            </w:r>
            <w:r>
              <w:rPr>
                <w:i/>
                <w:iCs/>
              </w:rPr>
              <w:t>GG utili</w:t>
            </w:r>
            <w:r>
              <w:t>” della scheda “</w:t>
            </w:r>
            <w:r>
              <w:rPr>
                <w:i/>
                <w:iCs/>
              </w:rPr>
              <w:t>Retribuzioni</w:t>
            </w:r>
            <w:r>
              <w:t xml:space="preserve">” di </w:t>
            </w:r>
            <w:r>
              <w:rPr>
                <w:b/>
                <w:bCs/>
              </w:rPr>
              <w:t>EME502</w:t>
            </w:r>
            <w:r>
              <w:t xml:space="preserve"> in caso di lavoratore dello sport e spettacolo a tempo parziale.</w:t>
            </w:r>
          </w:p>
          <w:p>
            <w:pPr>
              <w:pStyle w:val="corpoAltF"/>
              <w:spacing w:before="60"/>
              <w:ind w:left="454" w:right="170"/>
            </w:pPr>
          </w:p>
          <w:p>
            <w:pPr>
              <w:pStyle w:val="corpoAltF"/>
              <w:ind w:right="170"/>
            </w:pPr>
          </w:p>
          <w:p>
            <w:pPr>
              <w:pStyle w:val="corpoAltF"/>
              <w:ind w:right="170"/>
            </w:pPr>
          </w:p>
        </w:tc>
      </w:tr>
    </w:tbl>
    <w:p>
      <w:pPr>
        <w:pStyle w:val="CorpoAltF0"/>
      </w:pPr>
      <w:r>
        <w:br w:type="page"/>
      </w:r>
    </w:p>
    <w:p>
      <w:pPr>
        <w:pStyle w:val="Ignora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1E0" w:firstRow="1" w:lastRow="1" w:firstColumn="1" w:lastColumn="1" w:noHBand="0" w:noVBand="0"/>
      </w:tblPr>
      <w:tblGrid>
        <w:gridCol w:w="9629"/>
      </w:tblGrid>
      <w:tr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Note di installazione</w:t>
            </w:r>
          </w:p>
        </w:tc>
      </w:tr>
    </w:tbl>
    <w:p>
      <w:pPr>
        <w:pStyle w:val="CorpoAltF0"/>
        <w:rPr>
          <w:sz w:val="10"/>
          <w:szCs w:val="10"/>
        </w:rPr>
      </w:pPr>
    </w:p>
    <w:tbl>
      <w:tblPr>
        <w:tblW w:w="9646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25"/>
        <w:gridCol w:w="4821"/>
      </w:tblGrid>
      <w:tr>
        <w:trPr>
          <w:jc w:val="center"/>
        </w:trPr>
        <w:tc>
          <w:tcPr>
            <w:tcW w:w="4825" w:type="dxa"/>
            <w:shd w:val="clear" w:color="auto" w:fill="BFBFBF"/>
          </w:tcPr>
          <w:p>
            <w:pPr>
              <w:pStyle w:val="corpoAltF"/>
              <w:ind w:left="4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Ambiente WINDOWS</w:t>
            </w:r>
          </w:p>
        </w:tc>
        <w:tc>
          <w:tcPr>
            <w:tcW w:w="4821" w:type="dxa"/>
            <w:shd w:val="clear" w:color="auto" w:fill="BFBFBF"/>
          </w:tcPr>
          <w:p>
            <w:pPr>
              <w:pStyle w:val="corpoAlt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Ambiente LINUX</w:t>
            </w:r>
          </w:p>
        </w:tc>
      </w:tr>
      <w:tr>
        <w:trPr>
          <w:jc w:val="center"/>
        </w:trPr>
        <w:tc>
          <w:tcPr>
            <w:tcW w:w="4825" w:type="dxa"/>
          </w:tcPr>
          <w:p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L’applicativo potrà essere installato a seconda della modalità di distribuzione.</w:t>
            </w:r>
          </w:p>
          <w:p>
            <w:pPr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Modulo autoscompattante “autoinst”: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Selezionare il bottone “installa”</w:t>
            </w:r>
          </w:p>
          <w:p>
            <w:pPr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CDROM applicativi TeamCD: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Inserire il CD-ROM nel drive del server e confermare l’avvio dell’installazione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4821" w:type="dxa"/>
          </w:tcPr>
          <w:p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Dalla console, come super-utente (root), digitare il comando AGGTAR.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 modalità di installazione rese disponibili da questo comando saranno: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CD-ROM: Inserire il CD-ROM nel drive del server e confermare l’avvio dell’installazione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EXE: Scaricare i file in arrivo da TeamCast e confermare l’avvio dell’installazione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</w:tr>
    </w:tbl>
    <w:p>
      <w:pPr>
        <w:pStyle w:val="CorpoAltF0"/>
        <w:rPr>
          <w:sz w:val="10"/>
          <w:szCs w:val="10"/>
        </w:rPr>
      </w:pPr>
    </w:p>
    <w:p>
      <w:pPr>
        <w:pStyle w:val="Ignora"/>
        <w:rPr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6" w:space="0" w:color="4BACC6"/>
          <w:insideV w:val="single" w:sz="6" w:space="0" w:color="4BACC6"/>
        </w:tblBorders>
        <w:shd w:val="clear" w:color="auto" w:fill="FFFFFF"/>
        <w:tblLook w:val="01E0" w:firstRow="1" w:lastRow="1" w:firstColumn="1" w:lastColumn="1" w:noHBand="0" w:noVBand="0"/>
      </w:tblPr>
      <w:tblGrid>
        <w:gridCol w:w="2665"/>
        <w:gridCol w:w="913"/>
        <w:gridCol w:w="1100"/>
        <w:gridCol w:w="4961"/>
      </w:tblGrid>
      <w:tr>
        <w:trPr>
          <w:trHeight w:val="397"/>
          <w:jc w:val="center"/>
        </w:trPr>
        <w:tc>
          <w:tcPr>
            <w:tcW w:w="9639" w:type="dxa"/>
            <w:gridSpan w:val="4"/>
            <w:shd w:val="clear" w:color="auto" w:fill="DBDBDB"/>
            <w:vAlign w:val="center"/>
          </w:tcPr>
          <w:p>
            <w:pPr>
              <w:pStyle w:val="Intestazione"/>
              <w:ind w:left="-108"/>
              <w:jc w:val="center"/>
              <w:rPr>
                <w:rFonts w:ascii="Tahoma" w:hAnsi="Tahoma" w:cs="Tahoma"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Cs/>
                <w:sz w:val="28"/>
                <w:szCs w:val="28"/>
              </w:rPr>
              <w:t>Tabella riepilogativa Sistemi Operativi supportati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2665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Sistema Operativo</w:t>
            </w:r>
          </w:p>
        </w:tc>
        <w:tc>
          <w:tcPr>
            <w:tcW w:w="6974" w:type="dxa"/>
            <w:gridSpan w:val="3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Versione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36"/>
          <w:jc w:val="center"/>
        </w:trPr>
        <w:tc>
          <w:tcPr>
            <w:tcW w:w="266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Windows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6974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Server 2012, 2012 R2</w:t>
            </w: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8.1 Pro  (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2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>)</w:t>
            </w: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10 Pro  (1903 o successive)</w:t>
            </w: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Server 2016</w:t>
            </w: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Server 2019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8"/>
          <w:jc w:val="center"/>
        </w:trPr>
        <w:tc>
          <w:tcPr>
            <w:tcW w:w="2665" w:type="dxa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Linux</w:t>
            </w:r>
          </w:p>
        </w:tc>
        <w:tc>
          <w:tcPr>
            <w:tcW w:w="91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x86_64</w:t>
            </w:r>
          </w:p>
        </w:tc>
        <w:tc>
          <w:tcPr>
            <w:tcW w:w="6061" w:type="dxa"/>
            <w:gridSpan w:val="2"/>
            <w:shd w:val="clear" w:color="auto" w:fill="FFFFFF"/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SLES 12 SP4</w:t>
            </w: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Ubuntu 16.04 LTS, 18.04 LTS</w:t>
            </w: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CentOS 6 (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3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>), 7, 8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2665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PPC</w:t>
            </w:r>
          </w:p>
        </w:tc>
        <w:tc>
          <w:tcPr>
            <w:tcW w:w="1100" w:type="dxa"/>
            <w:shd w:val="clear" w:color="auto" w:fill="FFFFFF"/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Power 6,</w:t>
            </w: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Power 7</w:t>
            </w:r>
          </w:p>
        </w:tc>
        <w:tc>
          <w:tcPr>
            <w:tcW w:w="4961" w:type="dxa"/>
            <w:shd w:val="clear" w:color="auto" w:fill="FFFFFF"/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SLES 11 SP4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2665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100" w:type="dxa"/>
            <w:shd w:val="clear" w:color="auto" w:fill="FFFFFF"/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Power 8,</w:t>
            </w: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Power 9</w:t>
            </w:r>
          </w:p>
        </w:tc>
        <w:tc>
          <w:tcPr>
            <w:tcW w:w="4961" w:type="dxa"/>
            <w:shd w:val="clear" w:color="auto" w:fill="FFFFFF"/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OpenSUSE Leap 15</w:t>
            </w: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SLES 15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266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Mac (client)</w:t>
            </w:r>
          </w:p>
        </w:tc>
        <w:tc>
          <w:tcPr>
            <w:tcW w:w="6974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MacOS 10.15 Catalina</w:t>
            </w:r>
          </w:p>
        </w:tc>
      </w:tr>
    </w:tbl>
    <w:p>
      <w:pPr>
        <w:numPr>
          <w:ilvl w:val="0"/>
          <w:numId w:val="5"/>
        </w:numPr>
        <w:spacing w:before="60"/>
        <w:ind w:left="426" w:right="284" w:hanging="426"/>
        <w:jc w:val="both"/>
        <w:rPr>
          <w:rFonts w:ascii="Tahoma" w:hAnsi="Tahoma" w:cs="Tahoma"/>
          <w:spacing w:val="6"/>
          <w:sz w:val="18"/>
          <w:szCs w:val="16"/>
        </w:rPr>
      </w:pPr>
      <w:r>
        <w:rPr>
          <w:rFonts w:ascii="Tahoma" w:hAnsi="Tahoma" w:cs="Tahoma"/>
          <w:spacing w:val="6"/>
          <w:sz w:val="18"/>
          <w:szCs w:val="18"/>
        </w:rPr>
        <w:t>Sono escluse tutte le versioni dei sistemi operativi destinate ad un’utenza ‘Home’.</w:t>
      </w:r>
    </w:p>
    <w:p>
      <w:pPr>
        <w:numPr>
          <w:ilvl w:val="0"/>
          <w:numId w:val="6"/>
        </w:numPr>
        <w:spacing w:before="20"/>
        <w:ind w:left="426" w:right="283" w:hanging="426"/>
        <w:jc w:val="both"/>
        <w:rPr>
          <w:rFonts w:ascii="Tahoma" w:hAnsi="Tahoma" w:cs="Tahoma"/>
          <w:spacing w:val="6"/>
          <w:sz w:val="18"/>
          <w:szCs w:val="16"/>
        </w:rPr>
      </w:pPr>
      <w:r>
        <w:rPr>
          <w:rFonts w:ascii="Tahoma" w:hAnsi="Tahoma" w:cs="Tahoma"/>
          <w:spacing w:val="6"/>
          <w:sz w:val="18"/>
          <w:szCs w:val="16"/>
        </w:rPr>
        <w:t>ATTENZIONE: questo sistema operativo è in dismissione (consultare la “Tabella riepilogativa Sistemi operativi in dismissione”) pertanto si consiglia l’utilizzo della versione Windows Server 2016 o successive.</w:t>
      </w:r>
    </w:p>
    <w:p>
      <w:pPr>
        <w:numPr>
          <w:ilvl w:val="0"/>
          <w:numId w:val="6"/>
        </w:numPr>
        <w:spacing w:before="20"/>
        <w:ind w:left="426" w:right="283" w:hanging="426"/>
        <w:jc w:val="both"/>
        <w:rPr>
          <w:rFonts w:ascii="Tahoma" w:hAnsi="Tahoma" w:cs="Tahoma"/>
          <w:spacing w:val="6"/>
          <w:sz w:val="18"/>
          <w:szCs w:val="16"/>
        </w:rPr>
      </w:pPr>
      <w:r>
        <w:rPr>
          <w:rFonts w:ascii="Tahoma" w:hAnsi="Tahoma" w:cs="Tahoma"/>
          <w:spacing w:val="6"/>
          <w:sz w:val="18"/>
          <w:szCs w:val="16"/>
        </w:rPr>
        <w:t>ATTENZIONE: questo sistema operativo è in dismissione (consultare la “Tabella riepilogativa Sistemi operativi in dismissione”) pertanto si consiglia l’utilizzo della versione CentOS 8.</w:t>
      </w:r>
    </w:p>
    <w:p>
      <w:pPr>
        <w:pStyle w:val="CorpoAltF0"/>
        <w:rPr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6" w:space="0" w:color="4BACC6"/>
          <w:insideV w:val="single" w:sz="6" w:space="0" w:color="4BACC6"/>
        </w:tblBorders>
        <w:shd w:val="clear" w:color="auto" w:fill="FFFFFF"/>
        <w:tblLook w:val="01E0" w:firstRow="1" w:lastRow="1" w:firstColumn="1" w:lastColumn="1" w:noHBand="0" w:noVBand="0"/>
      </w:tblPr>
      <w:tblGrid>
        <w:gridCol w:w="2665"/>
        <w:gridCol w:w="6974"/>
      </w:tblGrid>
      <w:tr>
        <w:trPr>
          <w:trHeight w:val="397"/>
          <w:jc w:val="center"/>
        </w:trPr>
        <w:tc>
          <w:tcPr>
            <w:tcW w:w="9639" w:type="dxa"/>
            <w:gridSpan w:val="2"/>
            <w:shd w:val="clear" w:color="auto" w:fill="DBDBDB"/>
            <w:vAlign w:val="center"/>
          </w:tcPr>
          <w:p>
            <w:pPr>
              <w:pStyle w:val="Intestazione"/>
              <w:ind w:left="-108"/>
              <w:jc w:val="center"/>
              <w:rPr>
                <w:rFonts w:ascii="Tahoma" w:hAnsi="Tahoma" w:cs="Tahoma"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Cs/>
                <w:sz w:val="28"/>
                <w:szCs w:val="28"/>
              </w:rPr>
              <w:t>Tabella riepilogativa Sistemi Operativi in dismissione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2665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Sistema Operativo</w:t>
            </w:r>
          </w:p>
        </w:tc>
        <w:tc>
          <w:tcPr>
            <w:tcW w:w="6974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Versione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2665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Linux</w:t>
            </w:r>
          </w:p>
        </w:tc>
        <w:tc>
          <w:tcPr>
            <w:tcW w:w="6974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>
            <w:pPr>
              <w:ind w:left="248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CentoOS 6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il supporto terminerà a dicembre 2020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2665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Windows</w:t>
            </w:r>
          </w:p>
        </w:tc>
        <w:tc>
          <w:tcPr>
            <w:tcW w:w="6974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>
            <w:pPr>
              <w:ind w:left="248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8.1 Pro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il supporto verrà dismesso a giugno 2021</w:t>
            </w:r>
          </w:p>
        </w:tc>
      </w:tr>
    </w:tbl>
    <w:p>
      <w:pPr>
        <w:pStyle w:val="CorpoAltF0"/>
        <w:rPr>
          <w:sz w:val="10"/>
          <w:szCs w:val="10"/>
        </w:rPr>
      </w:pPr>
    </w:p>
    <w:p>
      <w:pPr>
        <w:pStyle w:val="Ignora"/>
        <w:rPr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6" w:space="0" w:color="4BACC6"/>
          <w:insideV w:val="single" w:sz="6" w:space="0" w:color="4BACC6"/>
        </w:tblBorders>
        <w:shd w:val="clear" w:color="auto" w:fill="FFFFFF"/>
        <w:tblLook w:val="01E0" w:firstRow="1" w:lastRow="1" w:firstColumn="1" w:lastColumn="1" w:noHBand="0" w:noVBand="0"/>
      </w:tblPr>
      <w:tblGrid>
        <w:gridCol w:w="3544"/>
        <w:gridCol w:w="6095"/>
      </w:tblGrid>
      <w:tr>
        <w:trPr>
          <w:trHeight w:val="397"/>
          <w:jc w:val="center"/>
        </w:trPr>
        <w:tc>
          <w:tcPr>
            <w:tcW w:w="9639" w:type="dxa"/>
            <w:gridSpan w:val="2"/>
            <w:shd w:val="clear" w:color="auto" w:fill="DBDBDB"/>
            <w:vAlign w:val="center"/>
          </w:tcPr>
          <w:p>
            <w:pPr>
              <w:pStyle w:val="Intestazione"/>
              <w:ind w:left="-108"/>
              <w:jc w:val="center"/>
              <w:rPr>
                <w:rFonts w:ascii="Tahoma" w:hAnsi="Tahoma" w:cs="Tahoma"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Cs/>
                <w:sz w:val="28"/>
                <w:szCs w:val="28"/>
              </w:rPr>
              <w:t>Tabella riepilogativa Browser supportati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3544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Browser</w:t>
            </w:r>
          </w:p>
        </w:tc>
        <w:tc>
          <w:tcPr>
            <w:tcW w:w="6095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Versione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354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Edge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44 o successive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354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Edge Chromium</w:t>
            </w:r>
          </w:p>
        </w:tc>
        <w:tc>
          <w:tcPr>
            <w:tcW w:w="60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84 o successive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354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Firefox</w:t>
            </w:r>
          </w:p>
        </w:tc>
        <w:tc>
          <w:tcPr>
            <w:tcW w:w="60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79 o successive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354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Chrome</w:t>
            </w:r>
          </w:p>
        </w:tc>
        <w:tc>
          <w:tcPr>
            <w:tcW w:w="60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84 o successive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354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Safari</w:t>
            </w:r>
          </w:p>
        </w:tc>
        <w:tc>
          <w:tcPr>
            <w:tcW w:w="60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12 o successive</w:t>
            </w:r>
          </w:p>
        </w:tc>
      </w:tr>
    </w:tbl>
    <w:p>
      <w:pPr>
        <w:numPr>
          <w:ilvl w:val="0"/>
          <w:numId w:val="6"/>
        </w:numPr>
        <w:spacing w:before="60"/>
        <w:ind w:left="426" w:right="284" w:hanging="426"/>
        <w:jc w:val="both"/>
        <w:rPr>
          <w:rFonts w:ascii="Tahoma" w:hAnsi="Tahoma" w:cs="Tahoma"/>
          <w:spacing w:val="6"/>
          <w:sz w:val="18"/>
          <w:szCs w:val="16"/>
        </w:rPr>
      </w:pPr>
      <w:r>
        <w:rPr>
          <w:rFonts w:ascii="Tahoma" w:hAnsi="Tahoma" w:cs="Tahoma"/>
          <w:spacing w:val="6"/>
          <w:sz w:val="18"/>
          <w:szCs w:val="16"/>
        </w:rPr>
        <w:t>ATTENZIONE: Browser in dismissione: il supporto terminerà a giugno 2021</w:t>
      </w:r>
    </w:p>
    <w:p>
      <w:pPr>
        <w:pStyle w:val="Ignora"/>
        <w:rPr>
          <w:sz w:val="10"/>
          <w:szCs w:val="10"/>
        </w:rPr>
      </w:pPr>
    </w:p>
    <w:sectPr>
      <w:headerReference w:type="default" r:id="rId9"/>
      <w:footerReference w:type="default" r:id="rId10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2022.1.1</w:t>
          </w:r>
        </w:p>
      </w:tc>
      <w:tc>
        <w:tcPr>
          <w:tcW w:w="1701" w:type="dxa"/>
        </w:tcPr>
        <w:p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>
          <w:pPr>
            <w:pStyle w:val="Intestazione"/>
            <w:spacing w:before="6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F75B5"/>
    <w:multiLevelType w:val="hybridMultilevel"/>
    <w:tmpl w:val="927412F0"/>
    <w:lvl w:ilvl="0" w:tplc="49A0E012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17B82C70"/>
    <w:multiLevelType w:val="hybridMultilevel"/>
    <w:tmpl w:val="30E8917A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125E8C"/>
    <w:multiLevelType w:val="hybridMultilevel"/>
    <w:tmpl w:val="CB306CBE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647252">
    <w:abstractNumId w:val="2"/>
  </w:num>
  <w:num w:numId="2" w16cid:durableId="1311330304">
    <w:abstractNumId w:val="1"/>
  </w:num>
  <w:num w:numId="3" w16cid:durableId="1506214401">
    <w:abstractNumId w:val="3"/>
  </w:num>
  <w:num w:numId="4" w16cid:durableId="1639719616">
    <w:abstractNumId w:val="6"/>
  </w:num>
  <w:num w:numId="5" w16cid:durableId="119107972">
    <w:abstractNumId w:val="7"/>
  </w:num>
  <w:num w:numId="6" w16cid:durableId="1816680892">
    <w:abstractNumId w:val="4"/>
  </w:num>
  <w:num w:numId="7" w16cid:durableId="1369601175">
    <w:abstractNumId w:val="0"/>
  </w:num>
  <w:num w:numId="8" w16cid:durableId="14088405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5:docId w15:val="{40CFF136-83E7-4838-9E78-3C909ECE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searchresulthighlight">
    <w:name w:val="search_result_highlight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200">
          <w:marLeft w:val="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611">
          <w:marLeft w:val="42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EMENS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3F9CF-E5C5-4FE7-9F72-87930253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EMENS_AAAAxxYY_CR.dotx</Template>
  <TotalTime>98</TotalTime>
  <Pages>2</Pages>
  <Words>569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Luca Moricoli</cp:lastModifiedBy>
  <cp:revision>15</cp:revision>
  <cp:lastPrinted>2022-07-28T16:32:00Z</cp:lastPrinted>
  <dcterms:created xsi:type="dcterms:W3CDTF">2022-07-18T16:21:00Z</dcterms:created>
  <dcterms:modified xsi:type="dcterms:W3CDTF">2022-07-28T16:32:00Z</dcterms:modified>
</cp:coreProperties>
</file>