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WWTipoDocumento"/>
      </w:pPr>
      <w:bookmarkStart w:id="0" w:name="_Toc33011301"/>
      <w:r>
        <w:t>ANOMALIE CORRETTE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539"/>
        <w:gridCol w:w="3824"/>
      </w:tblGrid>
      <w:tr>
        <w:trPr>
          <w:cantSplit/>
          <w:trHeight w:val="221"/>
          <w:jc w:val="center"/>
        </w:trPr>
        <w:tc>
          <w:tcPr>
            <w:tcW w:w="2273" w:type="dxa"/>
            <w:vMerge w:val="restart"/>
            <w:tcBorders>
              <w:top w:val="nil"/>
              <w:left w:val="nil"/>
              <w:bottom w:val="nil"/>
              <w:right w:val="single" w:sz="4" w:space="0" w:color="365F91"/>
            </w:tcBorders>
            <w:tcMar>
              <w:left w:w="28" w:type="dxa"/>
              <w:right w:w="28" w:type="dxa"/>
            </w:tcMar>
          </w:tcPr>
          <w:p>
            <w:pPr>
              <w:pStyle w:val="CorpoAltF0"/>
              <w:jc w:val="center"/>
              <w:rPr>
                <w:rFonts w:cs="Arial"/>
              </w:rPr>
            </w:pPr>
            <w:r>
              <w:rPr>
                <w:rFonts w:cs="Arial"/>
                <w:noProof/>
              </w:rPr>
              <w:drawing>
                <wp:inline distT="0" distB="0" distL="0" distR="0">
                  <wp:extent cx="1158875" cy="1384300"/>
                  <wp:effectExtent l="0" t="0" r="3175" b="6350"/>
                  <wp:docPr id="8" name="Immagine 1" descr="PAGHE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HE_spla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1384300"/>
                          </a:xfrm>
                          <a:prstGeom prst="rect">
                            <a:avLst/>
                          </a:prstGeom>
                          <a:noFill/>
                          <a:ln>
                            <a:noFill/>
                          </a:ln>
                        </pic:spPr>
                      </pic:pic>
                    </a:graphicData>
                  </a:graphic>
                </wp:inline>
              </w:drawing>
            </w:r>
          </w:p>
        </w:tc>
        <w:tc>
          <w:tcPr>
            <w:tcW w:w="7375"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pPr>
              <w:pStyle w:val="CorpoAltF0"/>
              <w:rPr>
                <w:rFonts w:cs="Arial"/>
                <w:b/>
                <w:lang w:val="en-US"/>
              </w:rPr>
            </w:pPr>
            <w:r>
              <w:rPr>
                <w:rFonts w:cs="Arial"/>
                <w:b/>
                <w:lang w:val="en-US"/>
              </w:rPr>
              <w:t xml:space="preserve">RELEASE </w:t>
            </w:r>
            <w:proofErr w:type="spellStart"/>
            <w:r>
              <w:rPr>
                <w:rFonts w:cs="Arial"/>
                <w:b/>
                <w:lang w:val="en-US"/>
              </w:rPr>
              <w:t>Versione</w:t>
            </w:r>
            <w:proofErr w:type="spellEnd"/>
            <w:r>
              <w:rPr>
                <w:rFonts w:cs="Arial"/>
                <w:b/>
                <w:lang w:val="en-US"/>
              </w:rPr>
              <w:t xml:space="preserve"> 2022.2.7</w:t>
            </w:r>
          </w:p>
        </w:tc>
      </w:tr>
      <w:tr>
        <w:trPr>
          <w:cantSplit/>
          <w:trHeight w:val="268"/>
          <w:jc w:val="center"/>
        </w:trPr>
        <w:tc>
          <w:tcPr>
            <w:tcW w:w="2273" w:type="dxa"/>
            <w:vMerge/>
            <w:tcBorders>
              <w:left w:val="nil"/>
              <w:bottom w:val="nil"/>
              <w:right w:val="single" w:sz="4" w:space="0" w:color="365F91"/>
            </w:tcBorders>
            <w:tcMar>
              <w:left w:w="28" w:type="dxa"/>
              <w:right w:w="28" w:type="dxa"/>
            </w:tcMar>
          </w:tcPr>
          <w:p>
            <w:pPr>
              <w:rPr>
                <w:color w:val="000000"/>
                <w:lang w:val="en-US"/>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Applicativo: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spacing w:before="120" w:after="120"/>
              <w:jc w:val="both"/>
              <w:rPr>
                <w:rFonts w:ascii="Arial" w:hAnsi="Arial" w:cs="Arial"/>
                <w:sz w:val="28"/>
                <w:szCs w:val="28"/>
              </w:rPr>
            </w:pPr>
            <w:r>
              <w:rPr>
                <w:rFonts w:ascii="Arial" w:hAnsi="Arial" w:cs="Arial"/>
                <w:b/>
                <w:sz w:val="28"/>
                <w:szCs w:val="28"/>
              </w:rPr>
              <w:t>PAGHE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Oggetto: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rPr>
              <w:t>Aggiornamento procedura</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Versione: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2022.2.7 (Update)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Data di rilascio: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13.10.2022</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Riferimento: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Anomalie Corrette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Classificazione: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Guida utente</w:t>
            </w:r>
          </w:p>
        </w:tc>
      </w:tr>
    </w:tbl>
    <w:p>
      <w:pPr>
        <w:pStyle w:val="Ignora"/>
      </w:pPr>
    </w:p>
    <w:p>
      <w:pPr>
        <w:pStyle w:val="Ignora"/>
      </w:pPr>
    </w:p>
    <w:p>
      <w:pPr>
        <w:pStyle w:val="WWNewPage"/>
      </w:pPr>
    </w:p>
    <w:p>
      <w:pPr>
        <w:pStyle w:val="CorpoAltF0"/>
        <w:pBdr>
          <w:top w:val="single" w:sz="12" w:space="1" w:color="1F497D" w:themeColor="text2"/>
          <w:left w:val="single" w:sz="12" w:space="4" w:color="1F497D" w:themeColor="text2"/>
          <w:bottom w:val="single" w:sz="18" w:space="1" w:color="1F497D" w:themeColor="text2"/>
          <w:right w:val="single" w:sz="18" w:space="4" w:color="1F497D" w:themeColor="text2"/>
        </w:pBdr>
        <w:ind w:left="142" w:right="141"/>
        <w:jc w:val="center"/>
        <w:rPr>
          <w:b/>
          <w:i/>
          <w:sz w:val="28"/>
          <w:szCs w:val="28"/>
        </w:rPr>
      </w:pPr>
      <w:bookmarkStart w:id="1" w:name="INDICE"/>
      <w:bookmarkEnd w:id="1"/>
      <w:r>
        <w:rPr>
          <w:b/>
          <w:i/>
          <w:sz w:val="28"/>
          <w:szCs w:val="28"/>
        </w:rPr>
        <w:t>ANOMALIE CORRETTE</w:t>
      </w:r>
    </w:p>
    <w:p>
      <w:pPr>
        <w:pStyle w:val="Ignora"/>
      </w:pPr>
    </w:p>
    <w:p>
      <w:pPr>
        <w:pStyle w:val="Sommario4"/>
        <w:rPr>
          <w:rFonts w:asciiTheme="minorHAnsi" w:eastAsiaTheme="minorEastAsia" w:hAnsiTheme="minorHAnsi" w:cstheme="minorBidi"/>
          <w:i w:val="0"/>
          <w:sz w:val="22"/>
          <w:szCs w:val="22"/>
        </w:rPr>
      </w:pPr>
      <w:r>
        <w:rPr>
          <w:rStyle w:val="Collegamentoipertestuale"/>
          <w:i w:val="0"/>
          <w:iCs/>
          <w:color w:val="auto"/>
          <w:spacing w:val="-20"/>
          <w:szCs w:val="28"/>
          <w:u w:val="none"/>
        </w:rPr>
        <w:fldChar w:fldCharType="begin"/>
      </w:r>
      <w:r>
        <w:rPr>
          <w:rStyle w:val="Collegamentoipertestuale"/>
          <w:iCs/>
          <w:color w:val="auto"/>
          <w:spacing w:val="-20"/>
          <w:szCs w:val="28"/>
          <w:u w:val="none"/>
        </w:rPr>
        <w:instrText xml:space="preserve"> TOC \h \z \t "TS-titolo-01;1;TS-titolo-04;4;TS-titolo-Comando;2;TS-titolo-05;5;WW_NormativaSoftware;3" </w:instrText>
      </w:r>
      <w:r>
        <w:rPr>
          <w:rStyle w:val="Collegamentoipertestuale"/>
          <w:i w:val="0"/>
          <w:iCs/>
          <w:color w:val="auto"/>
          <w:spacing w:val="-20"/>
          <w:szCs w:val="28"/>
          <w:u w:val="none"/>
        </w:rPr>
        <w:fldChar w:fldCharType="separate"/>
      </w:r>
      <w:hyperlink w:anchor="_Toc116580642" w:history="1">
        <w:r>
          <w:rPr>
            <w:rStyle w:val="Collegamentoipertestuale"/>
          </w:rPr>
          <w:t>QUADR – Compilazione denuncia UniEmens e delega F24</w:t>
        </w:r>
        <w:r>
          <w:rPr>
            <w:webHidden/>
          </w:rPr>
          <w:tab/>
        </w:r>
        <w:r>
          <w:rPr>
            <w:webHidden/>
          </w:rPr>
          <w:fldChar w:fldCharType="begin"/>
        </w:r>
        <w:r>
          <w:rPr>
            <w:webHidden/>
          </w:rPr>
          <w:instrText xml:space="preserve"> PAGEREF _Toc116580642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116580643" w:history="1">
        <w:r>
          <w:rPr>
            <w:rStyle w:val="Collegamentoipertestuale"/>
          </w:rPr>
          <w:t>STPARI</w:t>
        </w:r>
        <w:r>
          <w:rPr>
            <w:webHidden/>
          </w:rPr>
          <w:tab/>
        </w:r>
        <w:r>
          <w:rPr>
            <w:webHidden/>
          </w:rPr>
          <w:fldChar w:fldCharType="begin"/>
        </w:r>
        <w:r>
          <w:rPr>
            <w:webHidden/>
          </w:rPr>
          <w:instrText xml:space="preserve"> PAGEREF _Toc116580643 \h </w:instrText>
        </w:r>
        <w:r>
          <w:rPr>
            <w:webHidden/>
          </w:rPr>
        </w:r>
        <w:r>
          <w:rPr>
            <w:webHidden/>
          </w:rPr>
          <w:fldChar w:fldCharType="separate"/>
        </w:r>
        <w:r>
          <w:rPr>
            <w:webHidden/>
          </w:rPr>
          <w:t>2</w:t>
        </w:r>
        <w:r>
          <w:rPr>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44" w:history="1">
        <w:r>
          <w:rPr>
            <w:rStyle w:val="Collegamentoipertestuale"/>
            <w:noProof/>
          </w:rPr>
          <w:t>Descrizione personalizzata dei ratei di premio</w:t>
        </w:r>
        <w:r>
          <w:rPr>
            <w:noProof/>
            <w:webHidden/>
          </w:rPr>
          <w:tab/>
        </w:r>
        <w:r>
          <w:rPr>
            <w:noProof/>
            <w:webHidden/>
          </w:rPr>
          <w:fldChar w:fldCharType="begin"/>
        </w:r>
        <w:r>
          <w:rPr>
            <w:noProof/>
            <w:webHidden/>
          </w:rPr>
          <w:instrText xml:space="preserve"> PAGEREF _Toc116580644 \h </w:instrText>
        </w:r>
        <w:r>
          <w:rPr>
            <w:noProof/>
            <w:webHidden/>
          </w:rPr>
        </w:r>
        <w:r>
          <w:rPr>
            <w:noProof/>
            <w:webHidden/>
          </w:rPr>
          <w:fldChar w:fldCharType="separate"/>
        </w:r>
        <w:r>
          <w:rPr>
            <w:noProof/>
            <w:webHidden/>
          </w:rPr>
          <w:t>2</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45" w:history="1">
        <w:r>
          <w:rPr>
            <w:rStyle w:val="Collegamentoipertestuale"/>
            <w:noProof/>
          </w:rPr>
          <w:t>Report “2.3a – Occupati per categoria e tipo contratto”</w:t>
        </w:r>
        <w:r>
          <w:rPr>
            <w:noProof/>
            <w:webHidden/>
          </w:rPr>
          <w:tab/>
        </w:r>
        <w:r>
          <w:rPr>
            <w:noProof/>
            <w:webHidden/>
          </w:rPr>
          <w:fldChar w:fldCharType="begin"/>
        </w:r>
        <w:r>
          <w:rPr>
            <w:noProof/>
            <w:webHidden/>
          </w:rPr>
          <w:instrText xml:space="preserve"> PAGEREF _Toc116580645 \h </w:instrText>
        </w:r>
        <w:r>
          <w:rPr>
            <w:noProof/>
            <w:webHidden/>
          </w:rPr>
        </w:r>
        <w:r>
          <w:rPr>
            <w:noProof/>
            <w:webHidden/>
          </w:rPr>
          <w:fldChar w:fldCharType="separate"/>
        </w:r>
        <w:r>
          <w:rPr>
            <w:noProof/>
            <w:webHidden/>
          </w:rPr>
          <w:t>2</w:t>
        </w:r>
        <w:r>
          <w:rPr>
            <w:noProof/>
            <w:webHidden/>
          </w:rPr>
          <w:fldChar w:fldCharType="end"/>
        </w:r>
      </w:hyperlink>
    </w:p>
    <w:p>
      <w:pPr>
        <w:pStyle w:val="Sommario4"/>
        <w:rPr>
          <w:rFonts w:asciiTheme="minorHAnsi" w:eastAsiaTheme="minorEastAsia" w:hAnsiTheme="minorHAnsi" w:cstheme="minorBidi"/>
          <w:i w:val="0"/>
          <w:sz w:val="22"/>
          <w:szCs w:val="22"/>
        </w:rPr>
      </w:pPr>
      <w:hyperlink w:anchor="_Toc116580646" w:history="1">
        <w:r>
          <w:rPr>
            <w:rStyle w:val="Collegamentoipertestuale"/>
          </w:rPr>
          <w:t>CEDOL</w:t>
        </w:r>
        <w:r>
          <w:rPr>
            <w:webHidden/>
          </w:rPr>
          <w:tab/>
        </w:r>
        <w:r>
          <w:rPr>
            <w:webHidden/>
          </w:rPr>
          <w:fldChar w:fldCharType="begin"/>
        </w:r>
        <w:r>
          <w:rPr>
            <w:webHidden/>
          </w:rPr>
          <w:instrText xml:space="preserve"> PAGEREF _Toc116580646 \h </w:instrText>
        </w:r>
        <w:r>
          <w:rPr>
            <w:webHidden/>
          </w:rPr>
        </w:r>
        <w:r>
          <w:rPr>
            <w:webHidden/>
          </w:rPr>
          <w:fldChar w:fldCharType="separate"/>
        </w:r>
        <w:r>
          <w:rPr>
            <w:webHidden/>
          </w:rPr>
          <w:t>2</w:t>
        </w:r>
        <w:r>
          <w:rPr>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47" w:history="1">
        <w:r>
          <w:rPr>
            <w:rStyle w:val="Collegamentoipertestuale"/>
            <w:noProof/>
          </w:rPr>
          <w:t>COLF</w:t>
        </w:r>
        <w:r>
          <w:rPr>
            <w:noProof/>
            <w:webHidden/>
          </w:rPr>
          <w:tab/>
        </w:r>
        <w:r>
          <w:rPr>
            <w:noProof/>
            <w:webHidden/>
          </w:rPr>
          <w:fldChar w:fldCharType="begin"/>
        </w:r>
        <w:r>
          <w:rPr>
            <w:noProof/>
            <w:webHidden/>
          </w:rPr>
          <w:instrText xml:space="preserve"> PAGEREF _Toc116580647 \h </w:instrText>
        </w:r>
        <w:r>
          <w:rPr>
            <w:noProof/>
            <w:webHidden/>
          </w:rPr>
        </w:r>
        <w:r>
          <w:rPr>
            <w:noProof/>
            <w:webHidden/>
          </w:rPr>
          <w:fldChar w:fldCharType="separate"/>
        </w:r>
        <w:r>
          <w:rPr>
            <w:noProof/>
            <w:webHidden/>
          </w:rPr>
          <w:t>2</w:t>
        </w:r>
        <w:r>
          <w:rPr>
            <w:noProof/>
            <w:webHidden/>
          </w:rPr>
          <w:fldChar w:fldCharType="end"/>
        </w:r>
      </w:hyperlink>
    </w:p>
    <w:p>
      <w:pPr>
        <w:pStyle w:val="Sommario4"/>
        <w:rPr>
          <w:rFonts w:asciiTheme="minorHAnsi" w:eastAsiaTheme="minorEastAsia" w:hAnsiTheme="minorHAnsi" w:cstheme="minorBidi"/>
          <w:i w:val="0"/>
          <w:sz w:val="22"/>
          <w:szCs w:val="22"/>
        </w:rPr>
      </w:pPr>
      <w:hyperlink w:anchor="_Toc116580648" w:history="1">
        <w:r>
          <w:rPr>
            <w:rStyle w:val="Collegamentoipertestuale"/>
          </w:rPr>
          <w:t>PSQUA &gt; Stampa primanota</w:t>
        </w:r>
        <w:r>
          <w:rPr>
            <w:webHidden/>
          </w:rPr>
          <w:tab/>
        </w:r>
        <w:r>
          <w:rPr>
            <w:webHidden/>
          </w:rPr>
          <w:fldChar w:fldCharType="begin"/>
        </w:r>
        <w:r>
          <w:rPr>
            <w:webHidden/>
          </w:rPr>
          <w:instrText xml:space="preserve"> PAGEREF _Toc116580648 \h </w:instrText>
        </w:r>
        <w:r>
          <w:rPr>
            <w:webHidden/>
          </w:rPr>
        </w:r>
        <w:r>
          <w:rPr>
            <w:webHidden/>
          </w:rPr>
          <w:fldChar w:fldCharType="separate"/>
        </w:r>
        <w:r>
          <w:rPr>
            <w:webHidden/>
          </w:rPr>
          <w:t>2</w:t>
        </w:r>
        <w:r>
          <w:rPr>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49" w:history="1">
        <w:r>
          <w:rPr>
            <w:rStyle w:val="Collegamentoipertestuale"/>
            <w:noProof/>
          </w:rPr>
          <w:t>Stampa con ordinamento</w:t>
        </w:r>
        <w:r>
          <w:rPr>
            <w:noProof/>
            <w:webHidden/>
          </w:rPr>
          <w:tab/>
        </w:r>
        <w:r>
          <w:rPr>
            <w:noProof/>
            <w:webHidden/>
          </w:rPr>
          <w:fldChar w:fldCharType="begin"/>
        </w:r>
        <w:r>
          <w:rPr>
            <w:noProof/>
            <w:webHidden/>
          </w:rPr>
          <w:instrText xml:space="preserve"> PAGEREF _Toc116580649 \h </w:instrText>
        </w:r>
        <w:r>
          <w:rPr>
            <w:noProof/>
            <w:webHidden/>
          </w:rPr>
        </w:r>
        <w:r>
          <w:rPr>
            <w:noProof/>
            <w:webHidden/>
          </w:rPr>
          <w:fldChar w:fldCharType="separate"/>
        </w:r>
        <w:r>
          <w:rPr>
            <w:noProof/>
            <w:webHidden/>
          </w:rPr>
          <w:t>2</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50" w:history="1">
        <w:r>
          <w:rPr>
            <w:rStyle w:val="Collegamentoipertestuale"/>
            <w:noProof/>
          </w:rPr>
          <w:t>Lista aziende</w:t>
        </w:r>
        <w:r>
          <w:rPr>
            <w:noProof/>
            <w:webHidden/>
          </w:rPr>
          <w:tab/>
        </w:r>
        <w:r>
          <w:rPr>
            <w:noProof/>
            <w:webHidden/>
          </w:rPr>
          <w:fldChar w:fldCharType="begin"/>
        </w:r>
        <w:r>
          <w:rPr>
            <w:noProof/>
            <w:webHidden/>
          </w:rPr>
          <w:instrText xml:space="preserve"> PAGEREF _Toc116580650 \h </w:instrText>
        </w:r>
        <w:r>
          <w:rPr>
            <w:noProof/>
            <w:webHidden/>
          </w:rPr>
        </w:r>
        <w:r>
          <w:rPr>
            <w:noProof/>
            <w:webHidden/>
          </w:rPr>
          <w:fldChar w:fldCharType="separate"/>
        </w:r>
        <w:r>
          <w:rPr>
            <w:noProof/>
            <w:webHidden/>
          </w:rPr>
          <w:t>2</w:t>
        </w:r>
        <w:r>
          <w:rPr>
            <w:noProof/>
            <w:webHidden/>
          </w:rPr>
          <w:fldChar w:fldCharType="end"/>
        </w:r>
      </w:hyperlink>
    </w:p>
    <w:p>
      <w:pPr>
        <w:pStyle w:val="Sommario4"/>
        <w:rPr>
          <w:rFonts w:asciiTheme="minorHAnsi" w:eastAsiaTheme="minorEastAsia" w:hAnsiTheme="minorHAnsi" w:cstheme="minorBidi"/>
          <w:i w:val="0"/>
          <w:sz w:val="22"/>
          <w:szCs w:val="22"/>
        </w:rPr>
      </w:pPr>
      <w:hyperlink w:anchor="_Toc116580651" w:history="1">
        <w:r>
          <w:rPr>
            <w:rStyle w:val="Collegamentoipertestuale"/>
          </w:rPr>
          <w:t>TELBON</w:t>
        </w:r>
        <w:r>
          <w:rPr>
            <w:webHidden/>
          </w:rPr>
          <w:tab/>
        </w:r>
        <w:r>
          <w:rPr>
            <w:webHidden/>
          </w:rPr>
          <w:fldChar w:fldCharType="begin"/>
        </w:r>
        <w:r>
          <w:rPr>
            <w:webHidden/>
          </w:rPr>
          <w:instrText xml:space="preserve"> PAGEREF _Toc116580651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116580652" w:history="1">
        <w:r>
          <w:rPr>
            <w:rStyle w:val="Collegamentoipertestuale"/>
          </w:rPr>
          <w:t>BUDGET – Costo stagisti e tirocinanti</w:t>
        </w:r>
        <w:r>
          <w:rPr>
            <w:webHidden/>
          </w:rPr>
          <w:tab/>
        </w:r>
        <w:r>
          <w:rPr>
            <w:webHidden/>
          </w:rPr>
          <w:fldChar w:fldCharType="begin"/>
        </w:r>
        <w:r>
          <w:rPr>
            <w:webHidden/>
          </w:rPr>
          <w:instrText xml:space="preserve"> PAGEREF _Toc116580652 \h </w:instrText>
        </w:r>
        <w:r>
          <w:rPr>
            <w:webHidden/>
          </w:rPr>
        </w:r>
        <w:r>
          <w:rPr>
            <w:webHidden/>
          </w:rPr>
          <w:fldChar w:fldCharType="separate"/>
        </w:r>
        <w:r>
          <w:rPr>
            <w:webHidden/>
          </w:rPr>
          <w:t>3</w:t>
        </w:r>
        <w:r>
          <w:rPr>
            <w:webHidden/>
          </w:rPr>
          <w:fldChar w:fldCharType="end"/>
        </w:r>
      </w:hyperlink>
    </w:p>
    <w:p>
      <w:pPr>
        <w:pStyle w:val="Sommario4"/>
        <w:rPr>
          <w:rFonts w:asciiTheme="minorHAnsi" w:eastAsiaTheme="minorEastAsia" w:hAnsiTheme="minorHAnsi" w:cstheme="minorBidi"/>
          <w:i w:val="0"/>
          <w:sz w:val="22"/>
          <w:szCs w:val="22"/>
        </w:rPr>
      </w:pPr>
      <w:hyperlink w:anchor="_Toc116580653" w:history="1">
        <w:r>
          <w:rPr>
            <w:rStyle w:val="Collegamentoipertestuale"/>
          </w:rPr>
          <w:t>Anomalie corrette Bug-Fix 2022.2.6a del 27.09.2022</w:t>
        </w:r>
        <w:r>
          <w:rPr>
            <w:webHidden/>
          </w:rPr>
          <w:tab/>
        </w:r>
        <w:r>
          <w:rPr>
            <w:webHidden/>
          </w:rPr>
          <w:fldChar w:fldCharType="begin"/>
        </w:r>
        <w:r>
          <w:rPr>
            <w:webHidden/>
          </w:rPr>
          <w:instrText xml:space="preserve"> PAGEREF _Toc116580653 \h </w:instrText>
        </w:r>
        <w:r>
          <w:rPr>
            <w:webHidden/>
          </w:rPr>
        </w:r>
        <w:r>
          <w:rPr>
            <w:webHidden/>
          </w:rPr>
          <w:fldChar w:fldCharType="separate"/>
        </w:r>
        <w:r>
          <w:rPr>
            <w:webHidden/>
          </w:rPr>
          <w:t>3</w:t>
        </w:r>
        <w:r>
          <w:rPr>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54" w:history="1">
        <w:r>
          <w:rPr>
            <w:rStyle w:val="Collegamentoipertestuale"/>
            <w:noProof/>
          </w:rPr>
          <w:t>STPARI – Rapporto periodico pari opportunità</w:t>
        </w:r>
        <w:r>
          <w:rPr>
            <w:noProof/>
            <w:webHidden/>
          </w:rPr>
          <w:tab/>
        </w:r>
        <w:r>
          <w:rPr>
            <w:noProof/>
            <w:webHidden/>
          </w:rPr>
          <w:fldChar w:fldCharType="begin"/>
        </w:r>
        <w:r>
          <w:rPr>
            <w:noProof/>
            <w:webHidden/>
          </w:rPr>
          <w:instrText xml:space="preserve"> PAGEREF _Toc116580654 \h </w:instrText>
        </w:r>
        <w:r>
          <w:rPr>
            <w:noProof/>
            <w:webHidden/>
          </w:rPr>
        </w:r>
        <w:r>
          <w:rPr>
            <w:noProof/>
            <w:webHidden/>
          </w:rPr>
          <w:fldChar w:fldCharType="separate"/>
        </w:r>
        <w:r>
          <w:rPr>
            <w:noProof/>
            <w:webHidden/>
          </w:rPr>
          <w:t>3</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55" w:history="1">
        <w:r>
          <w:rPr>
            <w:rStyle w:val="Collegamentoipertestuale"/>
            <w:noProof/>
          </w:rPr>
          <w:t>QUADR – Denuncia UniEmens settembre 2022</w:t>
        </w:r>
        <w:r>
          <w:rPr>
            <w:noProof/>
            <w:webHidden/>
          </w:rPr>
          <w:tab/>
        </w:r>
        <w:r>
          <w:rPr>
            <w:noProof/>
            <w:webHidden/>
          </w:rPr>
          <w:fldChar w:fldCharType="begin"/>
        </w:r>
        <w:r>
          <w:rPr>
            <w:noProof/>
            <w:webHidden/>
          </w:rPr>
          <w:instrText xml:space="preserve"> PAGEREF _Toc116580655 \h </w:instrText>
        </w:r>
        <w:r>
          <w:rPr>
            <w:noProof/>
            <w:webHidden/>
          </w:rPr>
        </w:r>
        <w:r>
          <w:rPr>
            <w:noProof/>
            <w:webHidden/>
          </w:rPr>
          <w:fldChar w:fldCharType="separate"/>
        </w:r>
        <w:r>
          <w:rPr>
            <w:noProof/>
            <w:webHidden/>
          </w:rPr>
          <w:t>3</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56" w:history="1">
        <w:r>
          <w:rPr>
            <w:rStyle w:val="Collegamentoipertestuale"/>
            <w:noProof/>
          </w:rPr>
          <w:t>CEDOL – Esposizione contributo f.do solidarietà</w:t>
        </w:r>
        <w:r>
          <w:rPr>
            <w:noProof/>
            <w:webHidden/>
          </w:rPr>
          <w:tab/>
        </w:r>
        <w:r>
          <w:rPr>
            <w:noProof/>
            <w:webHidden/>
          </w:rPr>
          <w:fldChar w:fldCharType="begin"/>
        </w:r>
        <w:r>
          <w:rPr>
            <w:noProof/>
            <w:webHidden/>
          </w:rPr>
          <w:instrText xml:space="preserve"> PAGEREF _Toc116580656 \h </w:instrText>
        </w:r>
        <w:r>
          <w:rPr>
            <w:noProof/>
            <w:webHidden/>
          </w:rPr>
        </w:r>
        <w:r>
          <w:rPr>
            <w:noProof/>
            <w:webHidden/>
          </w:rPr>
          <w:fldChar w:fldCharType="separate"/>
        </w:r>
        <w:r>
          <w:rPr>
            <w:noProof/>
            <w:webHidden/>
          </w:rPr>
          <w:t>3</w:t>
        </w:r>
        <w:r>
          <w:rPr>
            <w:noProof/>
            <w:webHidden/>
          </w:rPr>
          <w:fldChar w:fldCharType="end"/>
        </w:r>
      </w:hyperlink>
    </w:p>
    <w:p>
      <w:pPr>
        <w:pStyle w:val="Sommario4"/>
        <w:rPr>
          <w:rFonts w:asciiTheme="minorHAnsi" w:eastAsiaTheme="minorEastAsia" w:hAnsiTheme="minorHAnsi" w:cstheme="minorBidi"/>
          <w:i w:val="0"/>
          <w:sz w:val="22"/>
          <w:szCs w:val="22"/>
        </w:rPr>
      </w:pPr>
      <w:hyperlink w:anchor="_Toc116580657" w:history="1">
        <w:r>
          <w:rPr>
            <w:rStyle w:val="Collegamentoipertestuale"/>
          </w:rPr>
          <w:t>Anomalie corrette Bug-Fix 2022.2.6b del 05.10.2022</w:t>
        </w:r>
        <w:r>
          <w:rPr>
            <w:webHidden/>
          </w:rPr>
          <w:tab/>
        </w:r>
        <w:r>
          <w:rPr>
            <w:webHidden/>
          </w:rPr>
          <w:fldChar w:fldCharType="begin"/>
        </w:r>
        <w:r>
          <w:rPr>
            <w:webHidden/>
          </w:rPr>
          <w:instrText xml:space="preserve"> PAGEREF _Toc116580657 \h </w:instrText>
        </w:r>
        <w:r>
          <w:rPr>
            <w:webHidden/>
          </w:rPr>
        </w:r>
        <w:r>
          <w:rPr>
            <w:webHidden/>
          </w:rPr>
          <w:fldChar w:fldCharType="separate"/>
        </w:r>
        <w:r>
          <w:rPr>
            <w:webHidden/>
          </w:rPr>
          <w:t>4</w:t>
        </w:r>
        <w:r>
          <w:rPr>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58" w:history="1">
        <w:r>
          <w:rPr>
            <w:rStyle w:val="Collegamentoipertestuale"/>
            <w:noProof/>
          </w:rPr>
          <w:t>UTY2225 – Azienda con diverse posizioni contributive</w:t>
        </w:r>
        <w:r>
          <w:rPr>
            <w:noProof/>
            <w:webHidden/>
          </w:rPr>
          <w:tab/>
        </w:r>
        <w:r>
          <w:rPr>
            <w:noProof/>
            <w:webHidden/>
          </w:rPr>
          <w:fldChar w:fldCharType="begin"/>
        </w:r>
        <w:r>
          <w:rPr>
            <w:noProof/>
            <w:webHidden/>
          </w:rPr>
          <w:instrText xml:space="preserve"> PAGEREF _Toc116580658 \h </w:instrText>
        </w:r>
        <w:r>
          <w:rPr>
            <w:noProof/>
            <w:webHidden/>
          </w:rPr>
        </w:r>
        <w:r>
          <w:rPr>
            <w:noProof/>
            <w:webHidden/>
          </w:rPr>
          <w:fldChar w:fldCharType="separate"/>
        </w:r>
        <w:r>
          <w:rPr>
            <w:noProof/>
            <w:webHidden/>
          </w:rPr>
          <w:t>4</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59" w:history="1">
        <w:r>
          <w:rPr>
            <w:rStyle w:val="Collegamentoipertestuale"/>
            <w:noProof/>
          </w:rPr>
          <w:t>UTY2225 – Dipendenti con passaggio di filiale</w:t>
        </w:r>
        <w:r>
          <w:rPr>
            <w:noProof/>
            <w:webHidden/>
          </w:rPr>
          <w:tab/>
        </w:r>
        <w:r>
          <w:rPr>
            <w:noProof/>
            <w:webHidden/>
          </w:rPr>
          <w:fldChar w:fldCharType="begin"/>
        </w:r>
        <w:r>
          <w:rPr>
            <w:noProof/>
            <w:webHidden/>
          </w:rPr>
          <w:instrText xml:space="preserve"> PAGEREF _Toc116580659 \h </w:instrText>
        </w:r>
        <w:r>
          <w:rPr>
            <w:noProof/>
            <w:webHidden/>
          </w:rPr>
        </w:r>
        <w:r>
          <w:rPr>
            <w:noProof/>
            <w:webHidden/>
          </w:rPr>
          <w:fldChar w:fldCharType="separate"/>
        </w:r>
        <w:r>
          <w:rPr>
            <w:noProof/>
            <w:webHidden/>
          </w:rPr>
          <w:t>4</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60" w:history="1">
        <w:r>
          <w:rPr>
            <w:rStyle w:val="Collegamentoipertestuale"/>
            <w:noProof/>
          </w:rPr>
          <w:t>UTY2225 – Cooperative agricole L. 240/84</w:t>
        </w:r>
        <w:r>
          <w:rPr>
            <w:noProof/>
            <w:webHidden/>
          </w:rPr>
          <w:tab/>
        </w:r>
        <w:r>
          <w:rPr>
            <w:noProof/>
            <w:webHidden/>
          </w:rPr>
          <w:fldChar w:fldCharType="begin"/>
        </w:r>
        <w:r>
          <w:rPr>
            <w:noProof/>
            <w:webHidden/>
          </w:rPr>
          <w:instrText xml:space="preserve"> PAGEREF _Toc116580660 \h </w:instrText>
        </w:r>
        <w:r>
          <w:rPr>
            <w:noProof/>
            <w:webHidden/>
          </w:rPr>
        </w:r>
        <w:r>
          <w:rPr>
            <w:noProof/>
            <w:webHidden/>
          </w:rPr>
          <w:fldChar w:fldCharType="separate"/>
        </w:r>
        <w:r>
          <w:rPr>
            <w:noProof/>
            <w:webHidden/>
          </w:rPr>
          <w:t>4</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61" w:history="1">
        <w:r>
          <w:rPr>
            <w:rStyle w:val="Collegamentoipertestuale"/>
            <w:noProof/>
          </w:rPr>
          <w:t>UTY2225 – Arretrati FIC/CIGO/CIGS in caso con imponibile negativo</w:t>
        </w:r>
        <w:r>
          <w:rPr>
            <w:noProof/>
            <w:webHidden/>
          </w:rPr>
          <w:tab/>
        </w:r>
        <w:r>
          <w:rPr>
            <w:noProof/>
            <w:webHidden/>
          </w:rPr>
          <w:fldChar w:fldCharType="begin"/>
        </w:r>
        <w:r>
          <w:rPr>
            <w:noProof/>
            <w:webHidden/>
          </w:rPr>
          <w:instrText xml:space="preserve"> PAGEREF _Toc116580661 \h </w:instrText>
        </w:r>
        <w:r>
          <w:rPr>
            <w:noProof/>
            <w:webHidden/>
          </w:rPr>
        </w:r>
        <w:r>
          <w:rPr>
            <w:noProof/>
            <w:webHidden/>
          </w:rPr>
          <w:fldChar w:fldCharType="separate"/>
        </w:r>
        <w:r>
          <w:rPr>
            <w:noProof/>
            <w:webHidden/>
          </w:rPr>
          <w:t>5</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116580662" w:history="1">
        <w:r>
          <w:rPr>
            <w:rStyle w:val="Collegamentoipertestuale"/>
            <w:noProof/>
          </w:rPr>
          <w:t>STPARI – Rapporto periodico pari opportunità</w:t>
        </w:r>
        <w:r>
          <w:rPr>
            <w:noProof/>
            <w:webHidden/>
          </w:rPr>
          <w:tab/>
        </w:r>
        <w:r>
          <w:rPr>
            <w:noProof/>
            <w:webHidden/>
          </w:rPr>
          <w:fldChar w:fldCharType="begin"/>
        </w:r>
        <w:r>
          <w:rPr>
            <w:noProof/>
            <w:webHidden/>
          </w:rPr>
          <w:instrText xml:space="preserve"> PAGEREF _Toc116580662 \h </w:instrText>
        </w:r>
        <w:r>
          <w:rPr>
            <w:noProof/>
            <w:webHidden/>
          </w:rPr>
        </w:r>
        <w:r>
          <w:rPr>
            <w:noProof/>
            <w:webHidden/>
          </w:rPr>
          <w:fldChar w:fldCharType="separate"/>
        </w:r>
        <w:r>
          <w:rPr>
            <w:noProof/>
            <w:webHidden/>
          </w:rPr>
          <w:t>5</w:t>
        </w:r>
        <w:r>
          <w:rPr>
            <w:noProof/>
            <w:webHidden/>
          </w:rPr>
          <w:fldChar w:fldCharType="end"/>
        </w:r>
      </w:hyperlink>
    </w:p>
    <w:p>
      <w:pPr>
        <w:pStyle w:val="corpoAltF"/>
        <w:rPr>
          <w:rStyle w:val="Collegamentoipertestuale"/>
          <w:i/>
          <w:iCs/>
          <w:noProof/>
          <w:color w:val="auto"/>
          <w:spacing w:val="-20"/>
          <w:szCs w:val="28"/>
          <w:u w:val="none"/>
        </w:rPr>
      </w:pPr>
      <w:r>
        <w:rPr>
          <w:rStyle w:val="Collegamentoipertestuale"/>
          <w:b/>
          <w:i/>
          <w:iCs/>
          <w:noProof/>
          <w:color w:val="auto"/>
          <w:spacing w:val="-20"/>
          <w:szCs w:val="28"/>
          <w:u w:val="none"/>
        </w:rPr>
        <w:fldChar w:fldCharType="end"/>
      </w:r>
    </w:p>
    <w:p>
      <w:pPr>
        <w:pStyle w:val="Ignora"/>
      </w:pPr>
    </w:p>
    <w:p>
      <w:pPr>
        <w:pStyle w:val="Ignora"/>
      </w:pPr>
    </w:p>
    <w:p>
      <w:pPr>
        <w:pStyle w:val="Ignora"/>
        <w:sectPr>
          <w:headerReference w:type="default" r:id="rId9"/>
          <w:footerReference w:type="default" r:id="rId10"/>
          <w:pgSz w:w="11907" w:h="16840" w:code="9"/>
          <w:pgMar w:top="567" w:right="1134" w:bottom="1134" w:left="1134" w:header="397" w:footer="397" w:gutter="0"/>
          <w:pgNumType w:chapStyle="1" w:chapSep="period"/>
          <w:cols w:space="720"/>
          <w:noEndnote/>
        </w:sectPr>
      </w:pPr>
    </w:p>
    <w:p>
      <w:pPr>
        <w:pStyle w:val="CorpoAltF0"/>
      </w:pPr>
      <w:bookmarkStart w:id="2" w:name="_Toc109737667"/>
      <w:bookmarkEnd w:id="0"/>
    </w:p>
    <w:p>
      <w:pPr>
        <w:pStyle w:val="TS-titolo-04"/>
      </w:pPr>
      <w:bookmarkStart w:id="3" w:name="_Toc116580642"/>
      <w:r>
        <w:t>QUADR – Compilazione denuncia UniEmens e delega F24</w:t>
      </w:r>
      <w:bookmarkEnd w:id="3"/>
    </w:p>
    <w:p>
      <w:pPr>
        <w:pStyle w:val="CorpoAltF0"/>
        <w:rPr>
          <w:u w:val="single"/>
        </w:rPr>
      </w:pPr>
      <w:r>
        <w:rPr>
          <w:u w:val="single"/>
        </w:rPr>
        <w:t>Casistica:</w:t>
      </w:r>
    </w:p>
    <w:p>
      <w:pPr>
        <w:pStyle w:val="CorpoAltF0"/>
        <w:numPr>
          <w:ilvl w:val="0"/>
          <w:numId w:val="26"/>
        </w:numPr>
        <w:spacing w:before="120"/>
        <w:ind w:left="284" w:hanging="284"/>
      </w:pPr>
      <w:r>
        <w:t xml:space="preserve">Crediti di contribuzione CIGS originati a seguito del calcolo degli arretrati FIS/CIGO/CIGS per il periodo gennaio-giugno 2022 (comando </w:t>
      </w:r>
      <w:r>
        <w:rPr>
          <w:b/>
          <w:bCs/>
        </w:rPr>
        <w:t>UTY2225</w:t>
      </w:r>
      <w:r>
        <w:t>);</w:t>
      </w:r>
    </w:p>
    <w:p>
      <w:pPr>
        <w:pStyle w:val="CorpoAltF0"/>
        <w:numPr>
          <w:ilvl w:val="0"/>
          <w:numId w:val="26"/>
        </w:numPr>
        <w:spacing w:before="120"/>
        <w:ind w:left="284" w:hanging="284"/>
      </w:pPr>
      <w:r>
        <w:t>presenza, per almeno un dipendente, di un debito “CF02” (Arretrato TFR a Fondo Tesoreria).</w:t>
      </w:r>
    </w:p>
    <w:p>
      <w:pPr>
        <w:pStyle w:val="CorpoAltF0"/>
        <w:spacing w:before="120"/>
      </w:pPr>
      <w:r>
        <w:t>In alcuni casi, in presenza della casistica sopra descritta, il programma, in fase di quadratura della mensilità, poteva riportare in denuncia UniEmens ed in delega F24, un maggior importo di contribuzione da versare, pari al valore del debito “CF02”.</w:t>
      </w:r>
    </w:p>
    <w:p>
      <w:pPr>
        <w:pStyle w:val="CorpoAltF0"/>
        <w:spacing w:before="120"/>
      </w:pPr>
      <w:r>
        <w:t>In presenza della casistica in questione, si raccomanda di ripetere la quadratura della mensilità di settembre 2022 dopo l’installazione del presente aggiornamento.</w:t>
      </w:r>
    </w:p>
    <w:p>
      <w:pPr>
        <w:pStyle w:val="CorpoAltF0"/>
      </w:pPr>
    </w:p>
    <w:p>
      <w:pPr>
        <w:pStyle w:val="TS-titolo-04"/>
      </w:pPr>
      <w:bookmarkStart w:id="4" w:name="_Toc116562887"/>
      <w:bookmarkStart w:id="5" w:name="_Toc116580643"/>
      <w:r>
        <w:t>STPARI</w:t>
      </w:r>
      <w:bookmarkEnd w:id="4"/>
      <w:bookmarkEnd w:id="5"/>
    </w:p>
    <w:p>
      <w:pPr>
        <w:pStyle w:val="TS-titolo-05"/>
      </w:pPr>
      <w:bookmarkStart w:id="6" w:name="_Toc116562888"/>
      <w:bookmarkStart w:id="7" w:name="_Toc116580644"/>
      <w:r>
        <w:t>Descrizione personalizzata dei ratei di premio</w:t>
      </w:r>
      <w:bookmarkEnd w:id="6"/>
      <w:bookmarkEnd w:id="7"/>
      <w:r>
        <w:t xml:space="preserve"> </w:t>
      </w:r>
    </w:p>
    <w:p>
      <w:pPr>
        <w:pStyle w:val="CorpoAltF0"/>
        <w:spacing w:before="60"/>
      </w:pPr>
      <w:r>
        <w:t>Nel caso in cui si indicava una descrizione personalizzata dei ratei di premio (scheda “</w:t>
      </w:r>
      <w:r>
        <w:rPr>
          <w:i/>
          <w:iCs/>
        </w:rPr>
        <w:t>Descrizione premi</w:t>
      </w:r>
      <w:r>
        <w:t xml:space="preserve">” di </w:t>
      </w:r>
      <w:r>
        <w:rPr>
          <w:b/>
          <w:bCs/>
        </w:rPr>
        <w:t>AZIE</w:t>
      </w:r>
      <w:r>
        <w:t xml:space="preserve"> &gt; scheda “</w:t>
      </w:r>
      <w:r>
        <w:rPr>
          <w:i/>
          <w:iCs/>
        </w:rPr>
        <w:t>Dati contrattuali</w:t>
      </w:r>
      <w:r>
        <w:t>” &gt; pulsante “</w:t>
      </w:r>
      <w:r>
        <w:rPr>
          <w:i/>
          <w:iCs/>
        </w:rPr>
        <w:t>Ratei/Differimento</w:t>
      </w:r>
      <w:r>
        <w:t>”) il programma non esponeva in maniera corretta tale descrizione all’interno del pulsante “</w:t>
      </w:r>
      <w:r>
        <w:rPr>
          <w:i/>
          <w:iCs/>
        </w:rPr>
        <w:t>Pari opportunità</w:t>
      </w:r>
      <w:r>
        <w:t xml:space="preserve">” di </w:t>
      </w:r>
      <w:r>
        <w:rPr>
          <w:b/>
          <w:bCs/>
        </w:rPr>
        <w:t>AZIE</w:t>
      </w:r>
      <w:r>
        <w:t>.</w:t>
      </w:r>
    </w:p>
    <w:p>
      <w:pPr>
        <w:pStyle w:val="TS-titolo-05"/>
      </w:pPr>
      <w:bookmarkStart w:id="8" w:name="_Toc116562889"/>
      <w:bookmarkStart w:id="9" w:name="_Toc116580645"/>
      <w:r>
        <w:t>Report “2.3a – Occupati per categoria e tipo contratto”</w:t>
      </w:r>
      <w:bookmarkEnd w:id="8"/>
      <w:bookmarkEnd w:id="9"/>
    </w:p>
    <w:p>
      <w:pPr>
        <w:pStyle w:val="CorpoAltF0"/>
        <w:spacing w:before="60"/>
      </w:pPr>
      <w:r>
        <w:t xml:space="preserve">Nel rigo relativo all’intestazione della specifica tipologia di contratto il programma riportava nelle colonne relative la qualifica il valore riferito al primo dipendente della sezione. </w:t>
      </w:r>
    </w:p>
    <w:p>
      <w:pPr>
        <w:pStyle w:val="CorpoAltF0"/>
        <w:spacing w:before="60"/>
      </w:pPr>
      <w:r>
        <w:t>Si precisa che il totale del numero dei dipendenti risultava comunque corretto.</w:t>
      </w:r>
    </w:p>
    <w:p>
      <w:pPr>
        <w:pStyle w:val="CorpoAltF0"/>
      </w:pPr>
    </w:p>
    <w:p>
      <w:pPr>
        <w:pStyle w:val="TS-titolo-04"/>
      </w:pPr>
      <w:bookmarkStart w:id="10" w:name="_Toc116580646"/>
      <w:r>
        <w:t>CEDOL</w:t>
      </w:r>
      <w:bookmarkEnd w:id="10"/>
    </w:p>
    <w:p>
      <w:pPr>
        <w:pStyle w:val="TS-titolo-05"/>
      </w:pPr>
      <w:bookmarkStart w:id="11" w:name="_Toc116580647"/>
      <w:bookmarkEnd w:id="2"/>
      <w:r>
        <w:t>COLF</w:t>
      </w:r>
      <w:bookmarkEnd w:id="11"/>
    </w:p>
    <w:p>
      <w:pPr>
        <w:pStyle w:val="CorpoAltF0"/>
        <w:spacing w:before="120"/>
      </w:pPr>
      <w:r>
        <w:t>In presenza di un evento a cavallo di mese che prevede l’integrazione della ditta, il programma non considerava nelle ore retribuite (</w:t>
      </w:r>
      <w:r>
        <w:rPr>
          <w:b/>
          <w:bCs/>
        </w:rPr>
        <w:t>DIPE</w:t>
      </w:r>
      <w:r>
        <w:t xml:space="preserve"> &gt; “</w:t>
      </w:r>
      <w:r>
        <w:rPr>
          <w:i/>
          <w:iCs/>
        </w:rPr>
        <w:t>Altri dati &gt; Contributi COLF</w:t>
      </w:r>
      <w:r>
        <w:t>”), utili al calcolo della contribuzione, quelle relative all’evento ricadenti nella prima parte della settimana a cavallo.</w:t>
      </w:r>
    </w:p>
    <w:p>
      <w:pPr>
        <w:pStyle w:val="CorpoAltF0"/>
      </w:pPr>
    </w:p>
    <w:p>
      <w:pPr>
        <w:pStyle w:val="TS-titolo-04"/>
      </w:pPr>
      <w:bookmarkStart w:id="12" w:name="_Toc116580648"/>
      <w:r>
        <w:t>PSQUA &gt; Stampa primanota</w:t>
      </w:r>
      <w:bookmarkEnd w:id="12"/>
    </w:p>
    <w:p>
      <w:pPr>
        <w:pStyle w:val="TS-titolo-05"/>
      </w:pPr>
      <w:bookmarkStart w:id="13" w:name="_Toc116580649"/>
      <w:r>
        <w:t>Stampa con ordinamento</w:t>
      </w:r>
      <w:bookmarkEnd w:id="13"/>
    </w:p>
    <w:p>
      <w:pPr>
        <w:pStyle w:val="CorpoAltF0"/>
        <w:spacing w:before="120"/>
      </w:pPr>
      <w:r>
        <w:t xml:space="preserve">Nel caso di esecuzione della scelta in oggetto del comando </w:t>
      </w:r>
      <w:r>
        <w:rPr>
          <w:b/>
          <w:bCs/>
        </w:rPr>
        <w:t>PSQUA</w:t>
      </w:r>
      <w:r>
        <w:t xml:space="preserve"> con ordinamento per matricola e per reparto, selezionando un unico reparto, il programma non riportava in stampa il contributo di solidarietà 10% da enti da versare.</w:t>
      </w:r>
    </w:p>
    <w:p>
      <w:pPr>
        <w:pStyle w:val="TS-titolo-05"/>
      </w:pPr>
      <w:bookmarkStart w:id="14" w:name="_Toc116580650"/>
      <w:r>
        <w:t>Lista aziende</w:t>
      </w:r>
      <w:bookmarkEnd w:id="14"/>
    </w:p>
    <w:p>
      <w:pPr>
        <w:pStyle w:val="CorpoAltF0"/>
        <w:spacing w:before="120"/>
      </w:pPr>
      <w:r>
        <w:t xml:space="preserve">Nel caso di esecuzione della scelta in oggetto del comando </w:t>
      </w:r>
      <w:r>
        <w:rPr>
          <w:b/>
          <w:bCs/>
        </w:rPr>
        <w:t>PSQUA</w:t>
      </w:r>
      <w:r>
        <w:t xml:space="preserve"> con selezione delle aziende da elaborare mediante indicazione di una lista (“</w:t>
      </w:r>
      <w:r>
        <w:rPr>
          <w:i/>
        </w:rPr>
        <w:t>sF4 Lista Aziende</w:t>
      </w:r>
      <w:r>
        <w:t>” ai campi “</w:t>
      </w:r>
      <w:r>
        <w:rPr>
          <w:i/>
        </w:rPr>
        <w:t>Da Azienda / Ad Azienda</w:t>
      </w:r>
      <w:r>
        <w:t>”), se veniva aggiunta un’azienda alla lista da elaborare, confermando la selezione il programma terminava in errore.</w:t>
      </w:r>
    </w:p>
    <w:p>
      <w:pPr>
        <w:pStyle w:val="CorpoAltF0"/>
      </w:pPr>
    </w:p>
    <w:p>
      <w:pPr>
        <w:pStyle w:val="TS-titolo-04"/>
      </w:pPr>
      <w:bookmarkStart w:id="15" w:name="_Toc116562886"/>
      <w:bookmarkStart w:id="16" w:name="_Toc116580651"/>
      <w:r>
        <w:t>TELBON</w:t>
      </w:r>
      <w:bookmarkEnd w:id="15"/>
      <w:bookmarkEnd w:id="16"/>
      <w:r>
        <w:t xml:space="preserve"> </w:t>
      </w:r>
    </w:p>
    <w:p>
      <w:pPr>
        <w:pStyle w:val="CorpoAltF0"/>
        <w:spacing w:before="120"/>
      </w:pPr>
      <w:r>
        <w:t>Effettuando l’elaborazione con riferimento a più enti/sindacati/fondi contemporaneamente e alcuni di essi con indicazione del debitore effettivo (valorizzazione del campo “</w:t>
      </w:r>
      <w:r>
        <w:rPr>
          <w:i/>
          <w:iCs/>
        </w:rPr>
        <w:t>Debitore effettivo</w:t>
      </w:r>
      <w:r>
        <w:t>” presente nel pulsante “</w:t>
      </w:r>
      <w:r>
        <w:rPr>
          <w:i/>
          <w:iCs/>
        </w:rPr>
        <w:t>Bonifici</w:t>
      </w:r>
      <w:r>
        <w:t xml:space="preserve">” di </w:t>
      </w:r>
      <w:r>
        <w:rPr>
          <w:b/>
          <w:bCs/>
        </w:rPr>
        <w:t>TB0305</w:t>
      </w:r>
      <w:r>
        <w:t>/</w:t>
      </w:r>
      <w:r>
        <w:rPr>
          <w:b/>
          <w:bCs/>
        </w:rPr>
        <w:t>TB0801</w:t>
      </w:r>
      <w:r>
        <w:t>/</w:t>
      </w:r>
      <w:r>
        <w:rPr>
          <w:b/>
          <w:bCs/>
        </w:rPr>
        <w:t>TB1001</w:t>
      </w:r>
      <w:r>
        <w:t>/</w:t>
      </w:r>
      <w:r>
        <w:rPr>
          <w:b/>
          <w:bCs/>
        </w:rPr>
        <w:t>TB0013</w:t>
      </w:r>
      <w:r>
        <w:t>) il programma non generava in maniera corretta il flusso telematico.</w:t>
      </w:r>
    </w:p>
    <w:p>
      <w:pPr>
        <w:pStyle w:val="CorpoAltF0"/>
      </w:pPr>
      <w:r>
        <w:br w:type="page"/>
      </w:r>
    </w:p>
    <w:p>
      <w:pPr>
        <w:pStyle w:val="CorpoAltF0"/>
      </w:pPr>
    </w:p>
    <w:p>
      <w:pPr>
        <w:pStyle w:val="TS-titolo-04"/>
      </w:pPr>
      <w:bookmarkStart w:id="17" w:name="_Toc116550648"/>
      <w:bookmarkStart w:id="18" w:name="_Toc116580652"/>
      <w:r>
        <w:t>BUDGET – Costo stagisti e tirocinanti</w:t>
      </w:r>
      <w:bookmarkEnd w:id="17"/>
      <w:bookmarkEnd w:id="18"/>
    </w:p>
    <w:p>
      <w:pPr>
        <w:pStyle w:val="CorpoAltF0"/>
        <w:spacing w:before="120"/>
      </w:pPr>
      <w:r>
        <w:t>Successivamente al termine del rapporto di stage o tirocinio (presenza del codice 9 e non più del codice 1 al campo “</w:t>
      </w:r>
      <w:r>
        <w:rPr>
          <w:i/>
          <w:iCs/>
        </w:rPr>
        <w:t>Stato dipendente</w:t>
      </w:r>
      <w:r>
        <w:t xml:space="preserve">” di </w:t>
      </w:r>
      <w:r>
        <w:rPr>
          <w:b/>
          <w:bCs/>
        </w:rPr>
        <w:t>DIPE</w:t>
      </w:r>
      <w:r>
        <w:t xml:space="preserve"> &gt; “</w:t>
      </w:r>
      <w:r>
        <w:rPr>
          <w:i/>
          <w:iCs/>
        </w:rPr>
        <w:t>Dati generali</w:t>
      </w:r>
      <w:r>
        <w:t>”), il costo degli stagisti/tirocinanti cessati non veniva evidenziato distintamente ma computato nel costo dei lavoratori dipendenti.</w:t>
      </w:r>
    </w:p>
    <w:p>
      <w:pPr>
        <w:pStyle w:val="CorpoAltF0"/>
      </w:pPr>
    </w:p>
    <w:p>
      <w:pPr>
        <w:pStyle w:val="TS-titolo-04"/>
      </w:pPr>
      <w:bookmarkStart w:id="19" w:name="_Toc116562890"/>
      <w:bookmarkStart w:id="20" w:name="_Toc116580653"/>
      <w:r>
        <w:t>Anomalie corrette Bug-Fix 2022.2.6a del 27.09.2022</w:t>
      </w:r>
      <w:bookmarkEnd w:id="19"/>
      <w:bookmarkEnd w:id="20"/>
    </w:p>
    <w:p>
      <w:pPr>
        <w:pStyle w:val="TS-titolo-05"/>
      </w:pPr>
      <w:bookmarkStart w:id="21" w:name="_Toc116562891"/>
      <w:bookmarkStart w:id="22" w:name="_Toc116580654"/>
      <w:r>
        <w:t>STPARI – Rapporto periodico pari opportunità</w:t>
      </w:r>
      <w:bookmarkEnd w:id="21"/>
      <w:bookmarkEnd w:id="22"/>
    </w:p>
    <w:p>
      <w:pPr>
        <w:pStyle w:val="CorpoAltF0"/>
        <w:spacing w:before="60"/>
        <w:rPr>
          <w:i/>
          <w:iCs/>
          <w:u w:val="single"/>
        </w:rPr>
      </w:pPr>
      <w:r>
        <w:rPr>
          <w:i/>
          <w:iCs/>
          <w:u w:val="single"/>
        </w:rPr>
        <w:t>Report “2.1 – Occupazione totale a fine periodo”</w:t>
      </w:r>
    </w:p>
    <w:p>
      <w:pPr>
        <w:pStyle w:val="CorpoAltF0"/>
        <w:spacing w:before="60"/>
      </w:pPr>
      <w:r>
        <w:t>I dipendenti con cambio di categoria nell’anno di fine biennio e successivo licenziamento venivano esposti nella sezione “</w:t>
      </w:r>
      <w:r>
        <w:rPr>
          <w:i/>
          <w:iCs/>
        </w:rPr>
        <w:t>Usciti</w:t>
      </w:r>
      <w:r>
        <w:t>” nel rigo relativo alla cessazione (“</w:t>
      </w:r>
      <w:r>
        <w:rPr>
          <w:i/>
          <w:iCs/>
        </w:rPr>
        <w:t>Tipo entrata/ uscita</w:t>
      </w:r>
      <w:r>
        <w:t>” pari a “</w:t>
      </w:r>
      <w:r>
        <w:rPr>
          <w:i/>
          <w:iCs/>
        </w:rPr>
        <w:t>Cessazione</w:t>
      </w:r>
      <w:r>
        <w:t>”) con la qualifica iniziale in luogo della finale.</w:t>
      </w:r>
    </w:p>
    <w:p>
      <w:pPr>
        <w:pStyle w:val="CorpoAltF0"/>
      </w:pPr>
    </w:p>
    <w:p>
      <w:pPr>
        <w:pStyle w:val="CorpoAltF0"/>
        <w:rPr>
          <w:i/>
          <w:iCs/>
          <w:u w:val="single"/>
        </w:rPr>
      </w:pPr>
      <w:r>
        <w:rPr>
          <w:i/>
          <w:iCs/>
          <w:u w:val="single"/>
        </w:rPr>
        <w:t>Report “2.3d – Occupati per categoria – ore lavorate” e “3.1 – Occupati per unità produttiva”</w:t>
      </w:r>
    </w:p>
    <w:p>
      <w:pPr>
        <w:pStyle w:val="CorpoAltF0"/>
        <w:spacing w:before="60"/>
      </w:pPr>
      <w:r>
        <w:t>In caso di eventuale esposizione di una dirigente donna il programma non valorizzava la corrispondente colonna dirigenti “F”.</w:t>
      </w:r>
    </w:p>
    <w:p>
      <w:pPr>
        <w:pStyle w:val="CorpoAltF0"/>
        <w:spacing w:before="60"/>
      </w:pPr>
    </w:p>
    <w:p>
      <w:pPr>
        <w:pStyle w:val="CorpoAltF0"/>
        <w:rPr>
          <w:i/>
          <w:iCs/>
          <w:u w:val="single"/>
        </w:rPr>
      </w:pPr>
      <w:r>
        <w:rPr>
          <w:i/>
          <w:iCs/>
          <w:u w:val="single"/>
        </w:rPr>
        <w:t xml:space="preserve">Report “2.4a – Entrati </w:t>
      </w:r>
      <w:proofErr w:type="spellStart"/>
      <w:r>
        <w:rPr>
          <w:i/>
          <w:iCs/>
          <w:u w:val="single"/>
        </w:rPr>
        <w:t>ed</w:t>
      </w:r>
      <w:proofErr w:type="spellEnd"/>
      <w:r>
        <w:rPr>
          <w:i/>
          <w:iCs/>
          <w:u w:val="single"/>
        </w:rPr>
        <w:t xml:space="preserve"> usciti per categoria”</w:t>
      </w:r>
    </w:p>
    <w:p>
      <w:pPr>
        <w:pStyle w:val="CorpoAltF0"/>
        <w:spacing w:before="60"/>
      </w:pPr>
      <w:r>
        <w:t>In caso di azienda con cambio di comune anagrafico nel corso del 2019 o 2020, in alcuni casi il programma evidenziata come entrati/usciti da altro comune i dipendenti assunti nel corso del 2021.</w:t>
      </w:r>
    </w:p>
    <w:p>
      <w:pPr>
        <w:pStyle w:val="CorpoAltF0"/>
      </w:pPr>
    </w:p>
    <w:p>
      <w:pPr>
        <w:pStyle w:val="CorpoAltF0"/>
        <w:rPr>
          <w:i/>
          <w:iCs/>
          <w:u w:val="single"/>
        </w:rPr>
      </w:pPr>
      <w:r>
        <w:rPr>
          <w:i/>
          <w:iCs/>
          <w:u w:val="single"/>
        </w:rPr>
        <w:t>Report “2.7 – Retribuzioni iniziale per categoria”</w:t>
      </w:r>
    </w:p>
    <w:p>
      <w:pPr>
        <w:pStyle w:val="CorpoAltF0"/>
        <w:spacing w:before="60"/>
      </w:pPr>
      <w:r>
        <w:t xml:space="preserve">Nel report in oggetto: </w:t>
      </w:r>
    </w:p>
    <w:p>
      <w:pPr>
        <w:pStyle w:val="CorpoAltF0"/>
        <w:numPr>
          <w:ilvl w:val="0"/>
          <w:numId w:val="23"/>
        </w:numPr>
        <w:spacing w:before="60"/>
        <w:ind w:left="284" w:hanging="284"/>
      </w:pPr>
      <w:r>
        <w:t>non veniva esposta l’eventuale sezione “Categorie protette”.</w:t>
      </w:r>
    </w:p>
    <w:p>
      <w:pPr>
        <w:pStyle w:val="CorpoAltF0"/>
        <w:numPr>
          <w:ilvl w:val="0"/>
          <w:numId w:val="23"/>
        </w:numPr>
        <w:spacing w:before="60"/>
        <w:ind w:left="284" w:hanging="284"/>
      </w:pPr>
      <w:r>
        <w:t>i livelli di inquadramento non venivano riepilogati in ordine decrescente di retribuzione tabellare.</w:t>
      </w:r>
    </w:p>
    <w:p>
      <w:pPr>
        <w:pStyle w:val="CorpoAltF0"/>
      </w:pPr>
    </w:p>
    <w:p>
      <w:pPr>
        <w:pStyle w:val="CorpoAltF0"/>
        <w:rPr>
          <w:i/>
          <w:iCs/>
          <w:u w:val="single"/>
        </w:rPr>
      </w:pPr>
      <w:r>
        <w:rPr>
          <w:i/>
          <w:iCs/>
          <w:u w:val="single"/>
        </w:rPr>
        <w:t>Report “2.7 – Retribuzioni iniziale per categoria”, “2.8 – Retribuzione annua per categoria” e “2.8.1 – Dettaglio componenti accessorie”</w:t>
      </w:r>
    </w:p>
    <w:p>
      <w:pPr>
        <w:pStyle w:val="CorpoAltF0"/>
        <w:numPr>
          <w:ilvl w:val="0"/>
          <w:numId w:val="24"/>
        </w:numPr>
        <w:spacing w:before="60"/>
        <w:ind w:left="284" w:hanging="284"/>
      </w:pPr>
      <w:r>
        <w:t>Il programma è stato modificato al fine di esporre gli importi negativi con segno meno.</w:t>
      </w:r>
    </w:p>
    <w:p>
      <w:pPr>
        <w:pStyle w:val="CorpoAltF0"/>
        <w:numPr>
          <w:ilvl w:val="0"/>
          <w:numId w:val="24"/>
        </w:numPr>
        <w:spacing w:before="60"/>
        <w:ind w:left="284" w:hanging="284"/>
      </w:pPr>
      <w:r>
        <w:t>Segnalazioni ricevute da parte di alcuni utenti hanno evidenziato che, per le tabelle 2.7, 2.8 e 2.8.1, il software del Ministero non considera le sezioni “</w:t>
      </w:r>
      <w:r>
        <w:rPr>
          <w:i/>
          <w:iCs/>
        </w:rPr>
        <w:t>Disabili e categorie protette</w:t>
      </w:r>
      <w:r>
        <w:t>” come un “</w:t>
      </w:r>
      <w:r>
        <w:rPr>
          <w:i/>
          <w:iCs/>
        </w:rPr>
        <w:t>di cui</w:t>
      </w:r>
      <w:r>
        <w:t>” delle altre categorie. Conseguentemente, nella compilazione di queste tabelle, il programma è stato modificato per escludere i dipendenti individuati come disabili dalla specifica categoria di inquadramento (Dirigenti, Quadri, Impiegati, Operai), riportandoli unicamente nella sezione “</w:t>
      </w:r>
      <w:r>
        <w:rPr>
          <w:i/>
          <w:iCs/>
        </w:rPr>
        <w:t>Categorie Protette</w:t>
      </w:r>
      <w:r>
        <w:t>”.</w:t>
      </w:r>
    </w:p>
    <w:p>
      <w:pPr>
        <w:pStyle w:val="CorpoAltF0"/>
      </w:pPr>
    </w:p>
    <w:p>
      <w:pPr>
        <w:pStyle w:val="CorpoAltF0"/>
        <w:rPr>
          <w:i/>
          <w:iCs/>
          <w:u w:val="single"/>
        </w:rPr>
      </w:pPr>
      <w:r>
        <w:rPr>
          <w:i/>
          <w:iCs/>
          <w:u w:val="single"/>
        </w:rPr>
        <w:t>Report “2.8 – Retribuzione annua per categoria”</w:t>
      </w:r>
    </w:p>
    <w:p>
      <w:pPr>
        <w:pStyle w:val="CorpoAltF0"/>
        <w:spacing w:before="60"/>
      </w:pPr>
      <w:r>
        <w:t>Con riferimento ai dipendenti passati di filiale nell’anno successivo a quello di fine biennio il programma non compilava in maniera corretta le eventuali informazioni da prelevare all’interno dallo storico voci (</w:t>
      </w:r>
      <w:r>
        <w:rPr>
          <w:b/>
          <w:bCs/>
        </w:rPr>
        <w:t>GESSTO</w:t>
      </w:r>
      <w:r>
        <w:t>).</w:t>
      </w:r>
    </w:p>
    <w:p>
      <w:pPr>
        <w:pStyle w:val="TS-titolo-05"/>
      </w:pPr>
      <w:bookmarkStart w:id="23" w:name="_Toc116562892"/>
      <w:bookmarkStart w:id="24" w:name="_Toc116580655"/>
      <w:r>
        <w:t>QUADR – Denuncia UniEmens settembre 2022</w:t>
      </w:r>
      <w:bookmarkEnd w:id="23"/>
      <w:bookmarkEnd w:id="24"/>
    </w:p>
    <w:p>
      <w:pPr>
        <w:pStyle w:val="CorpoAltF0"/>
        <w:spacing w:before="60"/>
      </w:pPr>
      <w:r>
        <w:t xml:space="preserve">Dopo l’esecuzione del comando </w:t>
      </w:r>
      <w:r>
        <w:rPr>
          <w:b/>
          <w:bCs/>
        </w:rPr>
        <w:t>UTY2225</w:t>
      </w:r>
      <w:r>
        <w:t xml:space="preserve"> (calcolo arretrati contributi FIS/CIGO/CIGS), procedendo alla quadratura della mensilità di settembre, l’importo di un eventuale ulteriore credito spettante (ad esempio credito per esoneri contributivi) veniva riportato in denuncia UniEmens con codice errato (codice “</w:t>
      </w:r>
      <w:r>
        <w:rPr>
          <w:i/>
          <w:iCs/>
        </w:rPr>
        <w:t>DM10 VIRTUALE</w:t>
      </w:r>
      <w:r>
        <w:t>”); nello specifico, in luogo della relativa sigla di credito veniva riportato il codice del corrispondente elemento in “</w:t>
      </w:r>
      <w:r>
        <w:rPr>
          <w:i/>
          <w:iCs/>
        </w:rPr>
        <w:t>Tabella sigle per EMENS</w:t>
      </w:r>
      <w:r>
        <w:t>” (</w:t>
      </w:r>
      <w:r>
        <w:rPr>
          <w:b/>
          <w:bCs/>
        </w:rPr>
        <w:t>TB0201</w:t>
      </w:r>
      <w:r>
        <w:t>).</w:t>
      </w:r>
    </w:p>
    <w:p>
      <w:pPr>
        <w:pStyle w:val="CorpoAltF0"/>
        <w:spacing w:before="60"/>
      </w:pPr>
      <w:r>
        <w:t>In presenza della casistica descritta, dopo l’installazione del presente aggiornamento sarà necessario ripetere (se già eseguita) la quadratura della mensilità di settembre.</w:t>
      </w:r>
    </w:p>
    <w:p>
      <w:pPr>
        <w:pStyle w:val="TS-titolo-05"/>
      </w:pPr>
      <w:bookmarkStart w:id="25" w:name="_Toc116562893"/>
      <w:bookmarkStart w:id="26" w:name="_Toc116580656"/>
      <w:r>
        <w:t>CEDOL – Esposizione contributo f.do solidarietà</w:t>
      </w:r>
      <w:bookmarkEnd w:id="25"/>
      <w:bookmarkEnd w:id="26"/>
    </w:p>
    <w:p>
      <w:pPr>
        <w:pStyle w:val="CorpoAltF0"/>
        <w:spacing w:before="60"/>
      </w:pPr>
      <w:r>
        <w:t>Successivamente all’installazione della versione PAGHE 2022.2.4 del 8.9.2022, risultava erroneamente disabilitata la possibilità di personalizzazione del campo “</w:t>
      </w:r>
      <w:r>
        <w:rPr>
          <w:i/>
          <w:iCs/>
        </w:rPr>
        <w:t>Casella cedolino contributo f.do solidarietà residuale</w:t>
      </w:r>
      <w:r>
        <w:t xml:space="preserve">” di </w:t>
      </w:r>
      <w:r>
        <w:rPr>
          <w:b/>
          <w:bCs/>
        </w:rPr>
        <w:t>TB0103</w:t>
      </w:r>
      <w:r>
        <w:t xml:space="preserve"> (utile per la selezione della casella del cedolino in cui evidenziare la contribuzione dovuta al fondo di solidarietà residuale).</w:t>
      </w:r>
    </w:p>
    <w:p>
      <w:pPr>
        <w:pStyle w:val="CorpoAltF0"/>
        <w:spacing w:before="60"/>
      </w:pPr>
      <w:r>
        <w:lastRenderedPageBreak/>
        <w:t>Conseguentemente, in fase di elaborazione del cedolino, il programma non considerava l’eventuale personalizzazione precedentemente impostata con riferimento a tale campo.</w:t>
      </w:r>
    </w:p>
    <w:p>
      <w:pPr>
        <w:pStyle w:val="CorpoAltF0"/>
        <w:spacing w:before="60"/>
      </w:pPr>
      <w:r>
        <w:t>Con l’installazione del presente aggiornamento, viene ripristinato il funzionamento del campo in oggetto e le relative personalizzazioni precedentemente impostate dall’utente.</w:t>
      </w:r>
    </w:p>
    <w:p>
      <w:pPr>
        <w:pStyle w:val="CorpoAltF0"/>
        <w:spacing w:before="60"/>
      </w:pPr>
      <w:r>
        <w:t xml:space="preserve">In presenza della casistica descritta, è necessario rielaborare i cedolini già elaborati (anche mediante comando </w:t>
      </w:r>
      <w:r>
        <w:rPr>
          <w:b/>
          <w:bCs/>
        </w:rPr>
        <w:t>CEDOLB</w:t>
      </w:r>
      <w:r>
        <w:t>).</w:t>
      </w:r>
    </w:p>
    <w:p>
      <w:pPr>
        <w:pStyle w:val="CorpoAltF0"/>
      </w:pPr>
    </w:p>
    <w:p>
      <w:pPr>
        <w:pStyle w:val="TS-titolo-04"/>
      </w:pPr>
      <w:bookmarkStart w:id="27" w:name="_Toc115862449"/>
      <w:bookmarkStart w:id="28" w:name="_Toc116550649"/>
      <w:bookmarkStart w:id="29" w:name="_Toc116580657"/>
      <w:r>
        <w:t>Anomalie corrette Bug-Fix 2022.2.6b del 05.10.2022</w:t>
      </w:r>
      <w:bookmarkEnd w:id="27"/>
      <w:bookmarkEnd w:id="28"/>
      <w:bookmarkEnd w:id="29"/>
    </w:p>
    <w:p>
      <w:pPr>
        <w:pStyle w:val="TS-titolo-05"/>
      </w:pPr>
      <w:bookmarkStart w:id="30" w:name="_Toc116550650"/>
      <w:bookmarkStart w:id="31" w:name="_Toc116580658"/>
      <w:r>
        <w:t>UTY2225 – Azienda con diverse posizioni contributive</w:t>
      </w:r>
      <w:bookmarkEnd w:id="30"/>
      <w:bookmarkEnd w:id="31"/>
    </w:p>
    <w:p>
      <w:pPr>
        <w:pStyle w:val="CorpoAltF0"/>
        <w:spacing w:before="120"/>
        <w:rPr>
          <w:u w:val="single"/>
        </w:rPr>
      </w:pPr>
      <w:r>
        <w:rPr>
          <w:u w:val="single"/>
        </w:rPr>
        <w:t>Casistica:</w:t>
      </w:r>
    </w:p>
    <w:p>
      <w:pPr>
        <w:pStyle w:val="CorpoAltF0"/>
        <w:numPr>
          <w:ilvl w:val="0"/>
          <w:numId w:val="25"/>
        </w:numPr>
        <w:spacing w:before="120"/>
        <w:ind w:left="284" w:right="142" w:hanging="284"/>
      </w:pPr>
      <w:r>
        <w:t>azienda con più posizioni contributive che solo nell’insieme superano il requisito dimensionale di 15 dipendenti; in tal caso, ai fini dell’applicazione della contribuzione CIGS (come previsto a seguito nelle novità normative introdotte dal 2022), a decorrere dalla mensilità di luglio sarà stato contrassegnato l’apposito campo “</w:t>
      </w:r>
      <w:r>
        <w:rPr>
          <w:i/>
          <w:iCs/>
        </w:rPr>
        <w:t>Forza applicazione CIGS</w:t>
      </w:r>
      <w:r>
        <w:t>” della scheda “</w:t>
      </w:r>
      <w:r>
        <w:rPr>
          <w:i/>
          <w:iCs/>
        </w:rPr>
        <w:t>Dati contributivi</w:t>
      </w:r>
      <w:r>
        <w:t xml:space="preserve">” di </w:t>
      </w:r>
      <w:r>
        <w:rPr>
          <w:b/>
          <w:bCs/>
        </w:rPr>
        <w:t>AZIE</w:t>
      </w:r>
      <w:r>
        <w:t>;</w:t>
      </w:r>
    </w:p>
    <w:p>
      <w:pPr>
        <w:pStyle w:val="CorpoAltF0"/>
        <w:numPr>
          <w:ilvl w:val="0"/>
          <w:numId w:val="25"/>
        </w:numPr>
        <w:spacing w:before="120"/>
        <w:ind w:left="284" w:right="142" w:hanging="284"/>
      </w:pPr>
      <w:r>
        <w:t>una filiale dell’azienda (con singola media occupazionale inferiore a 15 dipendenti) risulta riferita al settore Industria (esclusi settori edilizia e lapidei), soggetto a contribuzione CIGS nella misura dello 0,90%;</w:t>
      </w:r>
    </w:p>
    <w:p>
      <w:pPr>
        <w:pStyle w:val="CorpoAltF0"/>
        <w:numPr>
          <w:ilvl w:val="0"/>
          <w:numId w:val="25"/>
        </w:numPr>
        <w:spacing w:before="120"/>
        <w:ind w:left="284" w:right="142" w:hanging="284"/>
      </w:pPr>
      <w:r>
        <w:t>ai fini del calcolo della contribuzione CIGS arretrata, nella sezione “</w:t>
      </w:r>
      <w:r>
        <w:rPr>
          <w:i/>
          <w:iCs/>
        </w:rPr>
        <w:t>Arretrati 09/2022</w:t>
      </w:r>
      <w:r>
        <w:t>” della suddetta filiale risulta indicato l’apposito codice “A” (“</w:t>
      </w:r>
      <w:r>
        <w:rPr>
          <w:i/>
          <w:iCs/>
        </w:rPr>
        <w:t>CIGS 0,90%</w:t>
      </w:r>
      <w:r>
        <w:t>”).</w:t>
      </w:r>
    </w:p>
    <w:p>
      <w:pPr>
        <w:pStyle w:val="CorpoAltF0"/>
        <w:spacing w:before="120"/>
        <w:ind w:right="142"/>
      </w:pPr>
      <w:r>
        <w:t xml:space="preserve">Nella casistica sopra descritta, per la suddetta filiale il comando </w:t>
      </w:r>
      <w:r>
        <w:rPr>
          <w:b/>
          <w:bCs/>
        </w:rPr>
        <w:t>UTY2225</w:t>
      </w:r>
      <w:r>
        <w:t xml:space="preserve"> provvedeva al calcolo degli arretrati CIGS con riferimento ai soli apprendisti e lavoratori a domicilio, anziché per generalità dei dipendenti non assoggettati a CIGS nel periodo gennaio-giugno 2022 (in assenza del suddetto campo “</w:t>
      </w:r>
      <w:r>
        <w:rPr>
          <w:i/>
          <w:iCs/>
        </w:rPr>
        <w:t>Forza applicazione CIGS</w:t>
      </w:r>
      <w:r>
        <w:t>”).</w:t>
      </w:r>
    </w:p>
    <w:p>
      <w:pPr>
        <w:pStyle w:val="TS-titolo-05"/>
      </w:pPr>
      <w:bookmarkStart w:id="32" w:name="_Toc116550651"/>
      <w:bookmarkStart w:id="33" w:name="_Toc116580659"/>
      <w:r>
        <w:t>UTY2225 – Dipendenti con passaggio di filiale</w:t>
      </w:r>
      <w:bookmarkEnd w:id="32"/>
      <w:bookmarkEnd w:id="33"/>
    </w:p>
    <w:p>
      <w:pPr>
        <w:pStyle w:val="CorpoAltF0"/>
        <w:spacing w:before="120"/>
        <w:ind w:right="142"/>
        <w:rPr>
          <w:u w:val="single"/>
        </w:rPr>
      </w:pPr>
      <w:r>
        <w:rPr>
          <w:u w:val="single"/>
        </w:rPr>
        <w:t>Casistica 1:</w:t>
      </w:r>
    </w:p>
    <w:p>
      <w:pPr>
        <w:pStyle w:val="CorpoAltF0"/>
        <w:numPr>
          <w:ilvl w:val="0"/>
          <w:numId w:val="25"/>
        </w:numPr>
        <w:spacing w:before="120"/>
        <w:ind w:left="284" w:right="142" w:hanging="284"/>
      </w:pPr>
      <w:r>
        <w:t>dipendenti che, nel corso del periodo gennaio-giugno 2022, risultano trasferiti su una nuova filiale (filiale priva di dipendenti elaborati nei mesi precedenti a tale trasferimento);</w:t>
      </w:r>
    </w:p>
    <w:p>
      <w:pPr>
        <w:pStyle w:val="CorpoAltF0"/>
        <w:numPr>
          <w:ilvl w:val="0"/>
          <w:numId w:val="25"/>
        </w:numPr>
        <w:spacing w:before="120"/>
        <w:ind w:left="284" w:right="142" w:hanging="284"/>
      </w:pPr>
      <w:r>
        <w:t>in base alla specifica scelta di PSIN30 utilizzata ai fini del passaggio di filiale, i cedolini relativi alle mensilità precedenti al passaggio risultano riportati nella filiale di destinazione del dipendente (vedi PSIN30 &gt; Tipo trasferimento “9 – Passaggio di filiale uguale posizione INPS e INAIL”).</w:t>
      </w:r>
    </w:p>
    <w:p>
      <w:pPr>
        <w:pStyle w:val="CorpoAltF0"/>
        <w:spacing w:before="120"/>
        <w:ind w:right="142"/>
      </w:pPr>
      <w:r>
        <w:t xml:space="preserve">In presenza di tale casistica, con l’esecuzione del comando </w:t>
      </w:r>
      <w:r>
        <w:rPr>
          <w:b/>
          <w:bCs/>
        </w:rPr>
        <w:t>UTY2225</w:t>
      </w:r>
      <w:r>
        <w:t xml:space="preserve"> il programma procedeva alla compilazione della sezione “</w:t>
      </w:r>
      <w:r>
        <w:rPr>
          <w:i/>
          <w:iCs/>
        </w:rPr>
        <w:t>Arretrati 09/2022</w:t>
      </w:r>
      <w:r>
        <w:t>” con riferimento alla suddetta nuova filiale senza valorizzare le mensilità precedenti al trasferimento dei dipendenti; conseguentemente, per i dipendenti interessati dal passaggio di filiale il programma non procedeva al calcolo della contribuzione arretrata dovuta per le mensilità precedenti a tale passaggio.</w:t>
      </w:r>
    </w:p>
    <w:p>
      <w:pPr>
        <w:pStyle w:val="CorpoAltF0"/>
        <w:spacing w:before="120"/>
        <w:ind w:right="142"/>
        <w:rPr>
          <w:u w:val="single"/>
        </w:rPr>
      </w:pPr>
      <w:r>
        <w:rPr>
          <w:u w:val="single"/>
        </w:rPr>
        <w:t>Casistica 2:</w:t>
      </w:r>
    </w:p>
    <w:p>
      <w:pPr>
        <w:pStyle w:val="CorpoAltF0"/>
        <w:numPr>
          <w:ilvl w:val="0"/>
          <w:numId w:val="25"/>
        </w:numPr>
        <w:spacing w:before="120"/>
        <w:ind w:left="284" w:right="142" w:hanging="284"/>
      </w:pPr>
      <w:r>
        <w:t>nel corso del periodo da gennaio ad agosto 2022, tutti i dipendenti della filiale risultano trasferiti ad altra filiale;</w:t>
      </w:r>
    </w:p>
    <w:p>
      <w:pPr>
        <w:pStyle w:val="CorpoAltF0"/>
        <w:numPr>
          <w:ilvl w:val="0"/>
          <w:numId w:val="25"/>
        </w:numPr>
        <w:spacing w:before="120"/>
        <w:ind w:left="284" w:right="142" w:hanging="284"/>
      </w:pPr>
      <w:r>
        <w:t>in base alla specifica scelta di PSIN30 utilizzata ai fini del passaggio di filiale, i cedolini relativi alle mensilità precedenti al passaggio risultano mantenuti nella filiale originaria e non riportati nella filiale di destinazione (vedi PSIN30 &gt; Tipo trasferimento 1, 2 e 3).</w:t>
      </w:r>
    </w:p>
    <w:p>
      <w:pPr>
        <w:pStyle w:val="CorpoAltF0"/>
        <w:spacing w:before="120"/>
        <w:ind w:right="142"/>
      </w:pPr>
      <w:r>
        <w:t xml:space="preserve">In presenza di tale casistica, con l’esecuzione del comando </w:t>
      </w:r>
      <w:r>
        <w:rPr>
          <w:b/>
          <w:bCs/>
        </w:rPr>
        <w:t>UTY2225</w:t>
      </w:r>
      <w:r>
        <w:t xml:space="preserve"> il programma non procedeva alla compilazione della sezione “</w:t>
      </w:r>
      <w:r>
        <w:rPr>
          <w:i/>
          <w:iCs/>
        </w:rPr>
        <w:t>Arretrati 09/2022</w:t>
      </w:r>
      <w:r>
        <w:t>” con riferimento alla suddetta filiale originaria; conseguentemente, per i dipendenti interessati dal passaggio ad altra filiale il programma non procedeva al calcolo della contribuzione arretrata dovuta per le mensilità precedenti a tale passaggio.</w:t>
      </w:r>
    </w:p>
    <w:p>
      <w:pPr>
        <w:pStyle w:val="TS-titolo-05"/>
      </w:pPr>
      <w:bookmarkStart w:id="34" w:name="_Toc116550652"/>
      <w:bookmarkStart w:id="35" w:name="_Toc116580660"/>
      <w:r>
        <w:t>UTY2225 – Cooperative agricole L. 240/84</w:t>
      </w:r>
      <w:bookmarkEnd w:id="34"/>
      <w:bookmarkEnd w:id="35"/>
    </w:p>
    <w:p>
      <w:pPr>
        <w:pStyle w:val="CorpoAltF0"/>
        <w:spacing w:before="120"/>
        <w:ind w:right="142"/>
      </w:pPr>
      <w:r>
        <w:t xml:space="preserve">Eseguendo il comando </w:t>
      </w:r>
      <w:r>
        <w:rPr>
          <w:b/>
          <w:bCs/>
        </w:rPr>
        <w:t>UTY2225</w:t>
      </w:r>
      <w:r>
        <w:t xml:space="preserve"> con riferimento alle aziende cooperative agricole L. 240/84, il programma calcolava arretrati CIGS con riferimento ai lavoratori apprendisti, per i quali il recupero della contribuzione CIGO e CIGS risulta già effettuato con l’elaborazione della mensilità di luglio 2022 (versione PAGHE 2022.2.1, comando </w:t>
      </w:r>
      <w:r>
        <w:rPr>
          <w:b/>
          <w:bCs/>
        </w:rPr>
        <w:t>UTY2221</w:t>
      </w:r>
      <w:r>
        <w:t>).</w:t>
      </w:r>
    </w:p>
    <w:p>
      <w:pPr>
        <w:pStyle w:val="CorpoAltF0"/>
        <w:spacing w:before="120"/>
        <w:ind w:right="142"/>
      </w:pPr>
      <w:r>
        <w:lastRenderedPageBreak/>
        <w:t xml:space="preserve">Con il presente aggiornamento il comando </w:t>
      </w:r>
      <w:r>
        <w:rPr>
          <w:b/>
          <w:bCs/>
        </w:rPr>
        <w:t>UTY2225</w:t>
      </w:r>
      <w:r>
        <w:t xml:space="preserve"> è stato modificato al fine di escludere, in generale, tutti gli operai agricoli (codice inferiore a 40 in </w:t>
      </w:r>
      <w:r>
        <w:rPr>
          <w:b/>
          <w:bCs/>
        </w:rPr>
        <w:t>DIPE</w:t>
      </w:r>
      <w:r>
        <w:t xml:space="preserve"> &gt;“</w:t>
      </w:r>
      <w:r>
        <w:rPr>
          <w:i/>
          <w:iCs/>
        </w:rPr>
        <w:t>Dati generali &gt; Trattamento qualifica</w:t>
      </w:r>
      <w:r>
        <w:t>” e codice 2-“</w:t>
      </w:r>
      <w:r>
        <w:rPr>
          <w:i/>
          <w:iCs/>
        </w:rPr>
        <w:t>Gestione DMAG</w:t>
      </w:r>
      <w:r>
        <w:t xml:space="preserve">” in </w:t>
      </w:r>
      <w:r>
        <w:rPr>
          <w:b/>
          <w:bCs/>
        </w:rPr>
        <w:t>AZIE</w:t>
      </w:r>
      <w:r>
        <w:t xml:space="preserve"> &gt; “</w:t>
      </w:r>
      <w:r>
        <w:rPr>
          <w:i/>
          <w:iCs/>
        </w:rPr>
        <w:t>Dati contributivi</w:t>
      </w:r>
      <w:r>
        <w:t>”).</w:t>
      </w:r>
    </w:p>
    <w:p>
      <w:pPr>
        <w:pStyle w:val="TS-titolo-05"/>
      </w:pPr>
      <w:bookmarkStart w:id="36" w:name="_Toc116550653"/>
      <w:bookmarkStart w:id="37" w:name="_Toc116580661"/>
      <w:r>
        <w:t>UTY2225 – Arretrati FIC/CIGO/CIGS in caso con imponibile negativo</w:t>
      </w:r>
      <w:bookmarkEnd w:id="36"/>
      <w:bookmarkEnd w:id="37"/>
    </w:p>
    <w:p>
      <w:pPr>
        <w:pStyle w:val="CorpoAltF0"/>
        <w:spacing w:before="120"/>
        <w:ind w:right="142"/>
      </w:pPr>
      <w:r>
        <w:t xml:space="preserve">In caso di mensilità pregressa con imponibile negativo (ad esempio in caso di dipendente licenziato con recupero di somme precedentemente erogate), il comando </w:t>
      </w:r>
      <w:r>
        <w:rPr>
          <w:b/>
          <w:bCs/>
        </w:rPr>
        <w:t>UTY2225</w:t>
      </w:r>
      <w:r>
        <w:t xml:space="preserve"> determinava un importo negativo di contribuzione arretrata, che veniva riportato (con segno positivo) nella relativa denuncia individuale UniEmens.</w:t>
      </w:r>
    </w:p>
    <w:p>
      <w:pPr>
        <w:pStyle w:val="CorpoAltF0"/>
        <w:spacing w:before="120"/>
        <w:ind w:right="142"/>
      </w:pPr>
      <w:r>
        <w:t>Il comando è stato modificato al fine di escludere dal calcolo della contribuzione FIS/CIGO/CIGS arretrata, i cedolini delle mensilità pregresse con imponibile negativo (conseguentemente, qualora nella mensilità risulti un unico cedolino con imponibile negativo, tale mensilità non risulterà esposta nella relativa stampa).</w:t>
      </w:r>
    </w:p>
    <w:p>
      <w:pPr>
        <w:pStyle w:val="CorpoAltF0"/>
      </w:pPr>
    </w:p>
    <w:p>
      <w:pPr>
        <w:pStyle w:val="TS-titolo-05"/>
      </w:pPr>
      <w:bookmarkStart w:id="38" w:name="_Toc116550654"/>
      <w:bookmarkStart w:id="39" w:name="_Toc116580662"/>
      <w:r>
        <w:t>STPARI – Rapporto periodico pari opportunità</w:t>
      </w:r>
      <w:bookmarkEnd w:id="38"/>
      <w:bookmarkEnd w:id="39"/>
    </w:p>
    <w:p>
      <w:pPr>
        <w:pStyle w:val="CorpoAltF0"/>
        <w:spacing w:before="120"/>
        <w:ind w:right="142"/>
      </w:pPr>
      <w:r>
        <w:t>Implementato il report “2</w:t>
      </w:r>
      <w:r>
        <w:rPr>
          <w:i/>
          <w:iCs/>
        </w:rPr>
        <w:t xml:space="preserve">.3b – Occupati per categoria in CIG e </w:t>
      </w:r>
      <w:proofErr w:type="spellStart"/>
      <w:r>
        <w:rPr>
          <w:i/>
          <w:iCs/>
        </w:rPr>
        <w:t>Aspett</w:t>
      </w:r>
      <w:proofErr w:type="spellEnd"/>
      <w:r>
        <w:t>.” al fine di esporre nella sezione “</w:t>
      </w:r>
      <w:r>
        <w:rPr>
          <w:i/>
          <w:iCs/>
        </w:rPr>
        <w:t>Dipendenti in aspettativa o congedo</w:t>
      </w:r>
      <w:r>
        <w:t>” i dipendenti con almeno un’ora di congedo per malattia del bambino di età inferiore a 3 anni, disciplinati dall’art. 49, comma 1, D.Lgs.n.151/2001 (codice evento MA3). Tale evento verrà evidenziato all’interno della colonna “</w:t>
      </w:r>
      <w:r>
        <w:rPr>
          <w:i/>
          <w:iCs/>
        </w:rPr>
        <w:t xml:space="preserve">Tipo aspettativa o </w:t>
      </w:r>
      <w:proofErr w:type="spellStart"/>
      <w:r>
        <w:rPr>
          <w:i/>
          <w:iCs/>
        </w:rPr>
        <w:t>cong</w:t>
      </w:r>
      <w:proofErr w:type="spellEnd"/>
      <w:r>
        <w:t>.” mediante la dicitura “</w:t>
      </w:r>
      <w:r>
        <w:rPr>
          <w:i/>
          <w:iCs/>
        </w:rPr>
        <w:t>Congedo</w:t>
      </w:r>
      <w:r>
        <w:t>”.</w:t>
      </w:r>
    </w:p>
    <w:p>
      <w:pPr>
        <w:pStyle w:val="CorpoAltF0"/>
      </w:pPr>
    </w:p>
    <w:p>
      <w:pPr>
        <w:pStyle w:val="CorpoAltF0"/>
      </w:pPr>
    </w:p>
    <w:p>
      <w:pPr>
        <w:pStyle w:val="CorpoAltF0"/>
      </w:pPr>
    </w:p>
    <w:p>
      <w:pPr>
        <w:pStyle w:val="Ignora"/>
      </w:pPr>
    </w:p>
    <w:p>
      <w:pPr>
        <w:pStyle w:val="WWTipoDocumento"/>
        <w:rPr>
          <w:sz w:val="20"/>
          <w:szCs w:val="20"/>
        </w:rPr>
      </w:pPr>
      <w:r>
        <w:t>----------------------------------</w:t>
      </w:r>
    </w:p>
    <w:p>
      <w:pPr>
        <w:pStyle w:val="Ignora"/>
      </w:pPr>
    </w:p>
    <w:sectPr>
      <w:headerReference w:type="default" r:id="rId11"/>
      <w:footerReference w:type="default" r:id="rId12"/>
      <w:pgSz w:w="11907" w:h="16840" w:code="9"/>
      <w:pgMar w:top="567" w:right="1134"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CorpoAltF0"/>
      <w:jc w:val="center"/>
      <w:rPr>
        <w:sz w:val="10"/>
        <w:szCs w:val="10"/>
      </w:rPr>
    </w:pPr>
    <w:r>
      <w:rPr>
        <w:noProof/>
        <w:sz w:val="10"/>
        <w:szCs w:val="10"/>
      </w:rPr>
      <w:drawing>
        <wp:inline distT="0" distB="0" distL="0" distR="0">
          <wp:extent cx="6120000" cy="36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PAGHE 2022.2.7</w:t>
          </w:r>
        </w:p>
      </w:tc>
      <w:tc>
        <w:tcPr>
          <w:tcW w:w="1701" w:type="dxa"/>
        </w:tcPr>
        <w:p>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1</w:t>
          </w:r>
          <w:r>
            <w:rPr>
              <w:rStyle w:val="Numeropagina"/>
              <w:rFonts w:ascii="Arial" w:hAnsi="Arial" w:cs="Arial"/>
              <w:sz w:val="20"/>
            </w:rPr>
            <w:fldChar w:fldCharType="end"/>
          </w:r>
        </w:p>
      </w:tc>
    </w:tr>
  </w:tbl>
  <w:p>
    <w:pPr>
      <w:pStyle w:val="corpoAltF"/>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CorpoAltF0"/>
      <w:jc w:val="right"/>
      <w:rPr>
        <w:noProof/>
      </w:rPr>
    </w:pPr>
  </w:p>
  <w:p>
    <w:pPr>
      <w:pStyle w:val="CorpoAltF0"/>
      <w:jc w:val="center"/>
      <w:rPr>
        <w:sz w:val="10"/>
        <w:szCs w:val="10"/>
      </w:rPr>
    </w:pPr>
    <w:r>
      <w:rPr>
        <w:noProof/>
        <w:sz w:val="10"/>
        <w:szCs w:val="10"/>
      </w:rPr>
      <w:drawing>
        <wp:inline distT="0" distB="0" distL="0" distR="0">
          <wp:extent cx="6120000" cy="36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before="20" w:line="240" w:lineRule="atLeast"/>
            <w:ind w:right="357"/>
            <w:rPr>
              <w:rStyle w:val="Numeropagina"/>
              <w:rFonts w:ascii="Courier" w:hAnsi="Courier"/>
              <w:b/>
            </w:rPr>
          </w:pPr>
          <w:r>
            <w:rPr>
              <w:rFonts w:ascii="Courier" w:hAnsi="Courier"/>
              <w:b/>
              <w:noProof/>
            </w:rPr>
            <w:drawing>
              <wp:inline distT="0" distB="0" distL="0" distR="0">
                <wp:extent cx="1612800" cy="349200"/>
                <wp:effectExtent l="0" t="0" r="0" b="0"/>
                <wp:docPr id="9" name="Immagine 9"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800" cy="349200"/>
                        </a:xfrm>
                        <a:prstGeom prst="rect">
                          <a:avLst/>
                        </a:prstGeom>
                        <a:noFill/>
                        <a:ln>
                          <a:noFill/>
                        </a:ln>
                      </pic:spPr>
                    </pic:pic>
                  </a:graphicData>
                </a:graphic>
              </wp:inline>
            </w:drawing>
          </w: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PAGHE 2022.2.7</w:t>
          </w:r>
        </w:p>
      </w:tc>
      <w:tc>
        <w:tcPr>
          <w:tcW w:w="1701" w:type="dxa"/>
        </w:tcPr>
        <w:p>
          <w:pPr>
            <w:spacing w:line="240" w:lineRule="atLeast"/>
            <w:ind w:right="213"/>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2</w:t>
          </w:r>
          <w:r>
            <w:rPr>
              <w:rStyle w:val="Numeropagina"/>
              <w:rFonts w:ascii="Arial" w:hAnsi="Arial" w:cs="Arial"/>
              <w:sz w:val="20"/>
            </w:rPr>
            <w:fldChar w:fldCharType="end"/>
          </w:r>
        </w:p>
        <w:p>
          <w:pPr>
            <w:spacing w:line="240" w:lineRule="atLeast"/>
            <w:jc w:val="right"/>
            <w:rPr>
              <w:rStyle w:val="Numeropagina"/>
              <w:rFonts w:ascii="Arial" w:hAnsi="Arial" w:cs="Arial"/>
              <w:sz w:val="20"/>
            </w:rPr>
          </w:pPr>
          <w:r>
            <w:rPr>
              <w:rStyle w:val="Numeropagina"/>
              <w:rFonts w:ascii="Arial" w:hAnsi="Arial" w:cs="Arial"/>
              <w:noProof/>
              <w:sz w:val="20"/>
            </w:rPr>
            <mc:AlternateContent>
              <mc:Choice Requires="wps">
                <w:drawing>
                  <wp:inline distT="0" distB="0" distL="0" distR="0">
                    <wp:extent cx="871220" cy="158115"/>
                    <wp:effectExtent l="9525" t="9525" r="5080" b="1333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158115"/>
                            </a:xfrm>
                            <a:prstGeom prst="roundRect">
                              <a:avLst>
                                <a:gd name="adj" fmla="val 16667"/>
                              </a:avLst>
                            </a:prstGeom>
                            <a:noFill/>
                            <a:ln w="9525">
                              <a:solidFill>
                                <a:schemeClr val="accent1">
                                  <a:lumMod val="75000"/>
                                  <a:lumOff val="0"/>
                                </a:schemeClr>
                              </a:solidFill>
                              <a:round/>
                              <a:headEnd/>
                              <a:tailEnd/>
                            </a:ln>
                            <a:extLst>
                              <a:ext uri="{909E8E84-426E-40DD-AFC4-6F175D3DCCD1}">
                                <a14:hiddenFill xmlns:a14="http://schemas.microsoft.com/office/drawing/2010/main">
                                  <a:solidFill>
                                    <a:srgbClr val="365F91"/>
                                  </a:solidFill>
                                </a14:hiddenFill>
                              </a:ext>
                            </a:extLst>
                          </wps:spPr>
                          <wps:txbx>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wps:txbx>
                          <wps:bodyPr rot="0" vert="horz" wrap="square" lIns="91440" tIns="10800" rIns="91440" bIns="10800" anchor="t" anchorCtr="0" upright="1">
                            <a:noAutofit/>
                          </wps:bodyPr>
                        </wps:wsp>
                      </a:graphicData>
                    </a:graphic>
                  </wp:inline>
                </w:drawing>
              </mc:Choice>
              <mc:Fallback>
                <w:pict>
                  <v:roundrect id="AutoShape 1" o:spid="_x0000_s1026" style="width:68.6pt;height:1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" filled="f" fillcolor="#365f91" strokecolor="#365f91 [2404]">
                    <v:textbox inset=",.3mm,,.3mm">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v:textbox>
                    <w10:anchorlock/>
                  </v:roundrect>
                </w:pict>
              </mc:Fallback>
            </mc:AlternateContent>
          </w:r>
        </w:p>
      </w:tc>
    </w:tr>
  </w:tbl>
  <w:p>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trPr>
        <w:cantSplit/>
      </w:trPr>
      <w:tc>
        <w:tcPr>
          <w:tcW w:w="2835" w:type="dxa"/>
          <w:tcBorders>
            <w:top w:val="nil"/>
            <w:left w:val="nil"/>
            <w:bottom w:val="single" w:sz="4" w:space="0" w:color="auto"/>
            <w:right w:val="nil"/>
          </w:tcBorders>
        </w:tcPr>
        <w:p>
          <w:pPr>
            <w:pStyle w:val="Intestazione"/>
            <w:spacing w:before="20" w:after="20"/>
            <w:rPr>
              <w:rFonts w:ascii="Courier" w:hAnsi="Courier"/>
              <w:b/>
            </w:rPr>
          </w:pPr>
          <w:r>
            <w:rPr>
              <w:rFonts w:ascii="Courier" w:hAnsi="Courier"/>
              <w:b/>
              <w:noProof/>
            </w:rPr>
            <w:drawing>
              <wp:inline distT="0" distB="0" distL="0" distR="0">
                <wp:extent cx="1693545" cy="367030"/>
                <wp:effectExtent l="0" t="0" r="1905" b="0"/>
                <wp:docPr id="7" name="Immagin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pPr>
            <w:pStyle w:val="Intestazione"/>
            <w:jc w:val="right"/>
            <w:rPr>
              <w:rFonts w:ascii="Arial" w:hAnsi="Arial" w:cs="Arial"/>
            </w:rPr>
          </w:pPr>
        </w:p>
      </w:tc>
    </w:tr>
    <w:tr>
      <w:trPr>
        <w:cantSplit/>
      </w:trPr>
      <w:tc>
        <w:tcPr>
          <w:tcW w:w="9639" w:type="dxa"/>
          <w:gridSpan w:val="3"/>
          <w:tcBorders>
            <w:top w:val="single" w:sz="4" w:space="0" w:color="auto"/>
            <w:left w:val="nil"/>
            <w:bottom w:val="nil"/>
            <w:right w:val="nil"/>
          </w:tcBorders>
          <w:vAlign w:val="bottom"/>
        </w:tcPr>
        <w:p>
          <w:pPr>
            <w:pStyle w:val="Intestazione"/>
            <w:jc w:val="center"/>
            <w:rPr>
              <w:rFonts w:ascii="Arial" w:hAnsi="Arial" w:cs="Arial"/>
              <w:color w:val="000080"/>
              <w:sz w:val="12"/>
            </w:rPr>
          </w:pPr>
        </w:p>
        <w:p>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pPr>
            <w:pStyle w:val="Intestazione"/>
            <w:rPr>
              <w:rFonts w:ascii="Arial" w:hAnsi="Arial" w:cs="Arial"/>
              <w:b/>
              <w:bCs/>
              <w:color w:val="000080"/>
              <w:sz w:val="10"/>
              <w:szCs w:val="10"/>
            </w:rPr>
          </w:pPr>
        </w:p>
      </w:tc>
    </w:tr>
  </w:tbl>
  <w:p>
    <w:pPr>
      <w:pStyle w:val="CorpoAltF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trPr>
        <w:trHeight w:hRule="exact" w:val="567"/>
      </w:trPr>
      <w:tc>
        <w:tcPr>
          <w:tcW w:w="9639" w:type="dxa"/>
        </w:tcPr>
        <w:p>
          <w:pPr>
            <w:pStyle w:val="TS-testata-01"/>
            <w:tabs>
              <w:tab w:val="clear" w:pos="9638"/>
            </w:tabs>
            <w:rPr>
              <w:b w:val="0"/>
              <w:color w:val="FFFFFF"/>
              <w:sz w:val="32"/>
            </w:rPr>
          </w:pPr>
          <w:r>
            <w:t>PAGHE – ANOMALIE CORRETTE</w:t>
          </w:r>
        </w:p>
      </w:tc>
    </w:tr>
  </w:tbl>
  <w:p>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633"/>
    <w:multiLevelType w:val="hybridMultilevel"/>
    <w:tmpl w:val="4D926D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91007"/>
    <w:multiLevelType w:val="hybridMultilevel"/>
    <w:tmpl w:val="3F589400"/>
    <w:lvl w:ilvl="0" w:tplc="0410000B">
      <w:start w:val="1"/>
      <w:numFmt w:val="bullet"/>
      <w:lvlText w:val=""/>
      <w:lvlJc w:val="left"/>
      <w:pPr>
        <w:tabs>
          <w:tab w:val="num" w:pos="1276"/>
        </w:tabs>
        <w:ind w:left="1276" w:hanging="360"/>
      </w:pPr>
      <w:rPr>
        <w:rFonts w:ascii="Wingdings" w:hAnsi="Wingdings" w:hint="default"/>
      </w:rPr>
    </w:lvl>
    <w:lvl w:ilvl="1" w:tplc="04100003" w:tentative="1">
      <w:start w:val="1"/>
      <w:numFmt w:val="bullet"/>
      <w:lvlText w:val="o"/>
      <w:lvlJc w:val="left"/>
      <w:pPr>
        <w:tabs>
          <w:tab w:val="num" w:pos="1996"/>
        </w:tabs>
        <w:ind w:left="1996" w:hanging="360"/>
      </w:pPr>
      <w:rPr>
        <w:rFonts w:ascii="Courier New" w:hAnsi="Courier New" w:cs="Courier New" w:hint="default"/>
      </w:rPr>
    </w:lvl>
    <w:lvl w:ilvl="2" w:tplc="04100005" w:tentative="1">
      <w:start w:val="1"/>
      <w:numFmt w:val="bullet"/>
      <w:lvlText w:val=""/>
      <w:lvlJc w:val="left"/>
      <w:pPr>
        <w:tabs>
          <w:tab w:val="num" w:pos="2716"/>
        </w:tabs>
        <w:ind w:left="2716" w:hanging="360"/>
      </w:pPr>
      <w:rPr>
        <w:rFonts w:ascii="Wingdings" w:hAnsi="Wingdings" w:hint="default"/>
      </w:rPr>
    </w:lvl>
    <w:lvl w:ilvl="3" w:tplc="04100001" w:tentative="1">
      <w:start w:val="1"/>
      <w:numFmt w:val="bullet"/>
      <w:lvlText w:val=""/>
      <w:lvlJc w:val="left"/>
      <w:pPr>
        <w:tabs>
          <w:tab w:val="num" w:pos="3436"/>
        </w:tabs>
        <w:ind w:left="3436" w:hanging="360"/>
      </w:pPr>
      <w:rPr>
        <w:rFonts w:ascii="Symbol" w:hAnsi="Symbol" w:hint="default"/>
      </w:rPr>
    </w:lvl>
    <w:lvl w:ilvl="4" w:tplc="04100003" w:tentative="1">
      <w:start w:val="1"/>
      <w:numFmt w:val="bullet"/>
      <w:lvlText w:val="o"/>
      <w:lvlJc w:val="left"/>
      <w:pPr>
        <w:tabs>
          <w:tab w:val="num" w:pos="4156"/>
        </w:tabs>
        <w:ind w:left="4156" w:hanging="360"/>
      </w:pPr>
      <w:rPr>
        <w:rFonts w:ascii="Courier New" w:hAnsi="Courier New" w:cs="Courier New" w:hint="default"/>
      </w:rPr>
    </w:lvl>
    <w:lvl w:ilvl="5" w:tplc="04100005" w:tentative="1">
      <w:start w:val="1"/>
      <w:numFmt w:val="bullet"/>
      <w:lvlText w:val=""/>
      <w:lvlJc w:val="left"/>
      <w:pPr>
        <w:tabs>
          <w:tab w:val="num" w:pos="4876"/>
        </w:tabs>
        <w:ind w:left="4876" w:hanging="360"/>
      </w:pPr>
      <w:rPr>
        <w:rFonts w:ascii="Wingdings" w:hAnsi="Wingdings" w:hint="default"/>
      </w:rPr>
    </w:lvl>
    <w:lvl w:ilvl="6" w:tplc="04100001" w:tentative="1">
      <w:start w:val="1"/>
      <w:numFmt w:val="bullet"/>
      <w:lvlText w:val=""/>
      <w:lvlJc w:val="left"/>
      <w:pPr>
        <w:tabs>
          <w:tab w:val="num" w:pos="5596"/>
        </w:tabs>
        <w:ind w:left="5596" w:hanging="360"/>
      </w:pPr>
      <w:rPr>
        <w:rFonts w:ascii="Symbol" w:hAnsi="Symbol" w:hint="default"/>
      </w:rPr>
    </w:lvl>
    <w:lvl w:ilvl="7" w:tplc="04100003" w:tentative="1">
      <w:start w:val="1"/>
      <w:numFmt w:val="bullet"/>
      <w:lvlText w:val="o"/>
      <w:lvlJc w:val="left"/>
      <w:pPr>
        <w:tabs>
          <w:tab w:val="num" w:pos="6316"/>
        </w:tabs>
        <w:ind w:left="6316" w:hanging="360"/>
      </w:pPr>
      <w:rPr>
        <w:rFonts w:ascii="Courier New" w:hAnsi="Courier New" w:cs="Courier New" w:hint="default"/>
      </w:rPr>
    </w:lvl>
    <w:lvl w:ilvl="8" w:tplc="04100005" w:tentative="1">
      <w:start w:val="1"/>
      <w:numFmt w:val="bullet"/>
      <w:lvlText w:val=""/>
      <w:lvlJc w:val="left"/>
      <w:pPr>
        <w:tabs>
          <w:tab w:val="num" w:pos="7036"/>
        </w:tabs>
        <w:ind w:left="7036" w:hanging="360"/>
      </w:pPr>
      <w:rPr>
        <w:rFonts w:ascii="Wingdings" w:hAnsi="Wingdings" w:hint="default"/>
      </w:rPr>
    </w:lvl>
  </w:abstractNum>
  <w:abstractNum w:abstractNumId="2" w15:restartNumberingAfterBreak="0">
    <w:nsid w:val="0EA2189E"/>
    <w:multiLevelType w:val="hybridMultilevel"/>
    <w:tmpl w:val="42E47AF6"/>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6F976F0"/>
    <w:multiLevelType w:val="hybridMultilevel"/>
    <w:tmpl w:val="3B8CEA28"/>
    <w:lvl w:ilvl="0" w:tplc="7520EAF0">
      <w:start w:val="1"/>
      <w:numFmt w:val="bullet"/>
      <w:lvlText w:val=""/>
      <w:lvlJc w:val="left"/>
      <w:pPr>
        <w:tabs>
          <w:tab w:val="num" w:pos="720"/>
        </w:tabs>
        <w:ind w:left="720"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82C70"/>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6" w15:restartNumberingAfterBreak="0">
    <w:nsid w:val="220A24BE"/>
    <w:multiLevelType w:val="hybridMultilevel"/>
    <w:tmpl w:val="4D1A6E1C"/>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7" w15:restartNumberingAfterBreak="0">
    <w:nsid w:val="22C87FE6"/>
    <w:multiLevelType w:val="hybridMultilevel"/>
    <w:tmpl w:val="ECEE0E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B2B5CA0"/>
    <w:multiLevelType w:val="hybridMultilevel"/>
    <w:tmpl w:val="AE34AE3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07527"/>
    <w:multiLevelType w:val="hybridMultilevel"/>
    <w:tmpl w:val="39AC0430"/>
    <w:lvl w:ilvl="0" w:tplc="433CD00A">
      <w:start w:val="1"/>
      <w:numFmt w:val="bullet"/>
      <w:lvlText w:val=""/>
      <w:lvlJc w:val="left"/>
      <w:pPr>
        <w:tabs>
          <w:tab w:val="num" w:pos="1276"/>
        </w:tabs>
        <w:ind w:left="1276" w:hanging="397"/>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54A1615"/>
    <w:multiLevelType w:val="hybridMultilevel"/>
    <w:tmpl w:val="8E0E26E2"/>
    <w:lvl w:ilvl="0" w:tplc="04100005">
      <w:start w:val="1"/>
      <w:numFmt w:val="bullet"/>
      <w:lvlText w:val=""/>
      <w:lvlJc w:val="left"/>
      <w:pPr>
        <w:tabs>
          <w:tab w:val="num" w:pos="1047"/>
        </w:tabs>
        <w:ind w:left="1047" w:hanging="360"/>
      </w:pPr>
      <w:rPr>
        <w:rFonts w:ascii="Wingdings" w:hAnsi="Wingdings" w:hint="default"/>
      </w:rPr>
    </w:lvl>
    <w:lvl w:ilvl="1" w:tplc="04100003" w:tentative="1">
      <w:start w:val="1"/>
      <w:numFmt w:val="bullet"/>
      <w:lvlText w:val="o"/>
      <w:lvlJc w:val="left"/>
      <w:pPr>
        <w:tabs>
          <w:tab w:val="num" w:pos="1767"/>
        </w:tabs>
        <w:ind w:left="1767" w:hanging="360"/>
      </w:pPr>
      <w:rPr>
        <w:rFonts w:ascii="Courier New" w:hAnsi="Courier New" w:cs="Courier New" w:hint="default"/>
      </w:rPr>
    </w:lvl>
    <w:lvl w:ilvl="2" w:tplc="04100005" w:tentative="1">
      <w:start w:val="1"/>
      <w:numFmt w:val="bullet"/>
      <w:lvlText w:val=""/>
      <w:lvlJc w:val="left"/>
      <w:pPr>
        <w:tabs>
          <w:tab w:val="num" w:pos="2487"/>
        </w:tabs>
        <w:ind w:left="2487" w:hanging="360"/>
      </w:pPr>
      <w:rPr>
        <w:rFonts w:ascii="Wingdings" w:hAnsi="Wingdings" w:hint="default"/>
      </w:rPr>
    </w:lvl>
    <w:lvl w:ilvl="3" w:tplc="04100001" w:tentative="1">
      <w:start w:val="1"/>
      <w:numFmt w:val="bullet"/>
      <w:lvlText w:val=""/>
      <w:lvlJc w:val="left"/>
      <w:pPr>
        <w:tabs>
          <w:tab w:val="num" w:pos="3207"/>
        </w:tabs>
        <w:ind w:left="3207" w:hanging="360"/>
      </w:pPr>
      <w:rPr>
        <w:rFonts w:ascii="Symbol" w:hAnsi="Symbol" w:hint="default"/>
      </w:rPr>
    </w:lvl>
    <w:lvl w:ilvl="4" w:tplc="04100003" w:tentative="1">
      <w:start w:val="1"/>
      <w:numFmt w:val="bullet"/>
      <w:lvlText w:val="o"/>
      <w:lvlJc w:val="left"/>
      <w:pPr>
        <w:tabs>
          <w:tab w:val="num" w:pos="3927"/>
        </w:tabs>
        <w:ind w:left="3927" w:hanging="360"/>
      </w:pPr>
      <w:rPr>
        <w:rFonts w:ascii="Courier New" w:hAnsi="Courier New" w:cs="Courier New" w:hint="default"/>
      </w:rPr>
    </w:lvl>
    <w:lvl w:ilvl="5" w:tplc="04100005" w:tentative="1">
      <w:start w:val="1"/>
      <w:numFmt w:val="bullet"/>
      <w:lvlText w:val=""/>
      <w:lvlJc w:val="left"/>
      <w:pPr>
        <w:tabs>
          <w:tab w:val="num" w:pos="4647"/>
        </w:tabs>
        <w:ind w:left="4647" w:hanging="360"/>
      </w:pPr>
      <w:rPr>
        <w:rFonts w:ascii="Wingdings" w:hAnsi="Wingdings" w:hint="default"/>
      </w:rPr>
    </w:lvl>
    <w:lvl w:ilvl="6" w:tplc="04100001" w:tentative="1">
      <w:start w:val="1"/>
      <w:numFmt w:val="bullet"/>
      <w:lvlText w:val=""/>
      <w:lvlJc w:val="left"/>
      <w:pPr>
        <w:tabs>
          <w:tab w:val="num" w:pos="5367"/>
        </w:tabs>
        <w:ind w:left="5367" w:hanging="360"/>
      </w:pPr>
      <w:rPr>
        <w:rFonts w:ascii="Symbol" w:hAnsi="Symbol" w:hint="default"/>
      </w:rPr>
    </w:lvl>
    <w:lvl w:ilvl="7" w:tplc="04100003" w:tentative="1">
      <w:start w:val="1"/>
      <w:numFmt w:val="bullet"/>
      <w:lvlText w:val="o"/>
      <w:lvlJc w:val="left"/>
      <w:pPr>
        <w:tabs>
          <w:tab w:val="num" w:pos="6087"/>
        </w:tabs>
        <w:ind w:left="6087" w:hanging="360"/>
      </w:pPr>
      <w:rPr>
        <w:rFonts w:ascii="Courier New" w:hAnsi="Courier New" w:cs="Courier New" w:hint="default"/>
      </w:rPr>
    </w:lvl>
    <w:lvl w:ilvl="8" w:tplc="04100005" w:tentative="1">
      <w:start w:val="1"/>
      <w:numFmt w:val="bullet"/>
      <w:lvlText w:val=""/>
      <w:lvlJc w:val="left"/>
      <w:pPr>
        <w:tabs>
          <w:tab w:val="num" w:pos="6807"/>
        </w:tabs>
        <w:ind w:left="6807" w:hanging="360"/>
      </w:pPr>
      <w:rPr>
        <w:rFonts w:ascii="Wingdings" w:hAnsi="Wingdings" w:hint="default"/>
      </w:rPr>
    </w:lvl>
  </w:abstractNum>
  <w:abstractNum w:abstractNumId="11" w15:restartNumberingAfterBreak="0">
    <w:nsid w:val="37D76C6D"/>
    <w:multiLevelType w:val="hybridMultilevel"/>
    <w:tmpl w:val="6A581CF2"/>
    <w:lvl w:ilvl="0" w:tplc="EC8E9DC8">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8141485"/>
    <w:multiLevelType w:val="hybridMultilevel"/>
    <w:tmpl w:val="A8427894"/>
    <w:lvl w:ilvl="0" w:tplc="0410000B">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92B52"/>
    <w:multiLevelType w:val="hybridMultilevel"/>
    <w:tmpl w:val="53DA5456"/>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44AA72E8"/>
    <w:multiLevelType w:val="hybridMultilevel"/>
    <w:tmpl w:val="127A46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6E714E"/>
    <w:multiLevelType w:val="hybridMultilevel"/>
    <w:tmpl w:val="21701C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4C7850"/>
    <w:multiLevelType w:val="hybridMultilevel"/>
    <w:tmpl w:val="4B3E1308"/>
    <w:lvl w:ilvl="0" w:tplc="0410000B">
      <w:start w:val="1"/>
      <w:numFmt w:val="bullet"/>
      <w:lvlText w:val=""/>
      <w:lvlJc w:val="left"/>
      <w:pPr>
        <w:tabs>
          <w:tab w:val="num" w:pos="720"/>
        </w:tabs>
        <w:ind w:left="720" w:hanging="360"/>
      </w:pPr>
      <w:rPr>
        <w:rFonts w:ascii="Wingdings" w:hAnsi="Wingdings" w:hint="default"/>
      </w:rPr>
    </w:lvl>
    <w:lvl w:ilvl="1" w:tplc="105AB2E8">
      <w:numFmt w:val="bullet"/>
      <w:lvlText w:val="-"/>
      <w:lvlJc w:val="left"/>
      <w:pPr>
        <w:tabs>
          <w:tab w:val="num" w:pos="1440"/>
        </w:tabs>
        <w:ind w:left="1440" w:hanging="360"/>
      </w:pPr>
      <w:rPr>
        <w:rFonts w:ascii="Arial" w:eastAsia="Berlin Sans FB"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DC0330"/>
    <w:multiLevelType w:val="hybridMultilevel"/>
    <w:tmpl w:val="E5327594"/>
    <w:lvl w:ilvl="0" w:tplc="77EC24B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B17D67"/>
    <w:multiLevelType w:val="hybridMultilevel"/>
    <w:tmpl w:val="786AD79A"/>
    <w:lvl w:ilvl="0" w:tplc="0410000B">
      <w:start w:val="1"/>
      <w:numFmt w:val="bullet"/>
      <w:lvlText w:val=""/>
      <w:lvlJc w:val="left"/>
      <w:pPr>
        <w:ind w:left="921" w:hanging="360"/>
      </w:pPr>
      <w:rPr>
        <w:rFonts w:ascii="Wingdings" w:hAnsi="Wingdings" w:hint="default"/>
      </w:rPr>
    </w:lvl>
    <w:lvl w:ilvl="1" w:tplc="04100003" w:tentative="1">
      <w:start w:val="1"/>
      <w:numFmt w:val="bullet"/>
      <w:lvlText w:val="o"/>
      <w:lvlJc w:val="left"/>
      <w:pPr>
        <w:ind w:left="1641" w:hanging="360"/>
      </w:pPr>
      <w:rPr>
        <w:rFonts w:ascii="Courier New" w:hAnsi="Courier New" w:cs="Courier New" w:hint="default"/>
      </w:rPr>
    </w:lvl>
    <w:lvl w:ilvl="2" w:tplc="04100005" w:tentative="1">
      <w:start w:val="1"/>
      <w:numFmt w:val="bullet"/>
      <w:lvlText w:val=""/>
      <w:lvlJc w:val="left"/>
      <w:pPr>
        <w:ind w:left="2361" w:hanging="360"/>
      </w:pPr>
      <w:rPr>
        <w:rFonts w:ascii="Wingdings" w:hAnsi="Wingdings" w:hint="default"/>
      </w:rPr>
    </w:lvl>
    <w:lvl w:ilvl="3" w:tplc="04100001" w:tentative="1">
      <w:start w:val="1"/>
      <w:numFmt w:val="bullet"/>
      <w:lvlText w:val=""/>
      <w:lvlJc w:val="left"/>
      <w:pPr>
        <w:ind w:left="3081" w:hanging="360"/>
      </w:pPr>
      <w:rPr>
        <w:rFonts w:ascii="Symbol" w:hAnsi="Symbol" w:hint="default"/>
      </w:rPr>
    </w:lvl>
    <w:lvl w:ilvl="4" w:tplc="04100003" w:tentative="1">
      <w:start w:val="1"/>
      <w:numFmt w:val="bullet"/>
      <w:lvlText w:val="o"/>
      <w:lvlJc w:val="left"/>
      <w:pPr>
        <w:ind w:left="3801" w:hanging="360"/>
      </w:pPr>
      <w:rPr>
        <w:rFonts w:ascii="Courier New" w:hAnsi="Courier New" w:cs="Courier New" w:hint="default"/>
      </w:rPr>
    </w:lvl>
    <w:lvl w:ilvl="5" w:tplc="04100005" w:tentative="1">
      <w:start w:val="1"/>
      <w:numFmt w:val="bullet"/>
      <w:lvlText w:val=""/>
      <w:lvlJc w:val="left"/>
      <w:pPr>
        <w:ind w:left="4521" w:hanging="360"/>
      </w:pPr>
      <w:rPr>
        <w:rFonts w:ascii="Wingdings" w:hAnsi="Wingdings" w:hint="default"/>
      </w:rPr>
    </w:lvl>
    <w:lvl w:ilvl="6" w:tplc="04100001" w:tentative="1">
      <w:start w:val="1"/>
      <w:numFmt w:val="bullet"/>
      <w:lvlText w:val=""/>
      <w:lvlJc w:val="left"/>
      <w:pPr>
        <w:ind w:left="5241" w:hanging="360"/>
      </w:pPr>
      <w:rPr>
        <w:rFonts w:ascii="Symbol" w:hAnsi="Symbol" w:hint="default"/>
      </w:rPr>
    </w:lvl>
    <w:lvl w:ilvl="7" w:tplc="04100003" w:tentative="1">
      <w:start w:val="1"/>
      <w:numFmt w:val="bullet"/>
      <w:lvlText w:val="o"/>
      <w:lvlJc w:val="left"/>
      <w:pPr>
        <w:ind w:left="5961" w:hanging="360"/>
      </w:pPr>
      <w:rPr>
        <w:rFonts w:ascii="Courier New" w:hAnsi="Courier New" w:cs="Courier New" w:hint="default"/>
      </w:rPr>
    </w:lvl>
    <w:lvl w:ilvl="8" w:tplc="04100005" w:tentative="1">
      <w:start w:val="1"/>
      <w:numFmt w:val="bullet"/>
      <w:lvlText w:val=""/>
      <w:lvlJc w:val="left"/>
      <w:pPr>
        <w:ind w:left="6681" w:hanging="360"/>
      </w:pPr>
      <w:rPr>
        <w:rFonts w:ascii="Wingdings" w:hAnsi="Wingdings" w:hint="default"/>
      </w:rPr>
    </w:lvl>
  </w:abstractNum>
  <w:abstractNum w:abstractNumId="19" w15:restartNumberingAfterBreak="0">
    <w:nsid w:val="62DC519F"/>
    <w:multiLevelType w:val="hybridMultilevel"/>
    <w:tmpl w:val="145436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E603E9"/>
    <w:multiLevelType w:val="hybridMultilevel"/>
    <w:tmpl w:val="E6FE1D86"/>
    <w:lvl w:ilvl="0" w:tplc="DF288C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BD1D2E"/>
    <w:multiLevelType w:val="hybridMultilevel"/>
    <w:tmpl w:val="43FED836"/>
    <w:lvl w:ilvl="0" w:tplc="B7EA2A4E">
      <w:numFmt w:val="bullet"/>
      <w:lvlText w:val="-"/>
      <w:lvlJc w:val="left"/>
      <w:pPr>
        <w:ind w:left="720" w:hanging="360"/>
      </w:pPr>
      <w:rPr>
        <w:rFonts w:ascii="Arial" w:eastAsia="Berlin Sans FB"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3A30CB"/>
    <w:multiLevelType w:val="hybridMultilevel"/>
    <w:tmpl w:val="24B221C0"/>
    <w:lvl w:ilvl="0" w:tplc="41A017DC">
      <w:start w:val="1"/>
      <w:numFmt w:val="bullet"/>
      <w:lvlText w:val=""/>
      <w:lvlJc w:val="left"/>
      <w:pPr>
        <w:tabs>
          <w:tab w:val="num" w:pos="720"/>
        </w:tabs>
        <w:ind w:left="720" w:hanging="360"/>
      </w:pPr>
      <w:rPr>
        <w:rFonts w:ascii="Symbol" w:hAnsi="Symbol"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010857"/>
    <w:multiLevelType w:val="hybridMultilevel"/>
    <w:tmpl w:val="455A0E3A"/>
    <w:lvl w:ilvl="0" w:tplc="43A2FFD0">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067F2"/>
    <w:multiLevelType w:val="hybridMultilevel"/>
    <w:tmpl w:val="FCC4AF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E27A51"/>
    <w:multiLevelType w:val="hybridMultilevel"/>
    <w:tmpl w:val="8A0A2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9932716">
    <w:abstractNumId w:val="5"/>
  </w:num>
  <w:num w:numId="2" w16cid:durableId="1690787952">
    <w:abstractNumId w:val="4"/>
  </w:num>
  <w:num w:numId="3" w16cid:durableId="1405562428">
    <w:abstractNumId w:val="1"/>
  </w:num>
  <w:num w:numId="4" w16cid:durableId="578056439">
    <w:abstractNumId w:val="22"/>
  </w:num>
  <w:num w:numId="5" w16cid:durableId="1530989211">
    <w:abstractNumId w:val="6"/>
  </w:num>
  <w:num w:numId="6" w16cid:durableId="984747305">
    <w:abstractNumId w:val="17"/>
  </w:num>
  <w:num w:numId="7" w16cid:durableId="1674870563">
    <w:abstractNumId w:val="8"/>
  </w:num>
  <w:num w:numId="8" w16cid:durableId="1464537817">
    <w:abstractNumId w:val="10"/>
  </w:num>
  <w:num w:numId="9" w16cid:durableId="1179075704">
    <w:abstractNumId w:val="16"/>
  </w:num>
  <w:num w:numId="10" w16cid:durableId="648676369">
    <w:abstractNumId w:val="7"/>
  </w:num>
  <w:num w:numId="11" w16cid:durableId="1394965742">
    <w:abstractNumId w:val="11"/>
  </w:num>
  <w:num w:numId="12" w16cid:durableId="1066997172">
    <w:abstractNumId w:val="9"/>
  </w:num>
  <w:num w:numId="13" w16cid:durableId="1781744">
    <w:abstractNumId w:val="23"/>
  </w:num>
  <w:num w:numId="14" w16cid:durableId="1467504573">
    <w:abstractNumId w:val="3"/>
  </w:num>
  <w:num w:numId="15" w16cid:durableId="2075547450">
    <w:abstractNumId w:val="20"/>
  </w:num>
  <w:num w:numId="16" w16cid:durableId="408310505">
    <w:abstractNumId w:val="21"/>
  </w:num>
  <w:num w:numId="17" w16cid:durableId="710619627">
    <w:abstractNumId w:val="14"/>
  </w:num>
  <w:num w:numId="18" w16cid:durableId="772435736">
    <w:abstractNumId w:val="25"/>
  </w:num>
  <w:num w:numId="19" w16cid:durableId="1888644108">
    <w:abstractNumId w:val="12"/>
  </w:num>
  <w:num w:numId="20" w16cid:durableId="1182745322">
    <w:abstractNumId w:val="13"/>
  </w:num>
  <w:num w:numId="21" w16cid:durableId="1778598478">
    <w:abstractNumId w:val="2"/>
  </w:num>
  <w:num w:numId="22" w16cid:durableId="595555628">
    <w:abstractNumId w:val="19"/>
  </w:num>
  <w:num w:numId="23" w16cid:durableId="512064285">
    <w:abstractNumId w:val="15"/>
  </w:num>
  <w:num w:numId="24" w16cid:durableId="1546869175">
    <w:abstractNumId w:val="24"/>
  </w:num>
  <w:num w:numId="25" w16cid:durableId="689405912">
    <w:abstractNumId w:val="18"/>
  </w:num>
  <w:num w:numId="26" w16cid:durableId="196492076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2050"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color="red" weight="1.25pt"/>
    </o:shapedefaults>
    <o:shapelayout v:ext="edit">
      <o:idmap v:ext="edit" data="2"/>
    </o:shapelayout>
  </w:shapeDefaults>
  <w:decimalSymbol w:val=","/>
  <w:listSeparator w:val=";"/>
  <w15:docId w15:val="{2809A117-B639-4414-8EB8-8C89A4C7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uiPriority w:val="99"/>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semiHidden/>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jc w:val="left"/>
    </w:pPr>
    <w:rPr>
      <w:color w:val="17365D"/>
      <w:sz w:val="28"/>
    </w:rPr>
  </w:style>
  <w:style w:type="paragraph" w:customStyle="1" w:styleId="WWAnomalie">
    <w:name w:val="WW_Anomalie"/>
    <w:basedOn w:val="WWNormativaSoftware"/>
    <w:next w:val="CorpoAltF0"/>
    <w:link w:val="WWAnomalieCarattere"/>
    <w:pPr>
      <w:ind w:left="176"/>
    </w:pPr>
  </w:style>
  <w:style w:type="character" w:customStyle="1" w:styleId="WWAnomalieCarattere">
    <w:name w:val="WW_Anomalie Carattere"/>
    <w:link w:val="WWAnomalie"/>
    <w:rPr>
      <w:rFonts w:ascii="Arial" w:hAnsi="Arial"/>
      <w:b/>
      <w:bCs/>
      <w:color w:val="17365D"/>
      <w:sz w:val="28"/>
    </w:rPr>
  </w:style>
  <w:style w:type="paragraph" w:customStyle="1" w:styleId="WWTipoDocumento">
    <w:name w:val="WW_TipoDocumento"/>
    <w:basedOn w:val="CorpoAltF0"/>
    <w:next w:val="CorpoAltF0"/>
    <w:link w:val="WWTipoDocumentoCarattere"/>
    <w:qFormat/>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customStyle="1" w:styleId="Ignora">
    <w:name w:val="Ignora"/>
    <w:basedOn w:val="CorpoAltF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398990379">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ricoli\Documents\Modelli%20di%20Office%20personalizzati\PAGHE_AAAAXXYY_A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D259-CEB7-4BB5-93DE-6EF8C976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PAGHE_AAAAXXYY_AN.dotx</Template>
  <TotalTime>1980</TotalTime>
  <Pages>5</Pages>
  <Words>1737</Words>
  <Characters>12332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14041</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Barbara Mandolini</dc:creator>
  <cp:lastModifiedBy>Luca Moricoli</cp:lastModifiedBy>
  <cp:revision>47</cp:revision>
  <cp:lastPrinted>2022-10-13T17:40:00Z</cp:lastPrinted>
  <dcterms:created xsi:type="dcterms:W3CDTF">2022-07-25T16:17:00Z</dcterms:created>
  <dcterms:modified xsi:type="dcterms:W3CDTF">2022-10-13T17:40:00Z</dcterms:modified>
</cp:coreProperties>
</file>