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CorpoAltF0"/>
      </w:pPr>
    </w:p>
    <w:tbl>
      <w:tblPr>
        <w:tblStyle w:val="Grigliatabella"/>
        <w:tblW w:w="9639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>
        <w:trPr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>
            <w:pPr>
              <w:pStyle w:val="WWRelease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RELEASE </w:t>
            </w:r>
            <w:proofErr w:type="spellStart"/>
            <w:r>
              <w:rPr>
                <w:lang w:val="en-US"/>
              </w:rPr>
              <w:t>Versione</w:t>
            </w:r>
            <w:proofErr w:type="spellEnd"/>
            <w:r>
              <w:rPr>
                <w:lang w:val="en-US"/>
              </w:rPr>
              <w:t xml:space="preserve"> 2022.2.7</w:t>
            </w:r>
          </w:p>
        </w:tc>
      </w:tr>
    </w:tbl>
    <w:p>
      <w:pPr>
        <w:pStyle w:val="CorpoAltF0"/>
        <w:rPr>
          <w:sz w:val="10"/>
          <w:szCs w:val="1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1973"/>
        <w:gridCol w:w="3841"/>
      </w:tblGrid>
      <w:tr>
        <w:trPr>
          <w:cantSplit/>
          <w:trHeight w:val="340"/>
          <w:jc w:val="center"/>
        </w:trPr>
        <w:tc>
          <w:tcPr>
            <w:tcW w:w="38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365F91" w:themeColor="accent1" w:themeShade="BF"/>
            </w:tcBorders>
            <w:tcMar>
              <w:left w:w="28" w:type="dxa"/>
              <w:right w:w="28" w:type="dxa"/>
            </w:tcMar>
          </w:tcPr>
          <w:p>
            <w:pPr>
              <w:pStyle w:val="WWTipoDocumento"/>
            </w:pPr>
            <w:r>
              <w:t>CONTENUTO DEL RILASCIO</w:t>
            </w:r>
          </w:p>
          <w:p>
            <w:pPr>
              <w:pStyle w:val="CorpoAltF0"/>
              <w:rPr>
                <w:color w:val="FFFFFF" w:themeColor="background1"/>
              </w:rPr>
            </w:pPr>
            <w:r>
              <w:rPr>
                <w:noProof/>
              </w:rPr>
              <w:drawing>
                <wp:inline distT="0" distB="0" distL="0" distR="0">
                  <wp:extent cx="2350135" cy="2820670"/>
                  <wp:effectExtent l="0" t="0" r="0" b="0"/>
                  <wp:docPr id="2076529524" name="Immagine 3" descr="PAGHE_splas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135" cy="282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Applicativo:</w:t>
            </w:r>
          </w:p>
        </w:tc>
        <w:tc>
          <w:tcPr>
            <w:tcW w:w="384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PAGHE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</w:tcBorders>
            <w:tcMar>
              <w:left w:w="28" w:type="dxa"/>
              <w:right w:w="28" w:type="dxa"/>
            </w:tcMar>
          </w:tcPr>
          <w:p>
            <w:pPr>
              <w:rPr>
                <w:color w:val="FFFFFF" w:themeColor="background1"/>
              </w:rPr>
            </w:pPr>
          </w:p>
        </w:tc>
        <w:tc>
          <w:tcPr>
            <w:tcW w:w="197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384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</w:rPr>
            </w:pPr>
            <w:r>
              <w:rPr>
                <w:rFonts w:cs="Arial"/>
              </w:rPr>
              <w:t>Aggiornamento procedura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</w:tcBorders>
            <w:tcMar>
              <w:left w:w="28" w:type="dxa"/>
              <w:right w:w="28" w:type="dxa"/>
            </w:tcMar>
          </w:tcPr>
          <w:p>
            <w:pPr>
              <w:rPr>
                <w:color w:val="FFFFFF" w:themeColor="background1"/>
              </w:rPr>
            </w:pPr>
          </w:p>
        </w:tc>
        <w:tc>
          <w:tcPr>
            <w:tcW w:w="197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Versione:</w:t>
            </w:r>
          </w:p>
        </w:tc>
        <w:tc>
          <w:tcPr>
            <w:tcW w:w="384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2022.2.7 (Update)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</w:tcBorders>
            <w:tcMar>
              <w:left w:w="28" w:type="dxa"/>
              <w:right w:w="28" w:type="dxa"/>
            </w:tcMar>
          </w:tcPr>
          <w:p>
            <w:pPr>
              <w:rPr>
                <w:color w:val="FFFFFF" w:themeColor="background1"/>
              </w:rPr>
            </w:pPr>
          </w:p>
        </w:tc>
        <w:tc>
          <w:tcPr>
            <w:tcW w:w="197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di rilascio:</w:t>
            </w:r>
          </w:p>
        </w:tc>
        <w:tc>
          <w:tcPr>
            <w:tcW w:w="384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>13.10.2022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</w:tcBorders>
            <w:tcMar>
              <w:left w:w="28" w:type="dxa"/>
              <w:right w:w="28" w:type="dxa"/>
            </w:tcMar>
          </w:tcPr>
          <w:p>
            <w:pPr>
              <w:rPr>
                <w:color w:val="FFFFFF" w:themeColor="background1"/>
              </w:rPr>
            </w:pPr>
          </w:p>
        </w:tc>
        <w:tc>
          <w:tcPr>
            <w:tcW w:w="197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Riferimento:</w:t>
            </w:r>
          </w:p>
        </w:tc>
        <w:tc>
          <w:tcPr>
            <w:tcW w:w="384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Contenuto del Rilascio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</w:tcBorders>
            <w:tcMar>
              <w:left w:w="28" w:type="dxa"/>
              <w:right w:w="28" w:type="dxa"/>
            </w:tcMar>
          </w:tcPr>
          <w:p>
            <w:pPr>
              <w:rPr>
                <w:color w:val="FFFFFF" w:themeColor="background1"/>
              </w:rPr>
            </w:pPr>
          </w:p>
        </w:tc>
        <w:tc>
          <w:tcPr>
            <w:tcW w:w="197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Classificazione:</w:t>
            </w:r>
          </w:p>
        </w:tc>
        <w:tc>
          <w:tcPr>
            <w:tcW w:w="384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Guida utente</w:t>
            </w:r>
          </w:p>
        </w:tc>
      </w:tr>
      <w:tr>
        <w:trPr>
          <w:cantSplit/>
          <w:trHeight w:hRule="exact" w:val="113"/>
          <w:jc w:val="center"/>
        </w:trPr>
        <w:tc>
          <w:tcPr>
            <w:tcW w:w="3820" w:type="dxa"/>
            <w:vMerge/>
            <w:tcBorders>
              <w:left w:val="nil"/>
            </w:tcBorders>
            <w:tcMar>
              <w:left w:w="28" w:type="dxa"/>
              <w:right w:w="28" w:type="dxa"/>
            </w:tcMar>
          </w:tcPr>
          <w:p>
            <w:pPr>
              <w:rPr>
                <w:color w:val="FFFFFF" w:themeColor="background1"/>
              </w:rPr>
            </w:pPr>
          </w:p>
        </w:tc>
        <w:tc>
          <w:tcPr>
            <w:tcW w:w="1973" w:type="dxa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41" w:type="dxa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  <w:tr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</w:tcBorders>
            <w:tcMar>
              <w:left w:w="28" w:type="dxa"/>
              <w:right w:w="28" w:type="dxa"/>
            </w:tcMar>
          </w:tcPr>
          <w:p>
            <w:pPr>
              <w:rPr>
                <w:color w:val="FFFFFF" w:themeColor="background1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CCCCC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COMPATIBILITA’</w:t>
            </w:r>
          </w:p>
        </w:tc>
      </w:tr>
      <w:tr>
        <w:trPr>
          <w:cantSplit/>
          <w:trHeight w:val="348"/>
          <w:jc w:val="center"/>
        </w:trPr>
        <w:tc>
          <w:tcPr>
            <w:tcW w:w="3820" w:type="dxa"/>
            <w:vMerge/>
            <w:tcBorders>
              <w:left w:val="nil"/>
            </w:tcBorders>
            <w:tcMar>
              <w:left w:w="28" w:type="dxa"/>
              <w:right w:w="28" w:type="dxa"/>
            </w:tcMar>
          </w:tcPr>
          <w:p>
            <w:pPr>
              <w:rPr>
                <w:color w:val="FFFFFF" w:themeColor="background1"/>
              </w:rPr>
            </w:pPr>
          </w:p>
        </w:tc>
        <w:tc>
          <w:tcPr>
            <w:tcW w:w="197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EMENS</w:t>
            </w:r>
          </w:p>
        </w:tc>
        <w:tc>
          <w:tcPr>
            <w:tcW w:w="384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2022.1.1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</w:tcBorders>
            <w:tcMar>
              <w:left w:w="28" w:type="dxa"/>
              <w:right w:w="28" w:type="dxa"/>
            </w:tcMar>
          </w:tcPr>
          <w:p>
            <w:pPr>
              <w:rPr>
                <w:color w:val="FFFFFF" w:themeColor="background1"/>
              </w:rPr>
            </w:pPr>
          </w:p>
        </w:tc>
        <w:tc>
          <w:tcPr>
            <w:tcW w:w="197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F24</w:t>
            </w:r>
          </w:p>
        </w:tc>
        <w:tc>
          <w:tcPr>
            <w:tcW w:w="384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2022.0.5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</w:tcBorders>
            <w:tcMar>
              <w:left w:w="28" w:type="dxa"/>
              <w:right w:w="28" w:type="dxa"/>
            </w:tcMar>
          </w:tcPr>
          <w:p>
            <w:pPr>
              <w:rPr>
                <w:color w:val="FFFFFF" w:themeColor="background1"/>
              </w:rPr>
            </w:pPr>
          </w:p>
        </w:tc>
        <w:tc>
          <w:tcPr>
            <w:tcW w:w="197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STUDIO PAGHE</w:t>
            </w:r>
          </w:p>
        </w:tc>
        <w:tc>
          <w:tcPr>
            <w:tcW w:w="384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2022.4.2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</w:tcBorders>
            <w:tcMar>
              <w:left w:w="28" w:type="dxa"/>
              <w:right w:w="28" w:type="dxa"/>
            </w:tcMar>
          </w:tcPr>
          <w:p>
            <w:pPr>
              <w:rPr>
                <w:color w:val="FFFFFF" w:themeColor="background1"/>
              </w:rPr>
            </w:pPr>
          </w:p>
        </w:tc>
        <w:tc>
          <w:tcPr>
            <w:tcW w:w="197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4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</w:p>
        </w:tc>
      </w:tr>
      <w:tr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>
            <w:pPr>
              <w:pStyle w:val="Titoloindice"/>
              <w:rPr>
                <w:color w:val="FFFFFF" w:themeColor="background1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 il dettaglio dei requisiti e delle versioni minime inerenti software di base e sistemi operativi consultare la tabella in coda al presente documento</w:t>
            </w:r>
          </w:p>
        </w:tc>
      </w:tr>
    </w:tbl>
    <w:p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29"/>
      </w:tblGrid>
      <w:tr>
        <w:trPr>
          <w:trHeight w:val="221"/>
          <w:jc w:val="center"/>
        </w:trPr>
        <w:tc>
          <w:tcPr>
            <w:tcW w:w="9629" w:type="dxa"/>
            <w:shd w:val="clear" w:color="auto" w:fill="CCCCCC"/>
            <w:vAlign w:val="center"/>
          </w:tcPr>
          <w:p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t>Avviso importante</w:t>
            </w:r>
          </w:p>
        </w:tc>
      </w:tr>
      <w:tr>
        <w:trPr>
          <w:jc w:val="center"/>
        </w:trPr>
        <w:tc>
          <w:tcPr>
            <w:tcW w:w="9629" w:type="dxa"/>
          </w:tcPr>
          <w:p>
            <w:pPr>
              <w:pStyle w:val="corpoAltF"/>
              <w:spacing w:before="240"/>
              <w:ind w:left="142" w:right="17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DISMISSIONE DEFINITIVA GESTIONE “PASSWORD ARCHIVI DI BASE”</w:t>
            </w:r>
          </w:p>
          <w:p>
            <w:pPr>
              <w:pStyle w:val="corpoAltF"/>
              <w:spacing w:before="120"/>
              <w:ind w:left="142" w:righ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Con l’installazione della presente versione viene </w:t>
            </w:r>
            <w:r>
              <w:rPr>
                <w:b/>
                <w:sz w:val="22"/>
                <w:szCs w:val="22"/>
                <w:u w:val="single"/>
              </w:rPr>
              <w:t>definitivamente dismesso il controllo dell’acceso agli archivi effettuato all’interno dell’applicativo PAGHE</w:t>
            </w:r>
            <w:r>
              <w:rPr>
                <w:b/>
                <w:sz w:val="22"/>
                <w:szCs w:val="22"/>
              </w:rPr>
              <w:t>, mediante la gestione della specifica tabella (TB1207), in favore della funzione centralizzata “Permessi Applicativi ACLAPG” (dismissione preannunciata con versione PAGHE 2021.2.1 e 2022.2.4).</w:t>
            </w:r>
          </w:p>
          <w:p>
            <w:pPr>
              <w:pStyle w:val="corpoAltF"/>
              <w:spacing w:before="60"/>
              <w:ind w:left="142" w:right="17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Agli utenti che stanno ancora gestendo la suddetta tabella si ricorda che, in assenza di attivazione delle ACLAPG, l’intera gestione dei dati e delle funzioni degli applicativi del contesto risulterà accessibile a tutti gli utenti.</w:t>
            </w:r>
          </w:p>
          <w:p>
            <w:pPr>
              <w:pStyle w:val="corpoAltF"/>
              <w:ind w:left="142" w:right="170"/>
              <w:rPr>
                <w:b/>
                <w:sz w:val="22"/>
                <w:szCs w:val="22"/>
              </w:rPr>
            </w:pPr>
          </w:p>
          <w:p>
            <w:pPr>
              <w:pStyle w:val="corpoAltF"/>
              <w:ind w:left="142" w:righ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riferimento all’applicativo EMENS, la dismissione definitiva dell’acceso agli archivi effettuato mediante la gestione della tabella EME104 avverrà con il prossimo aggiornamento della procedura.</w:t>
            </w:r>
          </w:p>
          <w:p>
            <w:pPr>
              <w:pStyle w:val="corpoAltF"/>
              <w:ind w:left="142" w:right="170"/>
              <w:rPr>
                <w:b/>
                <w:sz w:val="22"/>
                <w:szCs w:val="22"/>
              </w:rPr>
            </w:pPr>
          </w:p>
          <w:p>
            <w:pPr>
              <w:pStyle w:val="corpoAltF"/>
              <w:ind w:left="142" w:right="17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Precisazione contesto PRESENZE</w:t>
            </w:r>
          </w:p>
          <w:p>
            <w:pPr>
              <w:pStyle w:val="corpoAltF"/>
              <w:spacing w:before="60"/>
              <w:ind w:left="142" w:righ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 sottolinea che per l’applicativo PAGENTRY, qualora impostato, continuerà ad essere attivo il precedente controllo dell’accesso agli archivi gestito sempre da TB1207.</w:t>
            </w:r>
          </w:p>
          <w:p>
            <w:pPr>
              <w:pStyle w:val="corpoAltF"/>
              <w:spacing w:before="60"/>
              <w:ind w:left="142" w:righ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 le installazioni PAGENTRY non collegate alle anagrafiche PAGHE (campo “</w:t>
            </w:r>
            <w:r>
              <w:rPr>
                <w:b/>
                <w:i/>
                <w:iCs/>
                <w:sz w:val="22"/>
                <w:szCs w:val="22"/>
              </w:rPr>
              <w:t>Uso anagrafica PAGHE</w:t>
            </w:r>
            <w:r>
              <w:rPr>
                <w:b/>
                <w:sz w:val="22"/>
                <w:szCs w:val="22"/>
              </w:rPr>
              <w:t>” di tabella “</w:t>
            </w:r>
            <w:r>
              <w:rPr>
                <w:b/>
                <w:i/>
                <w:iCs/>
                <w:sz w:val="22"/>
                <w:szCs w:val="22"/>
              </w:rPr>
              <w:t>Personalizzazioni</w:t>
            </w:r>
            <w:r>
              <w:rPr>
                <w:b/>
                <w:sz w:val="22"/>
                <w:szCs w:val="22"/>
              </w:rPr>
              <w:t>” di PAGENTRY non compilato), continueranno ad operare i permessi impostati mediante la scelta “</w:t>
            </w:r>
            <w:r>
              <w:rPr>
                <w:b/>
                <w:i/>
                <w:iCs/>
                <w:sz w:val="22"/>
                <w:szCs w:val="22"/>
              </w:rPr>
              <w:t>Gestione password/funzioni</w:t>
            </w:r>
            <w:r>
              <w:rPr>
                <w:b/>
                <w:sz w:val="22"/>
                <w:szCs w:val="22"/>
              </w:rPr>
              <w:t>” di PAGENTRY.</w:t>
            </w:r>
          </w:p>
          <w:p>
            <w:pPr>
              <w:pStyle w:val="corpoAltF"/>
              <w:spacing w:before="120"/>
              <w:ind w:left="142" w:right="170"/>
              <w:rPr>
                <w:b/>
                <w:sz w:val="22"/>
                <w:szCs w:val="22"/>
              </w:rPr>
            </w:pPr>
          </w:p>
        </w:tc>
      </w:tr>
    </w:tbl>
    <w:p>
      <w:pPr>
        <w:pStyle w:val="CorpoAltF0"/>
      </w:pPr>
    </w:p>
    <w:p>
      <w:pPr>
        <w:pStyle w:val="Ignora"/>
      </w:pPr>
      <w:r>
        <w:br w:type="page"/>
      </w:r>
    </w:p>
    <w:p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29"/>
      </w:tblGrid>
      <w:tr>
        <w:trPr>
          <w:trHeight w:val="221"/>
          <w:jc w:val="center"/>
        </w:trPr>
        <w:tc>
          <w:tcPr>
            <w:tcW w:w="9629" w:type="dxa"/>
            <w:shd w:val="clear" w:color="auto" w:fill="CCCCCC"/>
            <w:vAlign w:val="center"/>
          </w:tcPr>
          <w:p>
            <w:pPr>
              <w:pStyle w:val="WWContenutoRilascio"/>
            </w:pPr>
            <w:r>
              <w:t>Contenuto del rilascio</w:t>
            </w:r>
          </w:p>
        </w:tc>
      </w:tr>
      <w:tr>
        <w:trPr>
          <w:jc w:val="center"/>
        </w:trPr>
        <w:tc>
          <w:tcPr>
            <w:tcW w:w="9629" w:type="dxa"/>
          </w:tcPr>
          <w:p>
            <w:pPr>
              <w:pStyle w:val="corpoAltF"/>
              <w:numPr>
                <w:ilvl w:val="0"/>
                <w:numId w:val="29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bookmarkStart w:id="0" w:name="_Toc58870408"/>
            <w:bookmarkStart w:id="1" w:name="_Toc106793828"/>
            <w:bookmarkStart w:id="2" w:name="_Toc108108427"/>
            <w:bookmarkStart w:id="3" w:name="_Toc108112610"/>
            <w:bookmarkStart w:id="4" w:name="_Toc116564454"/>
            <w:r>
              <w:rPr>
                <w:b/>
                <w:sz w:val="22"/>
                <w:szCs w:val="22"/>
              </w:rPr>
              <w:t>Esonero parziale contributi IVS c/dipendente</w:t>
            </w:r>
          </w:p>
          <w:p>
            <w:pPr>
              <w:pStyle w:val="corpoAltF"/>
              <w:ind w:left="454" w:right="170"/>
            </w:pPr>
            <w:r>
              <w:t xml:space="preserve">Implementato il programma ai fini del calcolo, a partire dalla mensilità di </w:t>
            </w:r>
            <w:r>
              <w:rPr>
                <w:b/>
                <w:bCs/>
              </w:rPr>
              <w:t>ottobre 2022</w:t>
            </w:r>
            <w:r>
              <w:t>, dell’esonero in oggetto nella misura del 2% (</w:t>
            </w:r>
            <w:r>
              <w:t>in luogo dello 0,8%, come previsto dall’art. 20, D.L. n. 115/2022</w:t>
            </w:r>
            <w:r>
              <w:t xml:space="preserve">), sulla base delle </w:t>
            </w:r>
            <w:r>
              <w:t>istruzioni</w:t>
            </w:r>
            <w:r>
              <w:t xml:space="preserve"> fornite con messaggio INPS n. 3499 del 26.09.2022.</w:t>
            </w:r>
          </w:p>
          <w:p>
            <w:pPr>
              <w:pStyle w:val="corpoAltF"/>
              <w:ind w:left="454" w:right="170"/>
            </w:pPr>
            <w:r>
              <w:t>Il programma verrà successivamente implementato per il calcolo, a titolo di arretrati, dell’integrazione dell’1,2% spettante per il periodo luglio-settembre 2022.</w:t>
            </w:r>
          </w:p>
          <w:p>
            <w:pPr>
              <w:pStyle w:val="corpoAltF"/>
              <w:numPr>
                <w:ilvl w:val="0"/>
                <w:numId w:val="29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Indennità una tantum 200 euro</w:t>
            </w:r>
          </w:p>
          <w:p>
            <w:pPr>
              <w:pStyle w:val="corpoAltF"/>
              <w:spacing w:before="60"/>
              <w:ind w:left="454" w:right="170"/>
            </w:pPr>
            <w:r>
              <w:t xml:space="preserve">Il comando </w:t>
            </w:r>
            <w:r>
              <w:rPr>
                <w:b/>
                <w:bCs/>
              </w:rPr>
              <w:t>DRESP</w:t>
            </w:r>
            <w:r>
              <w:t xml:space="preserve"> è stato implementato</w:t>
            </w:r>
            <w:r>
              <w:t xml:space="preserve"> </w:t>
            </w:r>
            <w:r>
              <w:t xml:space="preserve">per </w:t>
            </w:r>
            <w:r>
              <w:t>consentire</w:t>
            </w:r>
            <w:r>
              <w:t xml:space="preserve"> la generazione di una nuova dichiarazione </w:t>
            </w:r>
            <w:r>
              <w:t xml:space="preserve">utile al fine di procedere all’erogazione dell’indennità in oggetto per i </w:t>
            </w:r>
            <w:r>
              <w:t xml:space="preserve">lavoratori che non hanno beneficiato dell’esonero </w:t>
            </w:r>
            <w:r>
              <w:t xml:space="preserve">0,8% </w:t>
            </w:r>
            <w:r>
              <w:t>IVS c/dipendente poiché interessati da eventi con copertura di contribuzione figurativa integrale da parte dell’INPS</w:t>
            </w:r>
            <w:r>
              <w:t xml:space="preserve"> nel periodo 1° gennaio-18 maggio 2022 (art. 22, D.L. n. 115/2022).</w:t>
            </w:r>
          </w:p>
          <w:p>
            <w:pPr>
              <w:pStyle w:val="corpoAltF"/>
              <w:spacing w:before="60"/>
              <w:ind w:left="454" w:right="170"/>
            </w:pPr>
            <w:r>
              <w:t>L’erogazione dell’indennità potrà essere effettuata a cura dell’utente mediante inserimento nel cedolino di ottobre</w:t>
            </w:r>
            <w:r>
              <w:t xml:space="preserve"> </w:t>
            </w:r>
            <w:r>
              <w:t xml:space="preserve">della medesima voce di calcolo fornita con la versione </w:t>
            </w:r>
            <w:r>
              <w:rPr>
                <w:b/>
                <w:bCs/>
              </w:rPr>
              <w:t>PAGHE 2022.1.7</w:t>
            </w:r>
            <w:r>
              <w:t xml:space="preserve"> (</w:t>
            </w:r>
            <w:r>
              <w:t xml:space="preserve">codice </w:t>
            </w:r>
            <w:r>
              <w:t xml:space="preserve">voce </w:t>
            </w:r>
            <w:r>
              <w:rPr>
                <w:b/>
                <w:bCs/>
              </w:rPr>
              <w:t>8582</w:t>
            </w:r>
            <w:r>
              <w:t>)</w:t>
            </w:r>
            <w:r>
              <w:t>.</w:t>
            </w:r>
          </w:p>
          <w:p>
            <w:pPr>
              <w:pStyle w:val="corpoAltF"/>
              <w:numPr>
                <w:ilvl w:val="0"/>
                <w:numId w:val="29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UTY2225 - Arretrati FIS/CIGO/CIGS periodo gennaio-giugno 2022</w:t>
            </w:r>
          </w:p>
          <w:p>
            <w:pPr>
              <w:pStyle w:val="corpoAltF"/>
              <w:spacing w:before="60"/>
              <w:ind w:left="454" w:right="170"/>
              <w:rPr>
                <w:bCs/>
              </w:rPr>
            </w:pPr>
            <w:r>
              <w:t xml:space="preserve">In funzione di quanto previsto con messaggio INPS n. 3649 del 05.10.2022, il comando </w:t>
            </w:r>
            <w:r>
              <w:rPr>
                <w:b/>
              </w:rPr>
              <w:t>UTY2225</w:t>
            </w:r>
            <w:r>
              <w:rPr>
                <w:bCs/>
              </w:rPr>
              <w:t xml:space="preserve"> è stato implementato per consentire il calcolo degli arretrati in oggetto con l’elaborazione della mensilità di ottobre 2022.</w:t>
            </w:r>
          </w:p>
          <w:p>
            <w:pPr>
              <w:pStyle w:val="corpoAltF"/>
              <w:numPr>
                <w:ilvl w:val="0"/>
                <w:numId w:val="29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Esonero </w:t>
            </w:r>
            <w:bookmarkStart w:id="5" w:name="_Hlk107817905"/>
            <w:proofErr w:type="spellStart"/>
            <w:r>
              <w:rPr>
                <w:b/>
                <w:sz w:val="22"/>
                <w:szCs w:val="22"/>
              </w:rPr>
              <w:t>contrib</w:t>
            </w:r>
            <w:proofErr w:type="spellEnd"/>
            <w:r>
              <w:rPr>
                <w:b/>
                <w:sz w:val="22"/>
                <w:szCs w:val="22"/>
              </w:rPr>
              <w:t xml:space="preserve">. a favore delle </w:t>
            </w:r>
            <w:bookmarkEnd w:id="0"/>
            <w:bookmarkEnd w:id="1"/>
            <w:bookmarkEnd w:id="2"/>
            <w:bookmarkEnd w:id="3"/>
            <w:bookmarkEnd w:id="5"/>
            <w:r>
              <w:rPr>
                <w:b/>
                <w:sz w:val="22"/>
                <w:szCs w:val="22"/>
              </w:rPr>
              <w:t>lavoratrici che rientrano dal congedo di maternità</w:t>
            </w:r>
            <w:bookmarkEnd w:id="4"/>
          </w:p>
          <w:p>
            <w:pPr>
              <w:pStyle w:val="corpoAltF"/>
              <w:spacing w:before="60"/>
              <w:ind w:left="454" w:right="170"/>
            </w:pPr>
            <w:r>
              <w:t>Con riferimento all’esonero introdotto dall’articolo 1, comma 137 della legge 30 dicembre 2021, n.234, disciplinato dall’INPS con circolare n. 102 del 19/09/2022, il programma implementato è stato per consentire all’utente di identificare le dipendenti agevolabili e calcolare l’importo d’incentivo corrente a partire dal mese di ottobre 2022.</w:t>
            </w:r>
          </w:p>
          <w:p>
            <w:pPr>
              <w:pStyle w:val="corpoAltF"/>
              <w:ind w:left="454" w:right="170"/>
            </w:pPr>
            <w:r>
              <w:t>Si precisa che per il trasferimento delle informazioni richieste nella denuncia UNIEMENS occorre attendere l’allineamento della procedura EMENS, che verrà implementata con un successivo aggiornamento, a seguito del quale sarà necessario eseguire la funzione di prelievo dati.</w:t>
            </w:r>
          </w:p>
          <w:p>
            <w:pPr>
              <w:pStyle w:val="corpoAltF"/>
              <w:ind w:left="454" w:right="170"/>
            </w:pPr>
            <w:r>
              <w:t>Il calcolo dell’importo di esonero riferito al periodo arretrato (da gennaio a settembre) verrà implementato con una successiva versione del programma.</w:t>
            </w:r>
          </w:p>
          <w:p>
            <w:pPr>
              <w:pStyle w:val="corpoAltF"/>
              <w:numPr>
                <w:ilvl w:val="0"/>
                <w:numId w:val="29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Welfare aziendale</w:t>
            </w:r>
          </w:p>
          <w:p>
            <w:pPr>
              <w:pStyle w:val="corpoAltF"/>
              <w:spacing w:before="60"/>
              <w:ind w:left="454" w:right="170"/>
            </w:pPr>
            <w:r>
              <w:t>Implementato il programma con riferimento a :</w:t>
            </w:r>
          </w:p>
          <w:p>
            <w:pPr>
              <w:pStyle w:val="corpoAltF"/>
              <w:numPr>
                <w:ilvl w:val="0"/>
                <w:numId w:val="30"/>
              </w:numPr>
              <w:spacing w:before="60"/>
              <w:ind w:left="843" w:right="170" w:hanging="284"/>
            </w:pPr>
            <w:r>
              <w:t xml:space="preserve">aumento del limite esente previsto con riferimento ai compensi in natura </w:t>
            </w:r>
            <w:r>
              <w:t xml:space="preserve">(da 258,23 a 600,00) </w:t>
            </w:r>
            <w:r>
              <w:t>e gestione delle somme erogate a titolo di rimborso delle utenze domestiche, da ricomprendere nel suddetto limite esente;</w:t>
            </w:r>
          </w:p>
          <w:p>
            <w:pPr>
              <w:pStyle w:val="corpoAltF"/>
              <w:numPr>
                <w:ilvl w:val="0"/>
                <w:numId w:val="30"/>
              </w:numPr>
              <w:spacing w:before="60"/>
              <w:ind w:left="843" w:right="170" w:hanging="284"/>
            </w:pPr>
            <w:r>
              <w:t xml:space="preserve">gestione dei </w:t>
            </w:r>
            <w:r>
              <w:rPr>
                <w:noProof/>
              </w:rPr>
              <w:t xml:space="preserve">buoni carburante </w:t>
            </w:r>
            <w:r>
              <w:t>ex art. 2 DL n. 21/2022 all’interno del piano di welfare aziendale, quando riconosciuti in sostituzione di premi di risultato (PDR), anche laddove messi a disposizione dall’azienda ai dipendenti sulla specifica piattaforma.</w:t>
            </w:r>
          </w:p>
          <w:p>
            <w:pPr>
              <w:pStyle w:val="corpoAltF"/>
              <w:numPr>
                <w:ilvl w:val="0"/>
                <w:numId w:val="29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bookmarkStart w:id="6" w:name="_Toc109922180"/>
            <w:bookmarkStart w:id="7" w:name="_Toc109924496"/>
            <w:bookmarkStart w:id="8" w:name="_Toc116564465"/>
            <w:r>
              <w:rPr>
                <w:b/>
                <w:sz w:val="22"/>
                <w:szCs w:val="22"/>
              </w:rPr>
              <w:t>Esonero parziale contributi IVS c/dipendente</w:t>
            </w:r>
          </w:p>
          <w:p>
            <w:pPr>
              <w:pStyle w:val="corpoAltF"/>
              <w:ind w:left="454" w:right="170"/>
            </w:pPr>
            <w:r>
              <w:t>Implementato il programma ai fini del calcolo, a partire dalla mensilità di ottobre 2022, dell’esonero in oggetto nella misura del 2% (in luogo dello 0,8%), sulla base delle indicazioni fornite con messaggio INPS n. 3499 del 26.09.2022.</w:t>
            </w:r>
          </w:p>
          <w:p>
            <w:pPr>
              <w:pStyle w:val="corpoAltF"/>
              <w:numPr>
                <w:ilvl w:val="0"/>
                <w:numId w:val="29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Dipendenti giornalisti: passaggio da INPGI a INPS</w:t>
            </w:r>
            <w:bookmarkEnd w:id="6"/>
            <w:bookmarkEnd w:id="7"/>
            <w:bookmarkEnd w:id="8"/>
          </w:p>
          <w:p>
            <w:pPr>
              <w:pStyle w:val="corpoAltF"/>
              <w:spacing w:before="60"/>
              <w:ind w:left="454" w:right="170"/>
            </w:pPr>
            <w:bookmarkStart w:id="9" w:name="_Toc116564466"/>
            <w:r>
              <w:t>Con riferimento al recupero del contributo addizionale NASpI per rapporti a tempo determinato</w:t>
            </w:r>
            <w:bookmarkEnd w:id="9"/>
            <w:r>
              <w:t>, per i dipendenti in oggetto il programma è stato implementato per calcolare l’importo della restituzione considerando solo i relativi versamenti effettuati a partire da luglio 2022, come chiarito dall’INPS tramite Assosoftware.</w:t>
            </w:r>
          </w:p>
          <w:p>
            <w:pPr>
              <w:pStyle w:val="corpoAltF"/>
              <w:spacing w:before="60"/>
              <w:ind w:left="454" w:right="170"/>
            </w:pPr>
          </w:p>
          <w:p>
            <w:pPr>
              <w:pStyle w:val="corpoAltF"/>
              <w:spacing w:before="60"/>
              <w:ind w:left="454" w:right="170"/>
            </w:pPr>
          </w:p>
          <w:p>
            <w:pPr>
              <w:pStyle w:val="corpoAltF"/>
              <w:numPr>
                <w:ilvl w:val="0"/>
                <w:numId w:val="29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Aggiornamento codici contratto CNEL</w:t>
            </w:r>
          </w:p>
          <w:p>
            <w:pPr>
              <w:pStyle w:val="corpoAltF"/>
              <w:spacing w:before="60"/>
              <w:ind w:left="454" w:right="170"/>
            </w:pPr>
            <w:r>
              <w:t>Aggiornati i codici contratto CNEL (versione 17.0 del 29 settembre 2022) previsti all’interno del flusso UNIEMENS. L’elenco dei codici contratto presente al campo “</w:t>
            </w:r>
            <w:r>
              <w:rPr>
                <w:i/>
                <w:iCs/>
              </w:rPr>
              <w:t>Codice contratto CNEL</w:t>
            </w:r>
            <w:r>
              <w:t>” (scheda “</w:t>
            </w:r>
            <w:r>
              <w:rPr>
                <w:i/>
                <w:iCs/>
              </w:rPr>
              <w:t>Dati contributivi</w:t>
            </w:r>
            <w:r>
              <w:t xml:space="preserve">” di </w:t>
            </w:r>
            <w:r>
              <w:rPr>
                <w:b/>
                <w:bCs/>
              </w:rPr>
              <w:t>AZIE</w:t>
            </w:r>
            <w:r>
              <w:t xml:space="preserve"> e scheda “</w:t>
            </w:r>
            <w:r>
              <w:rPr>
                <w:i/>
                <w:iCs/>
              </w:rPr>
              <w:t>Trattenute</w:t>
            </w:r>
            <w:r>
              <w:t xml:space="preserve">” di </w:t>
            </w:r>
            <w:r>
              <w:rPr>
                <w:b/>
                <w:bCs/>
              </w:rPr>
              <w:t>DIPE</w:t>
            </w:r>
            <w:r>
              <w:t>) è stato conseguentemente aggiornato.</w:t>
            </w:r>
          </w:p>
          <w:p>
            <w:pPr>
              <w:pStyle w:val="corpoAltF"/>
              <w:numPr>
                <w:ilvl w:val="0"/>
                <w:numId w:val="29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TELBON / TELBONISO</w:t>
            </w:r>
          </w:p>
          <w:p>
            <w:pPr>
              <w:pStyle w:val="corpoAltF"/>
              <w:spacing w:before="60"/>
              <w:ind w:left="454" w:right="170"/>
            </w:pPr>
            <w:r>
              <w:t>Implementazioni varie al programma di generazione dei bonifici.</w:t>
            </w:r>
          </w:p>
          <w:p>
            <w:pPr>
              <w:pStyle w:val="corpoAltF"/>
              <w:numPr>
                <w:ilvl w:val="0"/>
                <w:numId w:val="29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STENBI</w:t>
            </w:r>
          </w:p>
          <w:p>
            <w:pPr>
              <w:pStyle w:val="corpoAltF"/>
              <w:spacing w:before="60"/>
              <w:ind w:left="454" w:right="170"/>
            </w:pPr>
            <w:r>
              <w:t>Il programma di gestione e generazione del file telematico EBAV (</w:t>
            </w:r>
            <w:r>
              <w:rPr>
                <w:b/>
                <w:bCs/>
              </w:rPr>
              <w:t>STENBI</w:t>
            </w:r>
            <w:r>
              <w:t>) è stato allineato alla versione 17 del relativo tracciato record pubblicato dall’ente.</w:t>
            </w:r>
          </w:p>
          <w:p>
            <w:pPr>
              <w:pStyle w:val="corpoAltF"/>
              <w:spacing w:before="60"/>
              <w:ind w:left="454" w:right="170"/>
            </w:pPr>
          </w:p>
          <w:p>
            <w:pPr>
              <w:pStyle w:val="corpoAltF"/>
              <w:numPr>
                <w:ilvl w:val="0"/>
                <w:numId w:val="29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Anomalie corrette</w:t>
            </w:r>
          </w:p>
          <w:p>
            <w:pPr>
              <w:pStyle w:val="corpoAltF"/>
              <w:spacing w:before="60"/>
              <w:ind w:left="454" w:right="170"/>
            </w:pPr>
            <w:r>
              <w:t>Correzione anomalie varie.</w:t>
            </w:r>
          </w:p>
          <w:p>
            <w:pPr>
              <w:pStyle w:val="corpoAltF"/>
              <w:spacing w:before="40"/>
              <w:ind w:left="140" w:right="170"/>
            </w:pPr>
          </w:p>
        </w:tc>
      </w:tr>
    </w:tbl>
    <w:p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29"/>
      </w:tblGrid>
      <w:tr>
        <w:trPr>
          <w:trHeight w:val="221"/>
          <w:jc w:val="center"/>
        </w:trPr>
        <w:tc>
          <w:tcPr>
            <w:tcW w:w="9629" w:type="dxa"/>
            <w:shd w:val="clear" w:color="auto" w:fill="CCCCCC"/>
            <w:vAlign w:val="center"/>
          </w:tcPr>
          <w:p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t>Avvertenze</w:t>
            </w:r>
          </w:p>
        </w:tc>
      </w:tr>
      <w:tr>
        <w:trPr>
          <w:jc w:val="center"/>
        </w:trPr>
        <w:tc>
          <w:tcPr>
            <w:tcW w:w="9629" w:type="dxa"/>
          </w:tcPr>
          <w:p>
            <w:pPr>
              <w:pStyle w:val="corpoAltF"/>
              <w:numPr>
                <w:ilvl w:val="0"/>
                <w:numId w:val="8"/>
              </w:numPr>
              <w:spacing w:before="180"/>
              <w:ind w:left="423" w:right="170" w:hanging="25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l’installazione della presente versione il programma effettua automaticamente la conversione degli archivi.</w:t>
            </w:r>
          </w:p>
          <w:p>
            <w:pPr>
              <w:pStyle w:val="corpoAltF"/>
              <w:spacing w:after="120"/>
              <w:ind w:right="170"/>
              <w:rPr>
                <w:b/>
                <w:sz w:val="22"/>
                <w:szCs w:val="22"/>
              </w:rPr>
            </w:pPr>
          </w:p>
        </w:tc>
      </w:tr>
    </w:tbl>
    <w:p>
      <w:pPr>
        <w:pStyle w:val="corpoAltF"/>
      </w:pPr>
    </w:p>
    <w:p>
      <w:pPr>
        <w:pStyle w:val="CorpoAltF0"/>
        <w:rPr>
          <w:rFonts w:cs="Arial"/>
        </w:rPr>
      </w:pPr>
      <w:r>
        <w:br w:type="page"/>
      </w:r>
    </w:p>
    <w:p>
      <w:pPr>
        <w:pStyle w:val="Ignora"/>
        <w:rPr>
          <w:sz w:val="10"/>
          <w:szCs w:val="10"/>
        </w:rPr>
      </w:pPr>
      <w:bookmarkStart w:id="10" w:name="_Toc33011301"/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9629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t>Note di installazione</w:t>
            </w:r>
          </w:p>
        </w:tc>
      </w:tr>
    </w:tbl>
    <w:p>
      <w:pPr>
        <w:pStyle w:val="CorpoAltF0"/>
        <w:rPr>
          <w:sz w:val="10"/>
          <w:szCs w:val="10"/>
        </w:rPr>
      </w:pPr>
    </w:p>
    <w:tbl>
      <w:tblPr>
        <w:tblW w:w="9646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5"/>
        <w:gridCol w:w="4821"/>
      </w:tblGrid>
      <w:tr>
        <w:trPr>
          <w:jc w:val="center"/>
        </w:trPr>
        <w:tc>
          <w:tcPr>
            <w:tcW w:w="4825" w:type="dxa"/>
            <w:shd w:val="clear" w:color="auto" w:fill="BFBFBF"/>
          </w:tcPr>
          <w:p>
            <w:pPr>
              <w:pStyle w:val="CorpoAlt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Ambiente WINDOWS</w:t>
            </w:r>
          </w:p>
        </w:tc>
        <w:tc>
          <w:tcPr>
            <w:tcW w:w="4821" w:type="dxa"/>
            <w:shd w:val="clear" w:color="auto" w:fill="BFBFBF"/>
          </w:tcPr>
          <w:p>
            <w:pPr>
              <w:pStyle w:val="CorpoAlt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Ambiente LINUX</w:t>
            </w:r>
          </w:p>
        </w:tc>
      </w:tr>
      <w:tr>
        <w:trPr>
          <w:jc w:val="center"/>
        </w:trPr>
        <w:tc>
          <w:tcPr>
            <w:tcW w:w="4825" w:type="dxa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L’applicativo potrà essere installato a seconda della modalità di distribuzione.</w:t>
            </w:r>
          </w:p>
          <w:p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Modulo autoscompattante “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autoinst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”: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Selezionare il bottone “installa”</w:t>
            </w:r>
          </w:p>
          <w:p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CDROM applicativi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Inserire il CD-ROM nel drive del server e confermare l’avvio dell’installazione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  <w:tc>
          <w:tcPr>
            <w:tcW w:w="4821" w:type="dxa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Dalla console, come super-utente (root), digitare il comando AGGTAR.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modalità di installazione rese disponibili da questo comando saranno: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CD-ROM: Inserire il CD-ROM nel drive del server e confermare l’avvio dell’installazione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EXE: Scaricare i file in arrivo da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TeamCast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confermare l’avvio dell’installazione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</w:tr>
      <w:bookmarkEnd w:id="10"/>
    </w:tbl>
    <w:p>
      <w:pPr>
        <w:pStyle w:val="CorpoAltF0"/>
        <w:rPr>
          <w:sz w:val="10"/>
          <w:szCs w:val="10"/>
        </w:rPr>
      </w:pPr>
    </w:p>
    <w:p>
      <w:pPr>
        <w:pStyle w:val="Ignora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913"/>
        <w:gridCol w:w="1100"/>
        <w:gridCol w:w="4961"/>
      </w:tblGrid>
      <w:tr>
        <w:trPr>
          <w:trHeight w:val="397"/>
          <w:jc w:val="center"/>
        </w:trPr>
        <w:tc>
          <w:tcPr>
            <w:tcW w:w="9639" w:type="dxa"/>
            <w:gridSpan w:val="4"/>
            <w:shd w:val="clear" w:color="auto" w:fill="DBDBDB"/>
            <w:vAlign w:val="center"/>
          </w:tcPr>
          <w:p>
            <w:pPr>
              <w:pStyle w:val="Intestazione"/>
              <w:ind w:left="-108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Tabella riepilogativa Sistemi Operativi supportati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Sistema Operativo</w:t>
            </w:r>
          </w:p>
        </w:tc>
        <w:tc>
          <w:tcPr>
            <w:tcW w:w="6974" w:type="dxa"/>
            <w:gridSpan w:val="3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Versione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6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Windows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6974" w:type="dxa"/>
            <w:gridSpan w:val="3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Server 2012, 2012 R2</w:t>
            </w:r>
          </w:p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8.1 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en-GB"/>
              </w:rPr>
              <w:t>Pro  (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)</w:t>
            </w:r>
          </w:p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10 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en-GB"/>
              </w:rPr>
              <w:t>Pro  (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en-GB"/>
              </w:rPr>
              <w:t>1903 o successive)</w:t>
            </w:r>
          </w:p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Server 2016</w:t>
            </w:r>
          </w:p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Server 2019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8"/>
          <w:jc w:val="center"/>
        </w:trPr>
        <w:tc>
          <w:tcPr>
            <w:tcW w:w="2665" w:type="dxa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Linux</w:t>
            </w:r>
          </w:p>
        </w:tc>
        <w:tc>
          <w:tcPr>
            <w:tcW w:w="91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x86_64</w:t>
            </w:r>
          </w:p>
        </w:tc>
        <w:tc>
          <w:tcPr>
            <w:tcW w:w="6061" w:type="dxa"/>
            <w:gridSpan w:val="2"/>
            <w:shd w:val="clear" w:color="auto" w:fill="FFFFFF"/>
            <w:vAlign w:val="center"/>
          </w:tcPr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SLES 12 SP4</w:t>
            </w:r>
          </w:p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Ubuntu 16.04 LTS, 18.04 LTS</w:t>
            </w:r>
          </w:p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CentOS 6 (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), 7, 8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2665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PPC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Power 6,</w:t>
            </w:r>
          </w:p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Power 7</w:t>
            </w:r>
          </w:p>
        </w:tc>
        <w:tc>
          <w:tcPr>
            <w:tcW w:w="4961" w:type="dxa"/>
            <w:shd w:val="clear" w:color="auto" w:fill="FFFFFF"/>
            <w:vAlign w:val="center"/>
          </w:tcPr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SLES 11 SP4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2665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Power 8,</w:t>
            </w:r>
          </w:p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Power 9</w:t>
            </w:r>
          </w:p>
        </w:tc>
        <w:tc>
          <w:tcPr>
            <w:tcW w:w="4961" w:type="dxa"/>
            <w:shd w:val="clear" w:color="auto" w:fill="FFFFFF"/>
            <w:vAlign w:val="center"/>
          </w:tcPr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OpenSUSE Leap 15</w:t>
            </w:r>
          </w:p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SLES 15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Mac (client)</w:t>
            </w:r>
          </w:p>
        </w:tc>
        <w:tc>
          <w:tcPr>
            <w:tcW w:w="6974" w:type="dxa"/>
            <w:gridSpan w:val="3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MacOS 10.15 Catalina</w:t>
            </w:r>
          </w:p>
        </w:tc>
      </w:tr>
    </w:tbl>
    <w:p>
      <w:pPr>
        <w:numPr>
          <w:ilvl w:val="0"/>
          <w:numId w:val="5"/>
        </w:numPr>
        <w:spacing w:before="60"/>
        <w:ind w:left="284" w:right="141" w:hanging="284"/>
        <w:jc w:val="both"/>
        <w:rPr>
          <w:rFonts w:ascii="Tahoma" w:hAnsi="Tahoma" w:cs="Tahoma"/>
          <w:spacing w:val="6"/>
          <w:sz w:val="18"/>
          <w:szCs w:val="16"/>
        </w:rPr>
      </w:pPr>
      <w:r>
        <w:rPr>
          <w:rFonts w:ascii="Tahoma" w:hAnsi="Tahoma" w:cs="Tahoma"/>
          <w:spacing w:val="6"/>
          <w:sz w:val="18"/>
          <w:szCs w:val="18"/>
        </w:rPr>
        <w:t>Sono escluse tutte le versioni dei sistemi operativi destinate ad un’utenza ‘Home’.</w:t>
      </w:r>
    </w:p>
    <w:p>
      <w:pPr>
        <w:numPr>
          <w:ilvl w:val="0"/>
          <w:numId w:val="6"/>
        </w:numPr>
        <w:spacing w:before="40"/>
        <w:ind w:left="284" w:right="142" w:hanging="284"/>
        <w:jc w:val="both"/>
        <w:rPr>
          <w:rFonts w:ascii="Tahoma" w:hAnsi="Tahoma" w:cs="Tahoma"/>
          <w:spacing w:val="6"/>
          <w:sz w:val="18"/>
          <w:szCs w:val="16"/>
        </w:rPr>
      </w:pPr>
      <w:r>
        <w:rPr>
          <w:rFonts w:ascii="Tahoma" w:hAnsi="Tahoma" w:cs="Tahoma"/>
          <w:spacing w:val="6"/>
          <w:sz w:val="18"/>
          <w:szCs w:val="16"/>
        </w:rPr>
        <w:t>ATTENZIONE: questo sistema operativo è in dismissione (consultare la “Tabella riepilogativa Sistemi operativi in dismissione”) pertanto si consiglia l’utilizzo della versione Windows Server 2016 o successive.</w:t>
      </w:r>
    </w:p>
    <w:p>
      <w:pPr>
        <w:numPr>
          <w:ilvl w:val="0"/>
          <w:numId w:val="6"/>
        </w:numPr>
        <w:spacing w:before="40"/>
        <w:ind w:left="284" w:right="142" w:hanging="284"/>
        <w:jc w:val="both"/>
        <w:rPr>
          <w:rFonts w:ascii="Tahoma" w:hAnsi="Tahoma" w:cs="Tahoma"/>
          <w:spacing w:val="6"/>
          <w:sz w:val="18"/>
          <w:szCs w:val="16"/>
        </w:rPr>
      </w:pPr>
      <w:r>
        <w:rPr>
          <w:rFonts w:ascii="Tahoma" w:hAnsi="Tahoma" w:cs="Tahoma"/>
          <w:spacing w:val="6"/>
          <w:sz w:val="18"/>
          <w:szCs w:val="16"/>
        </w:rPr>
        <w:t xml:space="preserve">ATTENZIONE: questo sistema operativo è in dismissione (consultare la “Tabella riepilogativa Sistemi operativi in dismissione”) pertanto si consiglia l’utilizzo della versione </w:t>
      </w:r>
      <w:proofErr w:type="spellStart"/>
      <w:r>
        <w:rPr>
          <w:rFonts w:ascii="Tahoma" w:hAnsi="Tahoma" w:cs="Tahoma"/>
          <w:spacing w:val="6"/>
          <w:sz w:val="18"/>
          <w:szCs w:val="16"/>
        </w:rPr>
        <w:t>CentOS</w:t>
      </w:r>
      <w:proofErr w:type="spellEnd"/>
      <w:r>
        <w:rPr>
          <w:rFonts w:ascii="Tahoma" w:hAnsi="Tahoma" w:cs="Tahoma"/>
          <w:spacing w:val="6"/>
          <w:sz w:val="18"/>
          <w:szCs w:val="16"/>
        </w:rPr>
        <w:t xml:space="preserve"> 8.</w:t>
      </w:r>
    </w:p>
    <w:p>
      <w:pPr>
        <w:pStyle w:val="CorpoAltF0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>
            <w:pPr>
              <w:pStyle w:val="Intestazione"/>
              <w:ind w:left="-108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Tabella riepilogativa Sistemi Operativi in dismissione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Versione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266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>
            <w:pPr>
              <w:ind w:left="248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CentoOS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6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il supporto terminerà a dicembre 2020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266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Windows</w:t>
            </w:r>
          </w:p>
        </w:tc>
        <w:tc>
          <w:tcPr>
            <w:tcW w:w="6974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>
            <w:pPr>
              <w:ind w:left="248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8.1 Pro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il supporto verrà dismesso a giugno 2021</w:t>
            </w:r>
          </w:p>
        </w:tc>
      </w:tr>
    </w:tbl>
    <w:p>
      <w:pPr>
        <w:pStyle w:val="CorpoAltF0"/>
        <w:rPr>
          <w:sz w:val="10"/>
          <w:szCs w:val="10"/>
        </w:rPr>
      </w:pPr>
    </w:p>
    <w:p>
      <w:pPr>
        <w:pStyle w:val="Ignora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3544"/>
        <w:gridCol w:w="6095"/>
      </w:tblGrid>
      <w:tr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>
            <w:pPr>
              <w:pStyle w:val="Intestazione"/>
              <w:ind w:left="-108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Tabella riepilogativa Browser supportati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354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Browser</w:t>
            </w:r>
          </w:p>
        </w:tc>
        <w:tc>
          <w:tcPr>
            <w:tcW w:w="609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Versione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354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Edge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60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44 o successive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354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Edge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Chromium</w:t>
            </w:r>
            <w:proofErr w:type="spellEnd"/>
          </w:p>
        </w:tc>
        <w:tc>
          <w:tcPr>
            <w:tcW w:w="60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84 o successive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354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Firefox</w:t>
            </w:r>
          </w:p>
        </w:tc>
        <w:tc>
          <w:tcPr>
            <w:tcW w:w="60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79 o successive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354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Chrome</w:t>
            </w:r>
          </w:p>
        </w:tc>
        <w:tc>
          <w:tcPr>
            <w:tcW w:w="60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84 o successive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354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Safari</w:t>
            </w:r>
          </w:p>
        </w:tc>
        <w:tc>
          <w:tcPr>
            <w:tcW w:w="60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12 o successive</w:t>
            </w:r>
          </w:p>
        </w:tc>
      </w:tr>
    </w:tbl>
    <w:p>
      <w:pPr>
        <w:numPr>
          <w:ilvl w:val="0"/>
          <w:numId w:val="6"/>
        </w:numPr>
        <w:spacing w:before="60"/>
        <w:ind w:left="426" w:right="284" w:hanging="284"/>
        <w:jc w:val="both"/>
        <w:rPr>
          <w:rFonts w:ascii="Tahoma" w:hAnsi="Tahoma" w:cs="Tahoma"/>
          <w:spacing w:val="6"/>
          <w:sz w:val="18"/>
          <w:szCs w:val="16"/>
        </w:rPr>
      </w:pPr>
      <w:r>
        <w:rPr>
          <w:rFonts w:ascii="Tahoma" w:hAnsi="Tahoma" w:cs="Tahoma"/>
          <w:spacing w:val="6"/>
          <w:sz w:val="18"/>
          <w:szCs w:val="16"/>
        </w:rPr>
        <w:t>ATTENZIONE: Browser in dismissione: il supporto terminerà a giugno 2021</w:t>
      </w:r>
    </w:p>
    <w:p>
      <w:pPr>
        <w:pStyle w:val="Ignora"/>
        <w:rPr>
          <w:sz w:val="10"/>
          <w:szCs w:val="10"/>
        </w:rPr>
      </w:pPr>
    </w:p>
    <w:sectPr>
      <w:headerReference w:type="default" r:id="rId9"/>
      <w:footerReference w:type="default" r:id="rId10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PAGHE 2022.2.7</w:t>
          </w:r>
        </w:p>
      </w:tc>
      <w:tc>
        <w:tcPr>
          <w:tcW w:w="1701" w:type="dxa"/>
        </w:tcPr>
        <w:p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1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1">
    <w:p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>
          <w:pPr>
            <w:pStyle w:val="Intestazione"/>
            <w:spacing w:before="20" w:after="20"/>
            <w:rPr>
              <w:rFonts w:ascii="Courier" w:hAnsi="Courier"/>
              <w:b/>
            </w:rPr>
          </w:pPr>
          <w:r>
            <w:rPr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1372215148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>
    <w:pPr>
      <w:pStyle w:val="CorpoAlt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53"/>
    <w:multiLevelType w:val="hybridMultilevel"/>
    <w:tmpl w:val="82C4297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B2073"/>
    <w:multiLevelType w:val="hybridMultilevel"/>
    <w:tmpl w:val="3078D810"/>
    <w:lvl w:ilvl="0" w:tplc="BC02502A">
      <w:start w:val="2020"/>
      <w:numFmt w:val="bullet"/>
      <w:lvlText w:val="-"/>
      <w:lvlJc w:val="left"/>
      <w:pPr>
        <w:ind w:left="117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7B82C70"/>
    <w:multiLevelType w:val="hybridMultilevel"/>
    <w:tmpl w:val="80002216"/>
    <w:lvl w:ilvl="0" w:tplc="77EC24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3B6784D"/>
    <w:multiLevelType w:val="hybridMultilevel"/>
    <w:tmpl w:val="F092A408"/>
    <w:lvl w:ilvl="0" w:tplc="0410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36522074"/>
    <w:multiLevelType w:val="hybridMultilevel"/>
    <w:tmpl w:val="6AC8EA90"/>
    <w:lvl w:ilvl="0" w:tplc="0410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38141485"/>
    <w:multiLevelType w:val="hybridMultilevel"/>
    <w:tmpl w:val="3D4E641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F19D2"/>
    <w:multiLevelType w:val="hybridMultilevel"/>
    <w:tmpl w:val="8000221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35EFC"/>
    <w:multiLevelType w:val="hybridMultilevel"/>
    <w:tmpl w:val="A62ED41E"/>
    <w:lvl w:ilvl="0" w:tplc="C748A54A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F9043B2"/>
    <w:multiLevelType w:val="hybridMultilevel"/>
    <w:tmpl w:val="8000221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B2392"/>
    <w:multiLevelType w:val="hybridMultilevel"/>
    <w:tmpl w:val="75DE6A28"/>
    <w:lvl w:ilvl="0" w:tplc="146CC90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 w15:restartNumberingAfterBreak="0">
    <w:nsid w:val="45522278"/>
    <w:multiLevelType w:val="hybridMultilevel"/>
    <w:tmpl w:val="FAB204EA"/>
    <w:lvl w:ilvl="0" w:tplc="0410000B">
      <w:start w:val="1"/>
      <w:numFmt w:val="bullet"/>
      <w:lvlText w:val=""/>
      <w:lvlJc w:val="left"/>
      <w:pPr>
        <w:ind w:left="9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3" w15:restartNumberingAfterBreak="0">
    <w:nsid w:val="4DAA328B"/>
    <w:multiLevelType w:val="hybridMultilevel"/>
    <w:tmpl w:val="62ACE5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C4C57"/>
    <w:multiLevelType w:val="hybridMultilevel"/>
    <w:tmpl w:val="482AF97E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55AD1E60"/>
    <w:multiLevelType w:val="hybridMultilevel"/>
    <w:tmpl w:val="08A2972C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9B52B5B"/>
    <w:multiLevelType w:val="hybridMultilevel"/>
    <w:tmpl w:val="01D20F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D5CDA"/>
    <w:multiLevelType w:val="hybridMultilevel"/>
    <w:tmpl w:val="5096FDA8"/>
    <w:lvl w:ilvl="0" w:tplc="4F48D0CA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9" w15:restartNumberingAfterBreak="0">
    <w:nsid w:val="5D6A679C"/>
    <w:multiLevelType w:val="hybridMultilevel"/>
    <w:tmpl w:val="4D786ADE"/>
    <w:lvl w:ilvl="0" w:tplc="0410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5EF66096"/>
    <w:multiLevelType w:val="hybridMultilevel"/>
    <w:tmpl w:val="8000221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D02D6"/>
    <w:multiLevelType w:val="hybridMultilevel"/>
    <w:tmpl w:val="8000221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73869"/>
    <w:multiLevelType w:val="hybridMultilevel"/>
    <w:tmpl w:val="3E862734"/>
    <w:lvl w:ilvl="0" w:tplc="D04A39A0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4" w15:restartNumberingAfterBreak="0">
    <w:nsid w:val="6F880969"/>
    <w:multiLevelType w:val="hybridMultilevel"/>
    <w:tmpl w:val="8000221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60034"/>
    <w:multiLevelType w:val="hybridMultilevel"/>
    <w:tmpl w:val="8000221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F21EF"/>
    <w:multiLevelType w:val="hybridMultilevel"/>
    <w:tmpl w:val="8000221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81938"/>
    <w:multiLevelType w:val="hybridMultilevel"/>
    <w:tmpl w:val="43B4D81A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7E6C5817"/>
    <w:multiLevelType w:val="hybridMultilevel"/>
    <w:tmpl w:val="738082DC"/>
    <w:lvl w:ilvl="0" w:tplc="0410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1507788159">
    <w:abstractNumId w:val="3"/>
  </w:num>
  <w:num w:numId="2" w16cid:durableId="823354030">
    <w:abstractNumId w:val="2"/>
  </w:num>
  <w:num w:numId="3" w16cid:durableId="1132559558">
    <w:abstractNumId w:val="4"/>
  </w:num>
  <w:num w:numId="4" w16cid:durableId="1422533251">
    <w:abstractNumId w:val="14"/>
  </w:num>
  <w:num w:numId="5" w16cid:durableId="474487544">
    <w:abstractNumId w:val="22"/>
  </w:num>
  <w:num w:numId="6" w16cid:durableId="615405444">
    <w:abstractNumId w:val="9"/>
  </w:num>
  <w:num w:numId="7" w16cid:durableId="1806701039">
    <w:abstractNumId w:val="7"/>
  </w:num>
  <w:num w:numId="8" w16cid:durableId="1155419034">
    <w:abstractNumId w:val="12"/>
  </w:num>
  <w:num w:numId="9" w16cid:durableId="1669746595">
    <w:abstractNumId w:val="15"/>
  </w:num>
  <w:num w:numId="10" w16cid:durableId="617179646">
    <w:abstractNumId w:val="18"/>
  </w:num>
  <w:num w:numId="11" w16cid:durableId="123096466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191915015">
    <w:abstractNumId w:val="17"/>
  </w:num>
  <w:num w:numId="13" w16cid:durableId="402412952">
    <w:abstractNumId w:val="13"/>
  </w:num>
  <w:num w:numId="14" w16cid:durableId="1130130001">
    <w:abstractNumId w:val="27"/>
  </w:num>
  <w:num w:numId="15" w16cid:durableId="1089157255">
    <w:abstractNumId w:val="0"/>
  </w:num>
  <w:num w:numId="16" w16cid:durableId="107625693">
    <w:abstractNumId w:val="19"/>
  </w:num>
  <w:num w:numId="17" w16cid:durableId="218782281">
    <w:abstractNumId w:val="23"/>
  </w:num>
  <w:num w:numId="18" w16cid:durableId="285279345">
    <w:abstractNumId w:val="1"/>
  </w:num>
  <w:num w:numId="19" w16cid:durableId="1812406321">
    <w:abstractNumId w:val="5"/>
  </w:num>
  <w:num w:numId="20" w16cid:durableId="1568956893">
    <w:abstractNumId w:val="21"/>
  </w:num>
  <w:num w:numId="21" w16cid:durableId="1013075731">
    <w:abstractNumId w:val="8"/>
  </w:num>
  <w:num w:numId="22" w16cid:durableId="1605190275">
    <w:abstractNumId w:val="16"/>
  </w:num>
  <w:num w:numId="23" w16cid:durableId="640379610">
    <w:abstractNumId w:val="11"/>
  </w:num>
  <w:num w:numId="24" w16cid:durableId="2051686286">
    <w:abstractNumId w:val="26"/>
  </w:num>
  <w:num w:numId="25" w16cid:durableId="1224679344">
    <w:abstractNumId w:val="10"/>
  </w:num>
  <w:num w:numId="26" w16cid:durableId="1952004284">
    <w:abstractNumId w:val="25"/>
  </w:num>
  <w:num w:numId="27" w16cid:durableId="914902213">
    <w:abstractNumId w:val="24"/>
  </w:num>
  <w:num w:numId="28" w16cid:durableId="972444251">
    <w:abstractNumId w:val="6"/>
  </w:num>
  <w:num w:numId="29" w16cid:durableId="355082601">
    <w:abstractNumId w:val="20"/>
  </w:num>
  <w:num w:numId="30" w16cid:durableId="1526943331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50" fill="f" fillcolor="white" strokecolor="red">
      <v:fill color="white" on="f"/>
      <v:stroke color="red" weight="1.2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color="red" weight="1.25pt"/>
    </o:shapedefaults>
    <o:shapelayout v:ext="edit">
      <o:idmap v:ext="edit" data="2"/>
    </o:shapelayout>
  </w:shapeDefaults>
  <w:decimalSymbol w:val=","/>
  <w:listSeparator w:val=";"/>
  <w15:docId w15:val="{C767BF0E-8EF9-4B31-8A11-02D29B85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qFormat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paragraph" w:styleId="Paragrafoelenco">
    <w:name w:val="List Paragraph"/>
    <w:basedOn w:val="Normale"/>
    <w:uiPriority w:val="34"/>
    <w:pPr>
      <w:ind w:left="720"/>
      <w:contextualSpacing/>
    </w:pPr>
  </w:style>
  <w:style w:type="paragraph" w:customStyle="1" w:styleId="Ignora">
    <w:name w:val="Ignora"/>
    <w:basedOn w:val="CorpoAltF0"/>
    <w:qFormat/>
  </w:style>
  <w:style w:type="character" w:customStyle="1" w:styleId="collegamentoipertestuale0">
    <w:name w:val="collegamento_ipertestuale"/>
    <w:basedOn w:val="Carpredefinitoparagrafo"/>
  </w:style>
  <w:style w:type="character" w:customStyle="1" w:styleId="searchresulthighlight1">
    <w:name w:val="search_result_highlight1"/>
    <w:basedOn w:val="Carpredefinitoparagrafo"/>
    <w:rPr>
      <w:shd w:val="clear" w:color="auto" w:fill="FFFF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customStyle="1" w:styleId="normaltextrun1">
    <w:name w:val="normaltextrun1"/>
  </w:style>
  <w:style w:type="character" w:customStyle="1" w:styleId="searchresulthighlight">
    <w:name w:val="search_result_highlight"/>
    <w:basedOn w:val="Carpredefinitoparagrafo"/>
  </w:style>
  <w:style w:type="character" w:styleId="Rimandocommento">
    <w:name w:val="annotation reference"/>
    <w:basedOn w:val="Carpredefinitoparagrafo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4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88759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4385">
              <w:marLeft w:val="454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7418">
              <w:marLeft w:val="454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1273">
              <w:marLeft w:val="45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5522">
              <w:marLeft w:val="45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40283">
              <w:marLeft w:val="454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4538">
              <w:marLeft w:val="454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974">
              <w:marLeft w:val="454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4965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73333">
          <w:marLeft w:val="9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2221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9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4300">
              <w:marLeft w:val="94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1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3935">
              <w:marLeft w:val="94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2704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4488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7772">
          <w:marLeft w:val="9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849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5230">
              <w:marLeft w:val="45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9756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6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276">
          <w:marLeft w:val="3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6612">
          <w:marLeft w:val="9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470">
          <w:marLeft w:val="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moricoli\Documents\Modelli%20di%20Office%20personalizzati\PAGHE_AAAAXXYY_C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24EC6-EEFA-41E4-BA9E-DD7F8F56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PAGHE_AAAAXXYY_CR.dotx</Template>
  <TotalTime>672</TotalTime>
  <Pages>4</Pages>
  <Words>1106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Giulia Mancini</dc:creator>
  <cp:lastModifiedBy>Luca Moricoli</cp:lastModifiedBy>
  <cp:revision>88</cp:revision>
  <cp:lastPrinted>2022-10-13T18:43:00Z</cp:lastPrinted>
  <dcterms:created xsi:type="dcterms:W3CDTF">2022-04-21T13:26:00Z</dcterms:created>
  <dcterms:modified xsi:type="dcterms:W3CDTF">2022-10-13T18:43:00Z</dcterms:modified>
</cp:coreProperties>
</file>